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32"/>
          <w:szCs w:val="32"/>
        </w:rPr>
      </w:pPr>
      <w:r>
        <w:rPr>
          <w:rFonts w:hint="eastAsia"/>
          <w:b/>
          <w:sz w:val="32"/>
          <w:szCs w:val="32"/>
        </w:rPr>
        <w:t>广州大学城投资经营管理有限公司</w:t>
      </w:r>
    </w:p>
    <w:p>
      <w:pPr>
        <w:tabs>
          <w:tab w:val="left" w:pos="720"/>
        </w:tabs>
        <w:spacing w:before="120" w:beforeLines="50" w:after="120" w:afterLines="50" w:line="360" w:lineRule="auto"/>
        <w:jc w:val="center"/>
        <w:rPr>
          <w:b/>
          <w:sz w:val="32"/>
          <w:szCs w:val="32"/>
        </w:rPr>
      </w:pPr>
      <w:r>
        <w:rPr>
          <w:rFonts w:hint="eastAsia"/>
          <w:b/>
          <w:sz w:val="32"/>
          <w:szCs w:val="32"/>
        </w:rPr>
        <w:t>信息枢纽楼外墙清洗工程</w:t>
      </w:r>
    </w:p>
    <w:p>
      <w:pPr>
        <w:tabs>
          <w:tab w:val="left" w:pos="720"/>
        </w:tabs>
        <w:spacing w:before="120" w:beforeLines="50" w:after="120" w:afterLines="50" w:line="360" w:lineRule="auto"/>
        <w:jc w:val="center"/>
        <w:rPr>
          <w:b/>
          <w:sz w:val="32"/>
          <w:szCs w:val="32"/>
        </w:rPr>
      </w:pPr>
      <w:r>
        <w:rPr>
          <w:rFonts w:hint="eastAsia"/>
          <w:b/>
          <w:sz w:val="32"/>
          <w:szCs w:val="32"/>
        </w:rPr>
        <w:t>竞选文件</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项目基本情况</w:t>
      </w:r>
    </w:p>
    <w:p>
      <w:pPr>
        <w:numPr>
          <w:ilvl w:val="0"/>
          <w:numId w:val="2"/>
        </w:numPr>
        <w:spacing w:before="120" w:beforeLines="50" w:after="120" w:afterLines="50" w:line="360" w:lineRule="auto"/>
        <w:rPr>
          <w:sz w:val="28"/>
          <w:szCs w:val="28"/>
        </w:rPr>
      </w:pPr>
      <w:r>
        <w:rPr>
          <w:rFonts w:hint="eastAsia"/>
          <w:sz w:val="28"/>
          <w:szCs w:val="28"/>
        </w:rPr>
        <w:t>项目名称：信息枢纽楼外墙清洗工程</w:t>
      </w:r>
    </w:p>
    <w:p>
      <w:pPr>
        <w:numPr>
          <w:ilvl w:val="0"/>
          <w:numId w:val="2"/>
        </w:numPr>
        <w:spacing w:before="120" w:beforeLines="50" w:after="120" w:afterLines="50" w:line="360" w:lineRule="auto"/>
        <w:rPr>
          <w:sz w:val="28"/>
          <w:szCs w:val="28"/>
        </w:rPr>
      </w:pPr>
      <w:r>
        <w:rPr>
          <w:rFonts w:hint="eastAsia"/>
          <w:sz w:val="28"/>
          <w:szCs w:val="28"/>
        </w:rPr>
        <w:t>项目地点：广州大学城</w:t>
      </w:r>
    </w:p>
    <w:p>
      <w:pPr>
        <w:numPr>
          <w:ilvl w:val="0"/>
          <w:numId w:val="2"/>
        </w:numPr>
        <w:spacing w:before="120" w:beforeLines="50" w:after="120" w:afterLines="50" w:line="360" w:lineRule="auto"/>
        <w:rPr>
          <w:sz w:val="28"/>
          <w:szCs w:val="28"/>
        </w:rPr>
      </w:pPr>
      <w:r>
        <w:rPr>
          <w:rFonts w:hint="eastAsia"/>
          <w:sz w:val="28"/>
          <w:szCs w:val="28"/>
        </w:rPr>
        <w:t>采购限价：人民币</w:t>
      </w:r>
      <w:r>
        <w:rPr>
          <w:sz w:val="28"/>
          <w:szCs w:val="28"/>
        </w:rPr>
        <w:t>7.5</w:t>
      </w:r>
      <w:r>
        <w:rPr>
          <w:rFonts w:hint="eastAsia"/>
          <w:sz w:val="28"/>
          <w:szCs w:val="28"/>
        </w:rPr>
        <w:t>万元（投标报价超过采购限价为无效投标）。</w:t>
      </w:r>
    </w:p>
    <w:p>
      <w:pPr>
        <w:numPr>
          <w:ilvl w:val="0"/>
          <w:numId w:val="2"/>
        </w:numPr>
        <w:spacing w:before="120" w:beforeLines="50" w:after="120" w:afterLines="50" w:line="360" w:lineRule="auto"/>
        <w:rPr>
          <w:sz w:val="28"/>
          <w:szCs w:val="28"/>
        </w:rPr>
      </w:pPr>
      <w:r>
        <w:rPr>
          <w:rFonts w:hint="eastAsia"/>
          <w:sz w:val="28"/>
          <w:szCs w:val="28"/>
        </w:rPr>
        <w:t>项目概况</w:t>
      </w:r>
    </w:p>
    <w:p>
      <w:pPr>
        <w:spacing w:before="120" w:beforeLines="50" w:after="120" w:afterLines="50" w:line="360" w:lineRule="auto"/>
        <w:ind w:left="425" w:right="425" w:firstLine="560" w:firstLineChars="200"/>
        <w:rPr>
          <w:sz w:val="28"/>
          <w:szCs w:val="28"/>
        </w:rPr>
      </w:pPr>
      <w:r>
        <w:rPr>
          <w:rFonts w:hint="eastAsia"/>
          <w:sz w:val="28"/>
          <w:szCs w:val="28"/>
        </w:rPr>
        <w:t>广州大学城信息枢纽楼位于广州大学城明志街一号，由主楼和副楼组成，其中主楼地上10层，局部14层，高63.6米，副楼地上4层，高22.6米，现大楼基本以单位办公及教育培训为主，有少部分楼层设置有网络通讯机房。根据公司安全办要求，由于信息枢纽楼主楼及副楼外墙表面、窗台污垢较多，为了提升公司的对外形象，拟委托具有专业资质的清洗单位对该大楼进行外墙清洗，清洗外墙过程中，必须对大楼外墙的原有亮化设施及其他公共设施做好保护方可进行清洗。</w:t>
      </w:r>
    </w:p>
    <w:p>
      <w:pPr>
        <w:spacing w:before="120" w:beforeLines="50" w:after="120" w:afterLines="50" w:line="360" w:lineRule="auto"/>
        <w:ind w:left="425" w:right="425" w:firstLine="560" w:firstLineChars="200"/>
        <w:rPr>
          <w:sz w:val="28"/>
          <w:szCs w:val="28"/>
        </w:rPr>
      </w:pPr>
      <w:r>
        <w:rPr>
          <w:sz w:val="28"/>
          <w:szCs w:val="28"/>
        </w:rPr>
        <w:t>注：</w:t>
      </w:r>
      <w:r>
        <w:rPr>
          <w:rFonts w:hint="eastAsia"/>
          <w:sz w:val="28"/>
          <w:szCs w:val="28"/>
        </w:rPr>
        <w:t>本文件中甲方特指采购人，乙方特指中标单位。</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合格投标人资格要求</w:t>
      </w:r>
    </w:p>
    <w:p>
      <w:pPr>
        <w:numPr>
          <w:ilvl w:val="0"/>
          <w:numId w:val="3"/>
        </w:numPr>
        <w:spacing w:before="120" w:beforeLines="50" w:after="120" w:afterLines="50" w:line="360" w:lineRule="auto"/>
        <w:rPr>
          <w:sz w:val="28"/>
          <w:szCs w:val="28"/>
        </w:rPr>
      </w:pPr>
      <w:r>
        <w:rPr>
          <w:rFonts w:hint="eastAsia"/>
          <w:kern w:val="0"/>
          <w:sz w:val="28"/>
          <w:szCs w:val="28"/>
        </w:rPr>
        <w:t>必须是具</w:t>
      </w:r>
      <w:r>
        <w:rPr>
          <w:rFonts w:hint="eastAsia"/>
          <w:sz w:val="28"/>
          <w:szCs w:val="28"/>
        </w:rPr>
        <w:t>有独立承担民事责任能力、在中华人民共和国境内注册的法人，按国家法律经营。</w:t>
      </w:r>
    </w:p>
    <w:p>
      <w:pPr>
        <w:numPr>
          <w:ilvl w:val="0"/>
          <w:numId w:val="3"/>
        </w:numPr>
        <w:spacing w:before="120" w:beforeLines="50" w:after="120" w:afterLines="50" w:line="360" w:lineRule="auto"/>
        <w:rPr>
          <w:kern w:val="0"/>
          <w:sz w:val="28"/>
          <w:szCs w:val="28"/>
        </w:rPr>
      </w:pPr>
      <w:r>
        <w:rPr>
          <w:rFonts w:hint="eastAsia"/>
          <w:sz w:val="28"/>
          <w:szCs w:val="28"/>
        </w:rPr>
        <w:t>具备有效的工</w:t>
      </w:r>
      <w:r>
        <w:rPr>
          <w:rFonts w:hint="eastAsia"/>
          <w:kern w:val="0"/>
          <w:sz w:val="28"/>
          <w:szCs w:val="28"/>
        </w:rPr>
        <w:t>商营业执照、企业法人组织机构代码证书、税务登记证书（或三证合一）。</w:t>
      </w:r>
    </w:p>
    <w:p>
      <w:pPr>
        <w:numPr>
          <w:ilvl w:val="0"/>
          <w:numId w:val="3"/>
        </w:numPr>
        <w:spacing w:before="120" w:beforeLines="50" w:after="120" w:afterLines="50" w:line="360" w:lineRule="auto"/>
        <w:rPr>
          <w:kern w:val="0"/>
          <w:sz w:val="28"/>
          <w:szCs w:val="28"/>
        </w:rPr>
      </w:pPr>
      <w:r>
        <w:rPr>
          <w:kern w:val="0"/>
          <w:sz w:val="28"/>
          <w:szCs w:val="28"/>
        </w:rPr>
        <w:t>已办理合法税务登记，具有开具相应增值税专用发票资格</w:t>
      </w:r>
      <w:r>
        <w:rPr>
          <w:rFonts w:hint="eastAsia"/>
          <w:kern w:val="0"/>
          <w:sz w:val="28"/>
          <w:szCs w:val="28"/>
        </w:rPr>
        <w:t>。</w:t>
      </w:r>
    </w:p>
    <w:p>
      <w:pPr>
        <w:pStyle w:val="26"/>
        <w:numPr>
          <w:ilvl w:val="0"/>
          <w:numId w:val="3"/>
        </w:numPr>
        <w:spacing w:before="120" w:beforeLines="50" w:after="120" w:afterLines="50" w:line="360" w:lineRule="auto"/>
        <w:ind w:firstLineChars="0"/>
        <w:rPr>
          <w:kern w:val="0"/>
          <w:sz w:val="28"/>
          <w:szCs w:val="28"/>
        </w:rPr>
      </w:pPr>
      <w:r>
        <w:rPr>
          <w:rFonts w:hint="eastAsia" w:ascii="宋体" w:hAnsi="宋体"/>
          <w:sz w:val="28"/>
          <w:szCs w:val="28"/>
        </w:rPr>
        <w:t>有效的安全生产许可证。</w:t>
      </w:r>
    </w:p>
    <w:p>
      <w:pPr>
        <w:numPr>
          <w:ilvl w:val="0"/>
          <w:numId w:val="3"/>
        </w:numPr>
        <w:spacing w:before="120" w:beforeLines="50" w:after="120" w:afterLines="50" w:line="360" w:lineRule="auto"/>
        <w:rPr>
          <w:kern w:val="0"/>
          <w:sz w:val="28"/>
          <w:szCs w:val="28"/>
        </w:rPr>
      </w:pPr>
      <w:r>
        <w:rPr>
          <w:rFonts w:hint="eastAsia"/>
          <w:kern w:val="0"/>
          <w:sz w:val="28"/>
          <w:szCs w:val="28"/>
        </w:rPr>
        <w:t>投标人近3年内(2017年1月1日至今)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rPr>
          <w:rFonts w:ascii="宋体" w:hAnsi="宋体"/>
          <w:kern w:val="0"/>
          <w:sz w:val="28"/>
          <w:szCs w:val="28"/>
        </w:rPr>
      </w:pPr>
      <w:r>
        <w:rPr>
          <w:rFonts w:hint="eastAsia" w:ascii="宋体" w:hAnsi="宋体"/>
          <w:kern w:val="0"/>
          <w:sz w:val="28"/>
          <w:szCs w:val="28"/>
        </w:rPr>
        <w:t>不接受联合体报价。</w:t>
      </w:r>
    </w:p>
    <w:p>
      <w:pPr>
        <w:numPr>
          <w:ilvl w:val="0"/>
          <w:numId w:val="1"/>
        </w:numPr>
        <w:tabs>
          <w:tab w:val="left" w:pos="540"/>
          <w:tab w:val="left" w:pos="720"/>
        </w:tabs>
        <w:spacing w:before="120" w:beforeLines="50" w:after="120" w:afterLines="50" w:line="360" w:lineRule="auto"/>
        <w:rPr>
          <w:rFonts w:ascii="宋体" w:hAnsi="宋体"/>
          <w:b/>
          <w:sz w:val="28"/>
          <w:szCs w:val="28"/>
        </w:rPr>
      </w:pPr>
      <w:r>
        <w:rPr>
          <w:rFonts w:hint="eastAsia" w:ascii="宋体" w:hAnsi="宋体"/>
          <w:b/>
          <w:sz w:val="28"/>
          <w:szCs w:val="28"/>
        </w:rPr>
        <w:t>项目内容及要求</w:t>
      </w:r>
    </w:p>
    <w:p>
      <w:pPr>
        <w:numPr>
          <w:ilvl w:val="0"/>
          <w:numId w:val="4"/>
        </w:numPr>
        <w:spacing w:before="120" w:beforeLines="50" w:after="120" w:afterLines="50" w:line="360" w:lineRule="auto"/>
        <w:rPr>
          <w:rFonts w:ascii="宋体" w:hAnsi="宋体"/>
          <w:sz w:val="28"/>
          <w:szCs w:val="28"/>
        </w:rPr>
      </w:pPr>
      <w:r>
        <w:rPr>
          <w:rFonts w:hint="eastAsia" w:ascii="宋体" w:hAnsi="宋体"/>
          <w:sz w:val="28"/>
          <w:szCs w:val="28"/>
        </w:rPr>
        <w:t>施工内容及要求</w:t>
      </w:r>
    </w:p>
    <w:p>
      <w:pPr>
        <w:widowControl/>
        <w:spacing w:before="120" w:beforeLines="50" w:after="120" w:afterLines="50" w:line="360" w:lineRule="auto"/>
        <w:ind w:left="425"/>
        <w:jc w:val="left"/>
        <w:rPr>
          <w:rFonts w:ascii="宋体" w:hAnsi="宋体"/>
          <w:sz w:val="28"/>
          <w:szCs w:val="28"/>
        </w:rPr>
      </w:pPr>
      <w:r>
        <w:rPr>
          <w:rFonts w:hint="eastAsia" w:ascii="宋体" w:hAnsi="宋体"/>
          <w:sz w:val="28"/>
          <w:szCs w:val="28"/>
        </w:rPr>
        <w:t>1、本项目涉及高空作业，作业人员必须持有效的高空作业证上岗；</w:t>
      </w:r>
      <w:r>
        <w:rPr>
          <w:rFonts w:ascii="宋体" w:hAnsi="宋体"/>
          <w:sz w:val="28"/>
          <w:szCs w:val="28"/>
        </w:rPr>
        <w:t xml:space="preserve"> </w:t>
      </w:r>
    </w:p>
    <w:p>
      <w:pPr>
        <w:widowControl/>
        <w:spacing w:before="120" w:beforeLines="50" w:after="120" w:afterLines="50" w:line="360" w:lineRule="auto"/>
        <w:ind w:left="425"/>
        <w:jc w:val="left"/>
        <w:rPr>
          <w:rFonts w:ascii="宋体" w:hAnsi="宋体"/>
          <w:sz w:val="28"/>
          <w:szCs w:val="28"/>
        </w:rPr>
      </w:pPr>
      <w:r>
        <w:rPr>
          <w:rFonts w:ascii="宋体" w:hAnsi="宋体"/>
          <w:sz w:val="28"/>
          <w:szCs w:val="28"/>
        </w:rPr>
        <w:t>2</w:t>
      </w:r>
      <w:r>
        <w:rPr>
          <w:rFonts w:hint="eastAsia" w:ascii="宋体" w:hAnsi="宋体"/>
          <w:sz w:val="28"/>
          <w:szCs w:val="28"/>
        </w:rPr>
        <w:t>、建议本工程采用双保险的外墙吊板作业方式进行清洗外墙作业。具体清洗部位为：外立面玻璃、外墙铝塑板（不含铝合金百叶）、铝塑板外伸平台、雨棚；</w:t>
      </w:r>
    </w:p>
    <w:p>
      <w:pPr>
        <w:widowControl/>
        <w:spacing w:before="120" w:beforeLines="50" w:after="120" w:afterLines="50" w:line="360" w:lineRule="auto"/>
        <w:ind w:left="425"/>
        <w:jc w:val="left"/>
        <w:rPr>
          <w:rFonts w:ascii="宋体" w:hAnsi="宋体"/>
          <w:sz w:val="28"/>
          <w:szCs w:val="28"/>
        </w:rPr>
      </w:pPr>
      <w:r>
        <w:rPr>
          <w:rFonts w:ascii="宋体" w:hAnsi="宋体"/>
          <w:sz w:val="28"/>
          <w:szCs w:val="28"/>
        </w:rPr>
        <w:t>3</w:t>
      </w:r>
      <w:r>
        <w:rPr>
          <w:rFonts w:hint="eastAsia" w:ascii="宋体" w:hAnsi="宋体"/>
          <w:sz w:val="28"/>
          <w:szCs w:val="28"/>
        </w:rPr>
        <w:t>、施工质量要求：施工质量要求：清洗后的玻璃阳面、外墙瓷砖表面无尘无垢、光洁，铝塑板无尘无垢、无油渍；</w:t>
      </w:r>
    </w:p>
    <w:p>
      <w:pPr>
        <w:widowControl/>
        <w:spacing w:before="120" w:beforeLines="50" w:after="120" w:afterLines="50" w:line="360" w:lineRule="auto"/>
        <w:ind w:left="425"/>
        <w:jc w:val="left"/>
        <w:rPr>
          <w:rFonts w:ascii="宋体" w:hAnsi="宋体"/>
          <w:sz w:val="28"/>
          <w:szCs w:val="28"/>
        </w:rPr>
      </w:pPr>
      <w:r>
        <w:rPr>
          <w:rFonts w:ascii="宋体" w:hAnsi="宋体"/>
          <w:sz w:val="28"/>
          <w:szCs w:val="28"/>
        </w:rPr>
        <w:t>4</w:t>
      </w:r>
      <w:r>
        <w:rPr>
          <w:rFonts w:hint="eastAsia" w:ascii="宋体" w:hAnsi="宋体"/>
          <w:sz w:val="28"/>
          <w:szCs w:val="28"/>
        </w:rPr>
        <w:t>、安全保障要求：施工作业前，必须提前通知大楼物业管理告知楼内办公人员，注意关好门窗，避免清洗时造成对楼内办公人员及设施的影响；天面女儿墙边角位与放绳索部位用护垫进行垫护，以免女儿墙边角位与放绳索部位摩擦导致绳索割断，同时也防止绳索造成墙面玻璃及铝板损坏；施工作业时，吊板作业下方适当范围内必须用警示带围挡并设专人监护，严禁一切车辆及行人进入围挡区内；</w:t>
      </w:r>
    </w:p>
    <w:p>
      <w:pPr>
        <w:spacing w:before="120" w:beforeLines="50" w:after="120" w:afterLines="50" w:line="360" w:lineRule="auto"/>
        <w:ind w:left="425"/>
        <w:rPr>
          <w:rFonts w:ascii="宋体" w:hAnsi="宋体"/>
          <w:kern w:val="0"/>
          <w:sz w:val="28"/>
          <w:szCs w:val="28"/>
        </w:rPr>
      </w:pPr>
      <w:r>
        <w:rPr>
          <w:rFonts w:ascii="宋体" w:hAnsi="宋体"/>
          <w:sz w:val="28"/>
          <w:szCs w:val="28"/>
        </w:rPr>
        <w:t>5</w:t>
      </w:r>
      <w:r>
        <w:rPr>
          <w:rFonts w:hint="eastAsia" w:ascii="宋体" w:hAnsi="宋体"/>
          <w:sz w:val="28"/>
          <w:szCs w:val="28"/>
        </w:rPr>
        <w:t>、文明施工要求：施工中如有污物洒落在路面上，须在每天收工离场前彻底清理并洗刷干净，不得在其上留有污迹</w:t>
      </w:r>
      <w:r>
        <w:rPr>
          <w:rFonts w:hint="eastAsia" w:ascii="宋体" w:hAnsi="宋体"/>
          <w:kern w:val="0"/>
          <w:sz w:val="28"/>
          <w:szCs w:val="28"/>
        </w:rPr>
        <w:t>。</w:t>
      </w:r>
    </w:p>
    <w:p>
      <w:pPr>
        <w:numPr>
          <w:ilvl w:val="0"/>
          <w:numId w:val="4"/>
        </w:numPr>
        <w:spacing w:before="120" w:beforeLines="50" w:after="120" w:afterLines="50" w:line="360" w:lineRule="auto"/>
        <w:rPr>
          <w:rFonts w:ascii="宋体" w:hAnsi="宋体"/>
          <w:kern w:val="0"/>
          <w:sz w:val="28"/>
          <w:szCs w:val="28"/>
        </w:rPr>
      </w:pPr>
      <w:r>
        <w:rPr>
          <w:rFonts w:hint="eastAsia" w:ascii="宋体" w:hAnsi="宋体"/>
          <w:sz w:val="28"/>
          <w:szCs w:val="28"/>
        </w:rPr>
        <w:t>工程施工</w:t>
      </w:r>
      <w:r>
        <w:rPr>
          <w:rFonts w:hint="eastAsia" w:ascii="宋体" w:hAnsi="宋体"/>
          <w:kern w:val="0"/>
          <w:sz w:val="28"/>
          <w:szCs w:val="28"/>
        </w:rPr>
        <w:t>注意事项</w:t>
      </w:r>
    </w:p>
    <w:p>
      <w:pPr>
        <w:widowControl/>
        <w:numPr>
          <w:ilvl w:val="0"/>
          <w:numId w:val="5"/>
        </w:numPr>
        <w:spacing w:before="120" w:beforeLines="50" w:after="120" w:afterLines="50" w:line="360" w:lineRule="auto"/>
        <w:ind w:left="425" w:firstLine="0"/>
        <w:jc w:val="left"/>
        <w:rPr>
          <w:rFonts w:ascii="宋体" w:hAnsi="宋体"/>
          <w:sz w:val="28"/>
          <w:szCs w:val="28"/>
        </w:rPr>
      </w:pPr>
      <w:r>
        <w:rPr>
          <w:rFonts w:hint="eastAsia" w:ascii="宋体" w:hAnsi="宋体"/>
          <w:sz w:val="28"/>
          <w:szCs w:val="28"/>
        </w:rPr>
        <w:t>安全第一。严格执行我司的各项安全管理规章制度，在施工前需提交施工组织方案经我司批准后方可办理施工手续，所有高空作业用的工器具及绳索必须确认完好无损方可用在本工程项目中。</w:t>
      </w:r>
    </w:p>
    <w:p>
      <w:pPr>
        <w:widowControl/>
        <w:numPr>
          <w:ilvl w:val="0"/>
          <w:numId w:val="5"/>
        </w:numPr>
        <w:spacing w:before="120" w:beforeLines="50" w:after="120" w:afterLines="50" w:line="360" w:lineRule="auto"/>
        <w:ind w:left="425" w:firstLine="0"/>
        <w:jc w:val="left"/>
        <w:rPr>
          <w:rFonts w:ascii="宋体" w:hAnsi="宋体"/>
          <w:sz w:val="28"/>
          <w:szCs w:val="28"/>
        </w:rPr>
      </w:pPr>
      <w:r>
        <w:rPr>
          <w:rFonts w:hint="eastAsia" w:ascii="宋体" w:hAnsi="宋体"/>
          <w:sz w:val="28"/>
          <w:szCs w:val="28"/>
        </w:rPr>
        <w:t>施工时，注意成品保护，必要时采取围护、覆盖等有效措施。</w:t>
      </w:r>
    </w:p>
    <w:p>
      <w:pPr>
        <w:widowControl/>
        <w:numPr>
          <w:ilvl w:val="0"/>
          <w:numId w:val="5"/>
        </w:numPr>
        <w:spacing w:before="120" w:beforeLines="50" w:after="120" w:afterLines="50" w:line="360" w:lineRule="auto"/>
        <w:ind w:left="425" w:firstLine="0"/>
        <w:jc w:val="left"/>
        <w:rPr>
          <w:rFonts w:ascii="宋体" w:hAnsi="宋体"/>
          <w:sz w:val="28"/>
          <w:szCs w:val="28"/>
        </w:rPr>
      </w:pPr>
      <w:r>
        <w:rPr>
          <w:rFonts w:hint="eastAsia" w:ascii="宋体" w:hAnsi="宋体"/>
          <w:sz w:val="28"/>
          <w:szCs w:val="28"/>
        </w:rPr>
        <w:t>包施工垃圾外运，完工后场地必须做好清理工作。</w:t>
      </w:r>
    </w:p>
    <w:p>
      <w:pPr>
        <w:widowControl/>
        <w:numPr>
          <w:ilvl w:val="0"/>
          <w:numId w:val="5"/>
        </w:numPr>
        <w:spacing w:before="120" w:beforeLines="50" w:after="120" w:afterLines="50" w:line="360" w:lineRule="auto"/>
        <w:ind w:left="425" w:firstLine="0"/>
        <w:jc w:val="left"/>
        <w:rPr>
          <w:rFonts w:ascii="宋体" w:hAnsi="宋体"/>
          <w:sz w:val="28"/>
          <w:szCs w:val="28"/>
        </w:rPr>
      </w:pPr>
      <w:r>
        <w:rPr>
          <w:rFonts w:hint="eastAsia" w:ascii="宋体" w:hAnsi="宋体"/>
          <w:sz w:val="28"/>
          <w:szCs w:val="28"/>
        </w:rPr>
        <w:t>本工程涉及高空作业，高空作业人员必须持有效的高空作业证，同时必须按我司要求办理高空作业票，经我司批准后方可施工，施工现场必须做好防护，作业时系好安全带，并设专人监护。</w:t>
      </w:r>
    </w:p>
    <w:p>
      <w:pPr>
        <w:widowControl/>
        <w:numPr>
          <w:ilvl w:val="0"/>
          <w:numId w:val="5"/>
        </w:numPr>
        <w:spacing w:before="120" w:beforeLines="50" w:after="120" w:afterLines="50" w:line="360" w:lineRule="auto"/>
        <w:ind w:left="425" w:firstLine="0"/>
        <w:jc w:val="left"/>
        <w:rPr>
          <w:rFonts w:ascii="宋体" w:hAnsi="宋体"/>
          <w:sz w:val="28"/>
          <w:szCs w:val="28"/>
        </w:rPr>
      </w:pPr>
      <w:r>
        <w:rPr>
          <w:rFonts w:hint="eastAsia" w:ascii="宋体" w:hAnsi="宋体"/>
          <w:sz w:val="28"/>
          <w:szCs w:val="28"/>
        </w:rPr>
        <w:t>施工过程中要注意保护好施工现场的有关设备及设施，严禁野蛮作业，如因清洗工作造成大楼的设备设施损坏，施工单位必须承担相关的责任。</w:t>
      </w:r>
    </w:p>
    <w:p>
      <w:pPr>
        <w:numPr>
          <w:ilvl w:val="0"/>
          <w:numId w:val="1"/>
        </w:numPr>
        <w:tabs>
          <w:tab w:val="left" w:pos="540"/>
          <w:tab w:val="left" w:pos="720"/>
        </w:tabs>
        <w:spacing w:before="120" w:beforeLines="50" w:after="120" w:afterLines="50" w:line="360" w:lineRule="auto"/>
        <w:rPr>
          <w:rFonts w:ascii="宋体" w:hAnsi="宋体"/>
          <w:b/>
          <w:sz w:val="28"/>
          <w:szCs w:val="28"/>
        </w:rPr>
      </w:pPr>
      <w:r>
        <w:rPr>
          <w:rFonts w:hint="eastAsia" w:ascii="宋体" w:hAnsi="宋体"/>
          <w:b/>
          <w:sz w:val="28"/>
          <w:szCs w:val="28"/>
        </w:rPr>
        <w:t>工程量及材料说明</w:t>
      </w:r>
    </w:p>
    <w:p>
      <w:pPr>
        <w:spacing w:before="120" w:beforeLines="50" w:after="120" w:afterLines="50" w:line="360" w:lineRule="auto"/>
        <w:ind w:left="425" w:firstLine="560" w:firstLineChars="200"/>
        <w:rPr>
          <w:rFonts w:ascii="宋体" w:hAnsi="宋体"/>
          <w:sz w:val="28"/>
          <w:szCs w:val="28"/>
        </w:rPr>
      </w:pPr>
      <w:r>
        <w:rPr>
          <w:rFonts w:hint="eastAsia" w:ascii="宋体" w:hAnsi="宋体"/>
          <w:sz w:val="28"/>
          <w:szCs w:val="28"/>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14"/>
        <w:tblW w:w="91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713"/>
        <w:gridCol w:w="723"/>
        <w:gridCol w:w="838"/>
        <w:gridCol w:w="5182"/>
      </w:tblGrid>
      <w:tr>
        <w:tblPrEx>
          <w:tblLayout w:type="fixed"/>
        </w:tblPrEx>
        <w:trPr>
          <w:trHeight w:val="576" w:hRule="exact"/>
          <w:jc w:val="center"/>
        </w:trPr>
        <w:tc>
          <w:tcPr>
            <w:tcW w:w="737" w:type="dxa"/>
            <w:shd w:val="clear" w:color="auto" w:fill="auto"/>
            <w:vAlign w:val="center"/>
          </w:tcPr>
          <w:p>
            <w:pPr>
              <w:tabs>
                <w:tab w:val="left" w:pos="426"/>
              </w:tabs>
              <w:jc w:val="center"/>
              <w:rPr>
                <w:rFonts w:ascii="仿宋" w:hAnsi="仿宋" w:eastAsia="仿宋"/>
                <w:sz w:val="24"/>
              </w:rPr>
            </w:pPr>
            <w:r>
              <w:rPr>
                <w:rFonts w:hint="eastAsia" w:ascii="宋体" w:hAnsi="宋体"/>
                <w:sz w:val="24"/>
              </w:rPr>
              <w:t>序号</w:t>
            </w:r>
          </w:p>
        </w:tc>
        <w:tc>
          <w:tcPr>
            <w:tcW w:w="1713" w:type="dxa"/>
            <w:tcBorders>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项目名称</w:t>
            </w:r>
          </w:p>
        </w:tc>
        <w:tc>
          <w:tcPr>
            <w:tcW w:w="723" w:type="dxa"/>
            <w:vAlign w:val="center"/>
          </w:tcPr>
          <w:p>
            <w:pPr>
              <w:tabs>
                <w:tab w:val="left" w:pos="426"/>
              </w:tabs>
              <w:jc w:val="center"/>
              <w:rPr>
                <w:rFonts w:ascii="仿宋" w:hAnsi="仿宋" w:eastAsia="仿宋"/>
                <w:sz w:val="24"/>
              </w:rPr>
            </w:pPr>
            <w:r>
              <w:rPr>
                <w:rFonts w:hint="eastAsia" w:ascii="宋体" w:hAnsi="宋体"/>
                <w:sz w:val="24"/>
              </w:rPr>
              <w:t>单位</w:t>
            </w:r>
          </w:p>
        </w:tc>
        <w:tc>
          <w:tcPr>
            <w:tcW w:w="838" w:type="dxa"/>
            <w:tcBorders>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数量</w:t>
            </w:r>
          </w:p>
        </w:tc>
        <w:tc>
          <w:tcPr>
            <w:tcW w:w="5182" w:type="dxa"/>
            <w:tcBorders>
              <w:left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备注</w:t>
            </w:r>
          </w:p>
        </w:tc>
      </w:tr>
      <w:tr>
        <w:tblPrEx>
          <w:tblLayout w:type="fixed"/>
        </w:tblPrEx>
        <w:trPr>
          <w:trHeight w:val="896" w:hRule="exact"/>
          <w:jc w:val="center"/>
        </w:trPr>
        <w:tc>
          <w:tcPr>
            <w:tcW w:w="737" w:type="dxa"/>
            <w:tcBorders>
              <w:top w:val="single" w:color="auto" w:sz="4" w:space="0"/>
              <w:bottom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1</w:t>
            </w:r>
          </w:p>
        </w:tc>
        <w:tc>
          <w:tcPr>
            <w:tcW w:w="1713" w:type="dxa"/>
            <w:tcBorders>
              <w:top w:val="single" w:color="auto" w:sz="4" w:space="0"/>
              <w:bottom w:val="single" w:color="auto" w:sz="4" w:space="0"/>
              <w:right w:val="single" w:color="auto" w:sz="4" w:space="0"/>
            </w:tcBorders>
            <w:shd w:val="clear" w:color="auto" w:fill="auto"/>
            <w:vAlign w:val="center"/>
          </w:tcPr>
          <w:p>
            <w:pPr>
              <w:tabs>
                <w:tab w:val="left" w:pos="426"/>
              </w:tabs>
              <w:jc w:val="left"/>
              <w:rPr>
                <w:rFonts w:ascii="仿宋" w:hAnsi="仿宋" w:eastAsia="仿宋"/>
                <w:sz w:val="24"/>
              </w:rPr>
            </w:pPr>
            <w:r>
              <w:rPr>
                <w:rFonts w:hint="eastAsia" w:ascii="宋体" w:hAnsi="宋体"/>
                <w:sz w:val="24"/>
              </w:rPr>
              <w:t>清洗外立面</w:t>
            </w:r>
          </w:p>
        </w:tc>
        <w:tc>
          <w:tcPr>
            <w:tcW w:w="723" w:type="dxa"/>
            <w:tcBorders>
              <w:top w:val="single" w:color="auto" w:sz="4" w:space="0"/>
              <w:bottom w:val="single" w:color="auto" w:sz="4" w:space="0"/>
            </w:tcBorders>
            <w:vAlign w:val="center"/>
          </w:tcPr>
          <w:p>
            <w:pPr>
              <w:tabs>
                <w:tab w:val="left" w:pos="426"/>
              </w:tabs>
              <w:jc w:val="center"/>
              <w:rPr>
                <w:sz w:val="24"/>
              </w:rPr>
            </w:pPr>
            <w:r>
              <w:rPr>
                <w:rFonts w:hint="eastAsia" w:ascii="宋体" w:hAnsi="宋体"/>
                <w:sz w:val="24"/>
              </w:rPr>
              <w:t>㎡</w:t>
            </w:r>
          </w:p>
        </w:tc>
        <w:tc>
          <w:tcPr>
            <w:tcW w:w="838" w:type="dxa"/>
            <w:tcBorders>
              <w:top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16500</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该项以外立面投影面积进行计量（窗户窗框、装饰铝条不再计量）</w:t>
            </w:r>
          </w:p>
        </w:tc>
      </w:tr>
      <w:tr>
        <w:tblPrEx>
          <w:tblLayout w:type="fixed"/>
        </w:tblPrEx>
        <w:trPr>
          <w:trHeight w:val="1070" w:hRule="exact"/>
          <w:jc w:val="center"/>
        </w:trPr>
        <w:tc>
          <w:tcPr>
            <w:tcW w:w="737" w:type="dxa"/>
            <w:tcBorders>
              <w:top w:val="single" w:color="auto" w:sz="4" w:space="0"/>
              <w:bottom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2</w:t>
            </w:r>
          </w:p>
        </w:tc>
        <w:tc>
          <w:tcPr>
            <w:tcW w:w="1713" w:type="dxa"/>
            <w:tcBorders>
              <w:top w:val="single" w:color="auto" w:sz="4" w:space="0"/>
              <w:bottom w:val="single" w:color="auto" w:sz="4" w:space="0"/>
              <w:right w:val="single" w:color="auto" w:sz="4" w:space="0"/>
            </w:tcBorders>
            <w:shd w:val="clear" w:color="auto" w:fill="auto"/>
            <w:vAlign w:val="center"/>
          </w:tcPr>
          <w:p>
            <w:pPr>
              <w:tabs>
                <w:tab w:val="left" w:pos="426"/>
              </w:tabs>
              <w:jc w:val="left"/>
              <w:rPr>
                <w:rFonts w:ascii="仿宋" w:hAnsi="仿宋" w:eastAsia="仿宋"/>
                <w:sz w:val="24"/>
              </w:rPr>
            </w:pPr>
            <w:r>
              <w:rPr>
                <w:rFonts w:hint="eastAsia" w:ascii="宋体" w:hAnsi="宋体"/>
                <w:sz w:val="24"/>
              </w:rPr>
              <w:t>清洗铝塑板外伸平台</w:t>
            </w:r>
          </w:p>
        </w:tc>
        <w:tc>
          <w:tcPr>
            <w:tcW w:w="723" w:type="dxa"/>
            <w:tcBorders>
              <w:top w:val="single" w:color="auto" w:sz="4" w:space="0"/>
              <w:bottom w:val="single" w:color="auto" w:sz="4" w:space="0"/>
            </w:tcBorders>
            <w:vAlign w:val="center"/>
          </w:tcPr>
          <w:p>
            <w:pPr>
              <w:tabs>
                <w:tab w:val="left" w:pos="426"/>
              </w:tabs>
              <w:jc w:val="center"/>
              <w:rPr>
                <w:sz w:val="24"/>
              </w:rPr>
            </w:pPr>
            <w:r>
              <w:rPr>
                <w:rFonts w:hint="eastAsia" w:ascii="宋体" w:hAnsi="宋体"/>
                <w:sz w:val="24"/>
              </w:rPr>
              <w:t>㎡</w:t>
            </w:r>
          </w:p>
        </w:tc>
        <w:tc>
          <w:tcPr>
            <w:tcW w:w="838" w:type="dxa"/>
            <w:tcBorders>
              <w:top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350</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该项以平台上面、底面面积进行计量，均应清洁</w:t>
            </w:r>
          </w:p>
        </w:tc>
      </w:tr>
      <w:tr>
        <w:tblPrEx>
          <w:tblLayout w:type="fixed"/>
        </w:tblPrEx>
        <w:trPr>
          <w:trHeight w:val="865" w:hRule="exact"/>
          <w:jc w:val="center"/>
        </w:trPr>
        <w:tc>
          <w:tcPr>
            <w:tcW w:w="737" w:type="dxa"/>
            <w:tcBorders>
              <w:top w:val="single" w:color="auto" w:sz="4" w:space="0"/>
              <w:bottom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3</w:t>
            </w:r>
          </w:p>
        </w:tc>
        <w:tc>
          <w:tcPr>
            <w:tcW w:w="1713" w:type="dxa"/>
            <w:tcBorders>
              <w:top w:val="single" w:color="auto" w:sz="4" w:space="0"/>
              <w:bottom w:val="single" w:color="auto" w:sz="4" w:space="0"/>
              <w:right w:val="single" w:color="auto" w:sz="4" w:space="0"/>
            </w:tcBorders>
            <w:shd w:val="clear" w:color="auto" w:fill="auto"/>
            <w:vAlign w:val="center"/>
          </w:tcPr>
          <w:p>
            <w:pPr>
              <w:tabs>
                <w:tab w:val="left" w:pos="426"/>
              </w:tabs>
              <w:jc w:val="left"/>
              <w:rPr>
                <w:rFonts w:ascii="仿宋" w:hAnsi="仿宋" w:eastAsia="仿宋"/>
                <w:sz w:val="24"/>
              </w:rPr>
            </w:pPr>
            <w:r>
              <w:rPr>
                <w:rFonts w:hint="eastAsia" w:ascii="宋体" w:hAnsi="宋体"/>
                <w:sz w:val="24"/>
              </w:rPr>
              <w:t>清洗雨棚</w:t>
            </w:r>
          </w:p>
        </w:tc>
        <w:tc>
          <w:tcPr>
            <w:tcW w:w="723" w:type="dxa"/>
            <w:tcBorders>
              <w:top w:val="single" w:color="auto" w:sz="4" w:space="0"/>
              <w:bottom w:val="single" w:color="auto" w:sz="4" w:space="0"/>
            </w:tcBorders>
            <w:vAlign w:val="center"/>
          </w:tcPr>
          <w:p>
            <w:pPr>
              <w:tabs>
                <w:tab w:val="left" w:pos="426"/>
              </w:tabs>
              <w:jc w:val="center"/>
              <w:rPr>
                <w:sz w:val="24"/>
              </w:rPr>
            </w:pPr>
            <w:r>
              <w:rPr>
                <w:rFonts w:hint="eastAsia" w:ascii="宋体" w:hAnsi="宋体"/>
                <w:sz w:val="24"/>
              </w:rPr>
              <w:t>㎡</w:t>
            </w:r>
          </w:p>
        </w:tc>
        <w:tc>
          <w:tcPr>
            <w:tcW w:w="838" w:type="dxa"/>
            <w:tcBorders>
              <w:top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700</w:t>
            </w:r>
          </w:p>
        </w:tc>
        <w:tc>
          <w:tcPr>
            <w:tcW w:w="518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6"/>
              </w:tabs>
              <w:jc w:val="center"/>
              <w:rPr>
                <w:rFonts w:ascii="仿宋" w:hAnsi="仿宋" w:eastAsia="仿宋"/>
                <w:sz w:val="24"/>
              </w:rPr>
            </w:pPr>
            <w:r>
              <w:rPr>
                <w:rFonts w:hint="eastAsia" w:ascii="宋体" w:hAnsi="宋体"/>
                <w:sz w:val="24"/>
              </w:rPr>
              <w:t>该项以雨棚水平投影面积进行计量，实际施工应上面、底面均应清洁</w:t>
            </w:r>
          </w:p>
        </w:tc>
      </w:tr>
    </w:tbl>
    <w:p>
      <w:pPr>
        <w:spacing w:before="120" w:beforeLines="50" w:after="120" w:afterLines="50" w:line="360" w:lineRule="auto"/>
        <w:rPr>
          <w:rFonts w:ascii="宋体" w:hAnsi="宋体"/>
          <w:bCs/>
          <w:sz w:val="28"/>
          <w:szCs w:val="28"/>
        </w:rPr>
      </w:pPr>
      <w:r>
        <w:rPr>
          <w:rFonts w:hint="eastAsia" w:ascii="宋体" w:hAnsi="宋体"/>
          <w:bCs/>
          <w:sz w:val="28"/>
          <w:szCs w:val="28"/>
        </w:rPr>
        <w:t>备注：</w:t>
      </w:r>
    </w:p>
    <w:p>
      <w:pPr>
        <w:numPr>
          <w:ilvl w:val="0"/>
          <w:numId w:val="6"/>
        </w:numPr>
        <w:spacing w:before="120" w:beforeLines="50" w:after="120" w:afterLines="50" w:line="360" w:lineRule="auto"/>
        <w:rPr>
          <w:rFonts w:ascii="宋体" w:hAnsi="宋体"/>
          <w:bCs/>
          <w:sz w:val="28"/>
          <w:szCs w:val="28"/>
        </w:rPr>
      </w:pPr>
      <w:r>
        <w:rPr>
          <w:rFonts w:hint="eastAsia" w:ascii="宋体" w:hAnsi="宋体"/>
          <w:bCs/>
          <w:sz w:val="28"/>
          <w:szCs w:val="28"/>
        </w:rPr>
        <w:t>工程量清</w:t>
      </w:r>
      <w:r>
        <w:rPr>
          <w:rFonts w:hint="eastAsia"/>
          <w:kern w:val="0"/>
          <w:sz w:val="28"/>
          <w:szCs w:val="28"/>
        </w:rPr>
        <w:t>单报</w:t>
      </w:r>
      <w:r>
        <w:rPr>
          <w:rFonts w:hint="eastAsia" w:ascii="宋体" w:hAnsi="宋体"/>
          <w:bCs/>
          <w:sz w:val="28"/>
          <w:szCs w:val="28"/>
        </w:rPr>
        <w:t>价时建议按上述表格人工、材料分开单列报价。</w:t>
      </w:r>
    </w:p>
    <w:p>
      <w:pPr>
        <w:numPr>
          <w:ilvl w:val="0"/>
          <w:numId w:val="1"/>
        </w:numPr>
        <w:tabs>
          <w:tab w:val="left" w:pos="540"/>
          <w:tab w:val="left" w:pos="720"/>
        </w:tabs>
        <w:spacing w:before="120" w:beforeLines="50" w:after="120" w:afterLines="50" w:line="360" w:lineRule="auto"/>
        <w:rPr>
          <w:rFonts w:ascii="宋体" w:hAnsi="宋体"/>
          <w:b/>
          <w:sz w:val="28"/>
          <w:szCs w:val="28"/>
        </w:rPr>
      </w:pPr>
      <w:r>
        <w:rPr>
          <w:rFonts w:hint="eastAsia" w:ascii="宋体" w:hAnsi="宋体"/>
          <w:b/>
          <w:sz w:val="28"/>
          <w:szCs w:val="28"/>
        </w:rPr>
        <w:t>项目工期、验收标准及质保期限</w:t>
      </w:r>
    </w:p>
    <w:p>
      <w:pPr>
        <w:numPr>
          <w:ilvl w:val="0"/>
          <w:numId w:val="7"/>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施工工期</w:t>
      </w:r>
    </w:p>
    <w:p>
      <w:pPr>
        <w:spacing w:before="120" w:beforeLines="50" w:after="120" w:afterLines="50" w:line="360" w:lineRule="auto"/>
        <w:ind w:left="425" w:right="425" w:firstLine="560" w:firstLineChars="200"/>
        <w:rPr>
          <w:rFonts w:ascii="宋体" w:hAnsi="宋体" w:cs="宋体"/>
          <w:bCs/>
          <w:kern w:val="0"/>
          <w:sz w:val="28"/>
          <w:szCs w:val="28"/>
        </w:rPr>
      </w:pPr>
      <w:r>
        <w:rPr>
          <w:rFonts w:hint="eastAsia" w:ascii="宋体" w:hAnsi="宋体" w:cs="宋体"/>
          <w:bCs/>
          <w:kern w:val="0"/>
          <w:sz w:val="28"/>
          <w:szCs w:val="28"/>
        </w:rPr>
        <w:t>本项目总工期为</w:t>
      </w:r>
      <w:r>
        <w:rPr>
          <w:rFonts w:ascii="宋体" w:hAnsi="宋体" w:cs="宋体"/>
          <w:bCs/>
          <w:kern w:val="0"/>
          <w:sz w:val="28"/>
          <w:szCs w:val="28"/>
        </w:rPr>
        <w:t>12</w:t>
      </w:r>
      <w:r>
        <w:rPr>
          <w:rFonts w:hint="eastAsia" w:ascii="宋体" w:hAnsi="宋体" w:cs="宋体"/>
          <w:bCs/>
          <w:kern w:val="0"/>
          <w:sz w:val="28"/>
          <w:szCs w:val="28"/>
        </w:rPr>
        <w:t>天（含节假日，连续计算），具体开工日期以甲方通知为准。</w:t>
      </w:r>
    </w:p>
    <w:p>
      <w:pPr>
        <w:numPr>
          <w:ilvl w:val="0"/>
          <w:numId w:val="7"/>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工程验收标准及方式</w:t>
      </w:r>
    </w:p>
    <w:p>
      <w:pPr>
        <w:numPr>
          <w:ilvl w:val="0"/>
          <w:numId w:val="8"/>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验收标准：经过清洁后的玻璃幕墙、铝合金板达到无灰尘、污渍、无明显的胶痕，不划损铝金板漆面（施工前已划损的除外）玻璃幕墙洁净明亮，墙面石材无明显积尘，其他部件表面清洁光亮、无灰尘、无尘渍、无水泥、无腐蚀现象。</w:t>
      </w:r>
    </w:p>
    <w:p>
      <w:pPr>
        <w:numPr>
          <w:ilvl w:val="0"/>
          <w:numId w:val="8"/>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检验方法</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（1）目视检查每100㎡内不合格面积不得超过1.5㎡；</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（2）因本大楼建筑结构相对特殊、面积大以及工期较长，可针对当天清洗的部位，由施工单位现场负责人协同我司验收人员当天进行中间验收。</w:t>
      </w:r>
    </w:p>
    <w:p>
      <w:pPr>
        <w:numPr>
          <w:ilvl w:val="0"/>
          <w:numId w:val="8"/>
        </w:numPr>
        <w:spacing w:before="120" w:beforeLines="50" w:after="120" w:afterLines="50" w:line="360" w:lineRule="auto"/>
        <w:rPr>
          <w:rFonts w:ascii="宋体" w:hAnsi="宋体" w:cs="宋体"/>
          <w:bCs/>
          <w:kern w:val="0"/>
          <w:sz w:val="28"/>
          <w:szCs w:val="28"/>
        </w:rPr>
      </w:pPr>
      <w:r>
        <w:rPr>
          <w:rFonts w:hint="eastAsia" w:ascii="宋体" w:hAnsi="宋体" w:cs="宋体"/>
          <w:bCs/>
          <w:kern w:val="0"/>
          <w:sz w:val="28"/>
          <w:szCs w:val="28"/>
        </w:rPr>
        <w:t>工程验收的方式：</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（1）施工单位在完工后，须提前3天提交工程验收进度计划给采购人，以便采购人组织相关人员对项目进行验收。</w:t>
      </w:r>
    </w:p>
    <w:p>
      <w:pPr>
        <w:spacing w:before="120" w:beforeLines="50" w:after="120" w:afterLines="50" w:line="360" w:lineRule="auto"/>
        <w:ind w:left="561"/>
        <w:rPr>
          <w:rFonts w:ascii="宋体" w:hAnsi="宋体" w:cs="宋体"/>
          <w:bCs/>
          <w:kern w:val="0"/>
          <w:sz w:val="28"/>
          <w:szCs w:val="28"/>
        </w:rPr>
      </w:pPr>
      <w:r>
        <w:rPr>
          <w:rFonts w:hint="eastAsia" w:ascii="宋体" w:hAnsi="宋体" w:cs="宋体"/>
          <w:bCs/>
          <w:kern w:val="0"/>
          <w:sz w:val="28"/>
          <w:szCs w:val="28"/>
        </w:rPr>
        <w:t>（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pPr>
        <w:spacing w:before="120" w:beforeLines="50" w:after="120" w:afterLines="50" w:line="360" w:lineRule="auto"/>
        <w:ind w:left="561"/>
        <w:rPr>
          <w:rFonts w:ascii="宋体" w:hAnsi="宋体" w:cs="Calibri"/>
          <w:sz w:val="28"/>
          <w:szCs w:val="28"/>
        </w:rPr>
      </w:pPr>
      <w:r>
        <w:rPr>
          <w:rFonts w:hint="eastAsia" w:ascii="宋体" w:hAnsi="宋体" w:cs="宋体"/>
          <w:bCs/>
          <w:kern w:val="0"/>
          <w:sz w:val="28"/>
          <w:szCs w:val="28"/>
        </w:rPr>
        <w:t>（4）</w:t>
      </w:r>
      <w:r>
        <w:rPr>
          <w:rFonts w:hint="eastAsia" w:ascii="宋体" w:hAnsi="宋体" w:cs="Calibri"/>
          <w:sz w:val="28"/>
          <w:szCs w:val="28"/>
        </w:rPr>
        <w:t>来料验收、过程验收及竣工验收。</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工程费用及支付方式</w:t>
      </w:r>
    </w:p>
    <w:p>
      <w:pPr>
        <w:numPr>
          <w:ilvl w:val="0"/>
          <w:numId w:val="9"/>
        </w:numPr>
        <w:spacing w:before="120" w:beforeLines="50" w:after="120" w:afterLines="50" w:line="360" w:lineRule="auto"/>
        <w:rPr>
          <w:rFonts w:ascii="宋体" w:hAnsi="宋体" w:cs="Arial"/>
          <w:color w:val="000000"/>
          <w:sz w:val="28"/>
          <w:szCs w:val="28"/>
        </w:rPr>
      </w:pPr>
      <w:r>
        <w:rPr>
          <w:rFonts w:hint="eastAsia"/>
          <w:sz w:val="28"/>
          <w:szCs w:val="28"/>
        </w:rPr>
        <w:t>本工程采用</w:t>
      </w:r>
      <w:r>
        <w:rPr>
          <w:rFonts w:hint="eastAsia" w:ascii="宋体" w:hAnsi="宋体" w:cs="宋体"/>
          <w:bCs/>
          <w:kern w:val="0"/>
          <w:sz w:val="28"/>
          <w:szCs w:val="28"/>
        </w:rPr>
        <w:t>综合单价包干</w:t>
      </w:r>
      <w:r>
        <w:rPr>
          <w:rFonts w:ascii="宋体" w:hAnsi="宋体" w:cs="Arial"/>
          <w:color w:val="000000"/>
          <w:sz w:val="28"/>
          <w:szCs w:val="28"/>
        </w:rPr>
        <w:t>，</w:t>
      </w:r>
      <w:r>
        <w:rPr>
          <w:rFonts w:hint="eastAsia"/>
          <w:sz w:val="28"/>
          <w:szCs w:val="28"/>
        </w:rPr>
        <w:t>包工、包料、包工期、包质量、包安全、包安全文明施工</w:t>
      </w:r>
      <w:r>
        <w:rPr>
          <w:rFonts w:hint="eastAsia" w:ascii="宋体" w:hAnsi="宋体" w:cs="Arial"/>
          <w:color w:val="000000"/>
          <w:sz w:val="28"/>
          <w:szCs w:val="28"/>
        </w:rPr>
        <w:t>、包验收、包调试、包结算、包资料整理、包综合治理、</w:t>
      </w:r>
      <w:r>
        <w:rPr>
          <w:rFonts w:hint="eastAsia"/>
          <w:sz w:val="28"/>
          <w:szCs w:val="28"/>
        </w:rPr>
        <w:t>包风险、包利润和管理费等完成本项目的全部费用</w:t>
      </w:r>
      <w:r>
        <w:rPr>
          <w:rFonts w:ascii="宋体" w:hAnsi="宋体" w:cs="Arial"/>
          <w:color w:val="000000"/>
          <w:sz w:val="28"/>
          <w:szCs w:val="28"/>
        </w:rPr>
        <w:t>。</w:t>
      </w:r>
    </w:p>
    <w:p>
      <w:pPr>
        <w:numPr>
          <w:ilvl w:val="0"/>
          <w:numId w:val="9"/>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本项目的投标总价应</w:t>
      </w:r>
      <w:r>
        <w:rPr>
          <w:rFonts w:ascii="宋体" w:hAnsi="宋体" w:cs="Arial"/>
          <w:color w:val="000000"/>
          <w:sz w:val="28"/>
          <w:szCs w:val="28"/>
        </w:rPr>
        <w:t>包含</w:t>
      </w:r>
      <w:r>
        <w:rPr>
          <w:rFonts w:hint="eastAsia" w:ascii="宋体" w:hAnsi="宋体" w:cs="Arial"/>
          <w:color w:val="000000"/>
          <w:sz w:val="28"/>
          <w:szCs w:val="28"/>
        </w:rPr>
        <w:t>投标人按施工现场现状及施工范围根据采购人要求</w:t>
      </w:r>
      <w:r>
        <w:rPr>
          <w:rFonts w:ascii="宋体" w:hAnsi="宋体" w:cs="Arial"/>
          <w:color w:val="000000"/>
          <w:sz w:val="28"/>
          <w:szCs w:val="28"/>
        </w:rPr>
        <w:t>完成项</w:t>
      </w:r>
      <w:r>
        <w:rPr>
          <w:rFonts w:hint="eastAsia" w:ascii="宋体" w:hAnsi="宋体" w:cs="Arial"/>
          <w:color w:val="000000"/>
          <w:sz w:val="28"/>
          <w:szCs w:val="28"/>
        </w:rPr>
        <w:t>目约定全部</w:t>
      </w:r>
      <w:r>
        <w:rPr>
          <w:rFonts w:ascii="宋体" w:hAnsi="宋体" w:cs="Arial"/>
          <w:color w:val="000000"/>
          <w:sz w:val="28"/>
          <w:szCs w:val="28"/>
        </w:rPr>
        <w:t>工作所需的</w:t>
      </w:r>
      <w:r>
        <w:rPr>
          <w:rFonts w:hint="eastAsia" w:ascii="宋体" w:hAnsi="宋体" w:cs="Arial"/>
          <w:color w:val="000000"/>
          <w:sz w:val="28"/>
          <w:szCs w:val="28"/>
        </w:rPr>
        <w:t>税费及相关措施费及合同实施过程中应预见和不可预见的费用等等。工程量清单和竞选范围内的报价如有漏计或漏项的，视为投标人单方面作出的让利，费用不另行增加。</w:t>
      </w:r>
    </w:p>
    <w:p>
      <w:pPr>
        <w:numPr>
          <w:ilvl w:val="0"/>
          <w:numId w:val="9"/>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付款方式</w:t>
      </w:r>
    </w:p>
    <w:p>
      <w:pPr>
        <w:numPr>
          <w:ilvl w:val="0"/>
          <w:numId w:val="10"/>
        </w:numPr>
        <w:spacing w:before="120" w:beforeLines="50" w:after="120" w:afterLines="50" w:line="360" w:lineRule="auto"/>
        <w:rPr>
          <w:rFonts w:ascii="宋体" w:hAnsi="宋体"/>
          <w:sz w:val="28"/>
          <w:szCs w:val="28"/>
        </w:rPr>
      </w:pPr>
      <w:r>
        <w:rPr>
          <w:rFonts w:hint="eastAsia" w:ascii="宋体" w:hAnsi="宋体" w:cs="Arial"/>
          <w:color w:val="000000"/>
          <w:sz w:val="28"/>
          <w:szCs w:val="28"/>
        </w:rPr>
        <w:t>在本合</w:t>
      </w:r>
      <w:r>
        <w:rPr>
          <w:rFonts w:hint="eastAsia" w:ascii="宋体" w:hAnsi="宋体"/>
          <w:sz w:val="28"/>
          <w:szCs w:val="28"/>
        </w:rPr>
        <w:t>同履行期内，若国家税费调整，合同含税金额按国家规定税率作出相应调整，供方每次申请付款应按照合同内容开具相应税率的合法有效的增值税专用发票。</w:t>
      </w:r>
    </w:p>
    <w:p>
      <w:pPr>
        <w:numPr>
          <w:ilvl w:val="0"/>
          <w:numId w:val="10"/>
        </w:numPr>
        <w:spacing w:before="120" w:beforeLines="50" w:after="120" w:afterLines="50" w:line="360" w:lineRule="auto"/>
        <w:rPr>
          <w:rFonts w:ascii="宋体" w:hAnsi="宋体" w:cs="Arial"/>
          <w:color w:val="000000"/>
          <w:sz w:val="28"/>
          <w:szCs w:val="28"/>
        </w:rPr>
      </w:pPr>
      <w:r>
        <w:rPr>
          <w:rFonts w:hint="eastAsia" w:ascii="宋体" w:hAnsi="宋体" w:cs="Arial"/>
          <w:color w:val="000000"/>
          <w:sz w:val="28"/>
          <w:szCs w:val="28"/>
        </w:rPr>
        <w:t>合同签订并进场工作后，甲方收到乙方请款资料后7个工作日内支付合同暂定总价的30%预付款；工程全部完工验收合格和完成结算手续后，甲方收到乙方请款资料后15个工作日内支付至合同结算总价的95%（含预付款），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投标文件</w:t>
      </w:r>
    </w:p>
    <w:p>
      <w:pPr>
        <w:spacing w:before="120" w:beforeLines="50" w:after="120" w:afterLines="50" w:line="360" w:lineRule="auto"/>
        <w:ind w:left="425" w:firstLine="560" w:firstLineChars="200"/>
        <w:rPr>
          <w:sz w:val="28"/>
          <w:szCs w:val="28"/>
        </w:rPr>
      </w:pPr>
      <w:r>
        <w:rPr>
          <w:rFonts w:hint="eastAsia"/>
          <w:sz w:val="28"/>
          <w:szCs w:val="28"/>
        </w:rPr>
        <w:t>根据</w:t>
      </w:r>
      <w:r>
        <w:rPr>
          <w:rFonts w:hint="eastAsia" w:ascii="宋体" w:hAnsi="宋体" w:cs="Arial"/>
          <w:color w:val="000000"/>
          <w:sz w:val="28"/>
          <w:szCs w:val="28"/>
        </w:rPr>
        <w:t>采购</w:t>
      </w:r>
      <w:r>
        <w:rPr>
          <w:rFonts w:hint="eastAsia"/>
          <w:sz w:val="28"/>
          <w:szCs w:val="28"/>
        </w:rPr>
        <w:t>人要求的投标文件格式，进行密封报价（盖章）。投标文件应包含以下内容：</w:t>
      </w:r>
    </w:p>
    <w:p>
      <w:pPr>
        <w:numPr>
          <w:ilvl w:val="0"/>
          <w:numId w:val="11"/>
        </w:numPr>
        <w:spacing w:before="120" w:beforeLines="50" w:after="120" w:afterLines="50" w:line="360" w:lineRule="auto"/>
        <w:rPr>
          <w:sz w:val="28"/>
          <w:szCs w:val="28"/>
        </w:rPr>
      </w:pPr>
      <w:r>
        <w:rPr>
          <w:rFonts w:hint="eastAsia" w:ascii="宋体" w:hAnsi="宋体" w:cs="Arial"/>
          <w:color w:val="000000"/>
          <w:sz w:val="28"/>
          <w:szCs w:val="28"/>
        </w:rPr>
        <w:t>商务部</w:t>
      </w:r>
      <w:r>
        <w:rPr>
          <w:rFonts w:hint="eastAsia"/>
          <w:sz w:val="28"/>
          <w:szCs w:val="28"/>
        </w:rPr>
        <w:t>分（提供复印件，并加盖公章）</w:t>
      </w:r>
    </w:p>
    <w:p>
      <w:pPr>
        <w:numPr>
          <w:ilvl w:val="0"/>
          <w:numId w:val="12"/>
        </w:numPr>
        <w:spacing w:before="120" w:beforeLines="50" w:after="120" w:afterLines="50" w:line="360" w:lineRule="auto"/>
        <w:rPr>
          <w:rFonts w:ascii="宋体" w:hAnsi="宋体"/>
          <w:sz w:val="28"/>
          <w:szCs w:val="28"/>
        </w:rPr>
      </w:pPr>
      <w:bookmarkStart w:id="0" w:name="_Hlk33472787"/>
      <w:r>
        <w:rPr>
          <w:rFonts w:hint="eastAsia" w:ascii="宋体" w:hAnsi="宋体"/>
          <w:sz w:val="28"/>
          <w:szCs w:val="28"/>
        </w:rPr>
        <w:t>有效的企业工商营业执照、企业法人组织机构代码证书、税务登记证书（或三证合一）；</w:t>
      </w:r>
    </w:p>
    <w:p>
      <w:pPr>
        <w:numPr>
          <w:ilvl w:val="0"/>
          <w:numId w:val="12"/>
        </w:numPr>
        <w:spacing w:before="120" w:beforeLines="50" w:after="120" w:afterLines="50" w:line="360" w:lineRule="auto"/>
        <w:rPr>
          <w:rFonts w:ascii="宋体" w:hAnsi="宋体"/>
          <w:sz w:val="28"/>
          <w:szCs w:val="28"/>
        </w:rPr>
      </w:pPr>
      <w:r>
        <w:rPr>
          <w:rFonts w:hint="eastAsia" w:ascii="宋体" w:hAnsi="宋体"/>
          <w:sz w:val="28"/>
          <w:szCs w:val="28"/>
        </w:rPr>
        <w:t>供应商调查表（格式见附件2）</w:t>
      </w:r>
    </w:p>
    <w:p>
      <w:pPr>
        <w:numPr>
          <w:ilvl w:val="0"/>
          <w:numId w:val="12"/>
        </w:numPr>
        <w:spacing w:before="120" w:beforeLines="50" w:after="120" w:afterLines="50" w:line="360" w:lineRule="auto"/>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12"/>
        </w:numPr>
        <w:spacing w:before="120" w:beforeLines="50" w:after="120" w:afterLines="50" w:line="360" w:lineRule="auto"/>
        <w:rPr>
          <w:rFonts w:ascii="宋体" w:hAnsi="宋体"/>
          <w:sz w:val="28"/>
          <w:szCs w:val="28"/>
        </w:rPr>
      </w:pPr>
      <w:r>
        <w:rPr>
          <w:rFonts w:hint="eastAsia" w:ascii="宋体" w:hAnsi="宋体"/>
          <w:sz w:val="28"/>
          <w:szCs w:val="28"/>
        </w:rPr>
        <w:t>有效的资质证书和安全生产许可证；</w:t>
      </w:r>
    </w:p>
    <w:p>
      <w:pPr>
        <w:numPr>
          <w:ilvl w:val="0"/>
          <w:numId w:val="12"/>
        </w:numPr>
        <w:spacing w:before="120" w:beforeLines="50" w:after="120" w:afterLines="50" w:line="360" w:lineRule="auto"/>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12"/>
        </w:numPr>
        <w:spacing w:before="120" w:beforeLines="50" w:after="120" w:afterLines="50" w:line="360" w:lineRule="auto"/>
        <w:rPr>
          <w:rFonts w:ascii="宋体" w:hAnsi="宋体"/>
          <w:sz w:val="28"/>
          <w:szCs w:val="28"/>
        </w:rPr>
      </w:pPr>
      <w:r>
        <w:rPr>
          <w:rFonts w:hint="eastAsia" w:ascii="宋体" w:hAnsi="宋体"/>
          <w:sz w:val="28"/>
          <w:szCs w:val="28"/>
        </w:rPr>
        <w:t>近3年内(2017年1月1日至今) 完成过质量合格的类似项目业绩（需提供合同和验收报告等相关证明材料复印件）；</w:t>
      </w:r>
    </w:p>
    <w:p>
      <w:pPr>
        <w:numPr>
          <w:ilvl w:val="0"/>
          <w:numId w:val="12"/>
        </w:numPr>
        <w:spacing w:before="120" w:beforeLines="50" w:after="120" w:afterLines="50" w:line="360" w:lineRule="auto"/>
        <w:rPr>
          <w:sz w:val="28"/>
          <w:szCs w:val="28"/>
        </w:rPr>
      </w:pPr>
      <w:r>
        <w:rPr>
          <w:rFonts w:hint="eastAsia" w:ascii="宋体" w:hAnsi="宋体"/>
          <w:sz w:val="28"/>
          <w:szCs w:val="28"/>
        </w:rPr>
        <w:t>投标人认为有</w:t>
      </w:r>
      <w:r>
        <w:rPr>
          <w:rFonts w:hint="eastAsia" w:ascii="宋体" w:hAnsi="宋体" w:cs="Arial"/>
          <w:color w:val="000000"/>
          <w:sz w:val="28"/>
          <w:szCs w:val="28"/>
        </w:rPr>
        <w:t>必要的其他材料复印件</w:t>
      </w:r>
      <w:bookmarkEnd w:id="0"/>
      <w:r>
        <w:rPr>
          <w:rFonts w:hint="eastAsia" w:ascii="宋体" w:hAnsi="宋体" w:cs="Arial"/>
          <w:color w:val="000000"/>
          <w:sz w:val="28"/>
          <w:szCs w:val="28"/>
        </w:rPr>
        <w:t>。</w:t>
      </w:r>
    </w:p>
    <w:p>
      <w:pPr>
        <w:numPr>
          <w:ilvl w:val="0"/>
          <w:numId w:val="11"/>
        </w:numPr>
        <w:spacing w:before="120" w:beforeLines="50" w:after="120" w:afterLines="50" w:line="360" w:lineRule="auto"/>
        <w:rPr>
          <w:sz w:val="28"/>
          <w:szCs w:val="28"/>
        </w:rPr>
      </w:pPr>
      <w:r>
        <w:rPr>
          <w:rFonts w:hint="eastAsia"/>
          <w:sz w:val="28"/>
          <w:szCs w:val="28"/>
        </w:rPr>
        <w:t>技术</w:t>
      </w:r>
      <w:r>
        <w:rPr>
          <w:rFonts w:hint="eastAsia" w:ascii="宋体" w:hAnsi="宋体" w:cs="Arial"/>
          <w:color w:val="000000"/>
          <w:sz w:val="28"/>
          <w:szCs w:val="28"/>
        </w:rPr>
        <w:t>部分</w:t>
      </w:r>
      <w:r>
        <w:rPr>
          <w:rFonts w:hint="eastAsia"/>
          <w:sz w:val="28"/>
          <w:szCs w:val="28"/>
        </w:rPr>
        <w:t>（格式自定，加盖公章）</w:t>
      </w:r>
    </w:p>
    <w:p>
      <w:pPr>
        <w:spacing w:before="120" w:beforeLines="50" w:after="120" w:afterLines="50" w:line="360" w:lineRule="auto"/>
        <w:ind w:left="425" w:firstLine="560" w:firstLineChars="200"/>
        <w:rPr>
          <w:sz w:val="28"/>
          <w:szCs w:val="28"/>
        </w:rPr>
      </w:pPr>
      <w:r>
        <w:rPr>
          <w:rFonts w:hint="eastAsia"/>
          <w:sz w:val="28"/>
          <w:szCs w:val="28"/>
        </w:rPr>
        <w:t>施工</w:t>
      </w:r>
      <w:r>
        <w:rPr>
          <w:rFonts w:hint="eastAsia" w:ascii="宋体" w:hAnsi="宋体" w:cs="Arial"/>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numPr>
          <w:ilvl w:val="0"/>
          <w:numId w:val="13"/>
        </w:numPr>
        <w:spacing w:before="120" w:beforeLines="50" w:after="120" w:afterLines="50" w:line="360" w:lineRule="auto"/>
        <w:rPr>
          <w:rFonts w:ascii="宋体" w:hAnsi="宋体"/>
          <w:sz w:val="28"/>
          <w:szCs w:val="28"/>
        </w:rPr>
      </w:pPr>
      <w:bookmarkStart w:id="1" w:name="_Hlk33472829"/>
      <w:r>
        <w:rPr>
          <w:rFonts w:hint="eastAsia" w:ascii="宋体" w:hAnsi="宋体" w:cs="Arial"/>
          <w:color w:val="000000"/>
          <w:sz w:val="28"/>
          <w:szCs w:val="28"/>
        </w:rPr>
        <w:t>总体实施</w:t>
      </w:r>
      <w:r>
        <w:rPr>
          <w:rFonts w:hint="eastAsia" w:ascii="宋体" w:hAnsi="宋体"/>
          <w:sz w:val="28"/>
          <w:szCs w:val="28"/>
        </w:rPr>
        <w:t>方案；</w:t>
      </w:r>
    </w:p>
    <w:p>
      <w:pPr>
        <w:numPr>
          <w:ilvl w:val="0"/>
          <w:numId w:val="13"/>
        </w:numPr>
        <w:spacing w:before="120" w:beforeLines="50" w:after="120" w:afterLines="50" w:line="360" w:lineRule="auto"/>
        <w:rPr>
          <w:rFonts w:ascii="宋体" w:hAnsi="宋体"/>
          <w:sz w:val="28"/>
          <w:szCs w:val="28"/>
        </w:rPr>
      </w:pPr>
      <w:r>
        <w:rPr>
          <w:rFonts w:hint="eastAsia" w:ascii="宋体" w:hAnsi="宋体"/>
          <w:sz w:val="28"/>
          <w:szCs w:val="28"/>
        </w:rPr>
        <w:t>实施进度计划和工期承诺书；</w:t>
      </w:r>
    </w:p>
    <w:p>
      <w:pPr>
        <w:numPr>
          <w:ilvl w:val="0"/>
          <w:numId w:val="13"/>
        </w:numPr>
        <w:spacing w:before="120" w:beforeLines="50" w:after="120" w:afterLines="50" w:line="360" w:lineRule="auto"/>
        <w:rPr>
          <w:rFonts w:ascii="宋体" w:hAnsi="宋体"/>
          <w:sz w:val="28"/>
          <w:szCs w:val="28"/>
        </w:rPr>
      </w:pPr>
      <w:r>
        <w:rPr>
          <w:rFonts w:hint="eastAsia" w:ascii="宋体" w:hAnsi="宋体"/>
          <w:sz w:val="28"/>
          <w:szCs w:val="28"/>
        </w:rPr>
        <w:t>确保实施进度的技术和组织措施；</w:t>
      </w:r>
    </w:p>
    <w:p>
      <w:pPr>
        <w:numPr>
          <w:ilvl w:val="0"/>
          <w:numId w:val="13"/>
        </w:numPr>
        <w:spacing w:before="120" w:beforeLines="50" w:after="120" w:afterLines="50" w:line="360" w:lineRule="auto"/>
        <w:rPr>
          <w:rFonts w:ascii="宋体" w:hAnsi="宋体"/>
          <w:sz w:val="28"/>
          <w:szCs w:val="28"/>
        </w:rPr>
      </w:pPr>
      <w:r>
        <w:rPr>
          <w:rFonts w:hint="eastAsia" w:ascii="宋体" w:hAnsi="宋体"/>
          <w:sz w:val="28"/>
          <w:szCs w:val="28"/>
        </w:rPr>
        <w:t>确保安全文明施工的技术和组织措施；</w:t>
      </w:r>
    </w:p>
    <w:p>
      <w:pPr>
        <w:numPr>
          <w:ilvl w:val="0"/>
          <w:numId w:val="13"/>
        </w:numPr>
        <w:spacing w:before="120" w:beforeLines="50" w:after="120" w:afterLines="50" w:line="360" w:lineRule="auto"/>
        <w:rPr>
          <w:rFonts w:ascii="宋体" w:hAnsi="宋体"/>
          <w:sz w:val="28"/>
          <w:szCs w:val="28"/>
        </w:rPr>
      </w:pPr>
      <w:r>
        <w:rPr>
          <w:rFonts w:hint="eastAsia" w:ascii="宋体" w:hAnsi="宋体"/>
          <w:sz w:val="28"/>
          <w:szCs w:val="28"/>
        </w:rPr>
        <w:t>投入的机械设备；</w:t>
      </w:r>
    </w:p>
    <w:p>
      <w:pPr>
        <w:numPr>
          <w:ilvl w:val="0"/>
          <w:numId w:val="13"/>
        </w:numPr>
        <w:spacing w:before="120" w:beforeLines="50" w:after="120" w:afterLines="50" w:line="360" w:lineRule="auto"/>
        <w:rPr>
          <w:sz w:val="28"/>
          <w:szCs w:val="28"/>
        </w:rPr>
      </w:pPr>
      <w:r>
        <w:rPr>
          <w:rFonts w:hint="eastAsia" w:ascii="宋体" w:hAnsi="宋体"/>
          <w:sz w:val="28"/>
          <w:szCs w:val="28"/>
        </w:rPr>
        <w:t>投标人认为其它需</w:t>
      </w:r>
      <w:r>
        <w:rPr>
          <w:rFonts w:hint="eastAsia" w:ascii="宋体" w:hAnsi="宋体" w:cs="Arial"/>
          <w:color w:val="000000"/>
          <w:sz w:val="28"/>
          <w:szCs w:val="28"/>
        </w:rPr>
        <w:t>要说明的文字</w:t>
      </w:r>
      <w:bookmarkEnd w:id="1"/>
      <w:r>
        <w:rPr>
          <w:rFonts w:hint="eastAsia" w:ascii="宋体" w:hAnsi="宋体" w:cs="Arial"/>
          <w:color w:val="000000"/>
          <w:sz w:val="28"/>
          <w:szCs w:val="28"/>
        </w:rPr>
        <w:t>。</w:t>
      </w:r>
    </w:p>
    <w:p>
      <w:pPr>
        <w:numPr>
          <w:ilvl w:val="0"/>
          <w:numId w:val="11"/>
        </w:numPr>
        <w:spacing w:before="120" w:beforeLines="50" w:after="120" w:afterLines="50" w:line="360" w:lineRule="auto"/>
        <w:rPr>
          <w:sz w:val="28"/>
          <w:szCs w:val="28"/>
        </w:rPr>
      </w:pPr>
      <w:r>
        <w:rPr>
          <w:rFonts w:hint="eastAsia"/>
          <w:sz w:val="28"/>
          <w:szCs w:val="28"/>
        </w:rPr>
        <w:t>价格文件（加盖公章）</w:t>
      </w:r>
    </w:p>
    <w:p>
      <w:pPr>
        <w:numPr>
          <w:ilvl w:val="0"/>
          <w:numId w:val="14"/>
        </w:numPr>
        <w:spacing w:before="120" w:beforeLines="50" w:after="120" w:afterLines="50" w:line="360" w:lineRule="auto"/>
        <w:rPr>
          <w:rFonts w:ascii="宋体" w:hAnsi="宋体"/>
          <w:sz w:val="28"/>
          <w:szCs w:val="28"/>
        </w:rPr>
      </w:pPr>
      <w:bookmarkStart w:id="2" w:name="_Hlk33472852"/>
      <w:r>
        <w:rPr>
          <w:rFonts w:hint="eastAsia" w:ascii="宋体" w:hAnsi="宋体" w:cs="Arial"/>
          <w:color w:val="000000"/>
          <w:sz w:val="28"/>
          <w:szCs w:val="28"/>
        </w:rPr>
        <w:t>报价一览表</w:t>
      </w:r>
      <w:r>
        <w:rPr>
          <w:rFonts w:hint="eastAsia" w:ascii="宋体" w:hAnsi="宋体"/>
          <w:sz w:val="28"/>
          <w:szCs w:val="28"/>
        </w:rPr>
        <w:t>（格式见附件1）</w:t>
      </w:r>
    </w:p>
    <w:p>
      <w:pPr>
        <w:numPr>
          <w:ilvl w:val="0"/>
          <w:numId w:val="14"/>
        </w:numPr>
        <w:spacing w:before="120" w:beforeLines="50" w:after="120" w:afterLines="50" w:line="360" w:lineRule="auto"/>
        <w:rPr>
          <w:rFonts w:ascii="宋体" w:hAnsi="宋体" w:cs="Arial"/>
          <w:color w:val="000000"/>
          <w:sz w:val="28"/>
          <w:szCs w:val="28"/>
        </w:rPr>
      </w:pPr>
      <w:r>
        <w:rPr>
          <w:rFonts w:hint="eastAsia" w:ascii="宋体" w:hAnsi="宋体"/>
          <w:sz w:val="28"/>
          <w:szCs w:val="28"/>
        </w:rPr>
        <w:t>报价明细表：采用工程量清单计价，按本竞选文件所附工程量清单和乙供主要材料清单</w:t>
      </w:r>
      <w:r>
        <w:rPr>
          <w:rFonts w:hint="eastAsia" w:ascii="宋体" w:hAnsi="宋体" w:cs="Arial"/>
          <w:color w:val="000000"/>
          <w:sz w:val="28"/>
          <w:szCs w:val="28"/>
        </w:rPr>
        <w:t>报价，并以此作为结算依据，包括但不限于工程量清单和乙供主要材料清单各项目单价及综合总报价，并注明未含税总价、税率和含税总价</w:t>
      </w:r>
      <w:bookmarkEnd w:id="2"/>
      <w:r>
        <w:rPr>
          <w:rFonts w:hint="eastAsia" w:ascii="宋体" w:hAnsi="宋体" w:cs="Arial"/>
          <w:color w:val="000000"/>
          <w:sz w:val="28"/>
          <w:szCs w:val="28"/>
        </w:rPr>
        <w:t>。</w:t>
      </w:r>
    </w:p>
    <w:p>
      <w:pPr>
        <w:numPr>
          <w:ilvl w:val="0"/>
          <w:numId w:val="1"/>
        </w:numPr>
        <w:tabs>
          <w:tab w:val="left" w:pos="540"/>
          <w:tab w:val="left" w:pos="720"/>
        </w:tabs>
        <w:spacing w:before="120" w:beforeLines="50" w:after="120" w:afterLines="50" w:line="360" w:lineRule="auto"/>
        <w:rPr>
          <w:b/>
          <w:sz w:val="28"/>
          <w:szCs w:val="28"/>
        </w:rPr>
      </w:pPr>
      <w:r>
        <w:rPr>
          <w:rFonts w:hint="eastAsia"/>
          <w:b/>
          <w:sz w:val="28"/>
          <w:szCs w:val="28"/>
        </w:rPr>
        <w:t>评标方法</w:t>
      </w:r>
    </w:p>
    <w:p>
      <w:pPr>
        <w:spacing w:before="120" w:beforeLines="50" w:after="120" w:afterLines="50" w:line="360" w:lineRule="auto"/>
        <w:ind w:left="425" w:firstLine="560" w:firstLineChars="200"/>
        <w:rPr>
          <w:sz w:val="28"/>
          <w:szCs w:val="28"/>
        </w:rPr>
      </w:pPr>
      <w:bookmarkStart w:id="3" w:name="_Hlk33472865"/>
      <w:r>
        <w:rPr>
          <w:rFonts w:hint="eastAsia"/>
          <w:sz w:val="28"/>
          <w:szCs w:val="28"/>
        </w:rPr>
        <w:t>本项目采用经评审的最低评标价法确定中标候选人。同时通过投标人资格审查（见附件5）和投标文件有效性审查（见附件6）后，各投标人按有效投标报价由低至高的顺序依次排列，排名第一为第一中标候选人。投标人实行信用评价管理，具体见附件7和附件8。</w:t>
      </w:r>
    </w:p>
    <w:bookmarkEnd w:id="3"/>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r>
        <w:rPr>
          <w:rFonts w:hint="eastAsia" w:ascii="宋体" w:hAnsi="宋体" w:cs="Arial"/>
          <w:b/>
          <w:color w:val="000000"/>
          <w:sz w:val="28"/>
          <w:szCs w:val="28"/>
        </w:rPr>
        <w:t>勘踏现场</w:t>
      </w:r>
    </w:p>
    <w:p>
      <w:pPr>
        <w:spacing w:before="120" w:beforeLines="50" w:after="120" w:afterLines="50" w:line="360" w:lineRule="auto"/>
        <w:ind w:left="425" w:firstLine="560" w:firstLineChars="200"/>
        <w:rPr>
          <w:sz w:val="28"/>
          <w:szCs w:val="28"/>
        </w:rPr>
      </w:pPr>
      <w:bookmarkStart w:id="4" w:name="_Hlk33472887"/>
      <w:r>
        <w:rPr>
          <w:rFonts w:hint="eastAsia"/>
          <w:sz w:val="28"/>
          <w:szCs w:val="28"/>
        </w:rPr>
        <w:t>投标人有必要勘踏现场，充分了解清楚施工现场的环境和要求，以便投标人获取那些须投标人自己负责的有关编制投标文件和签署合同所涉及现场所</w:t>
      </w:r>
      <w:r>
        <w:rPr>
          <w:rFonts w:hint="eastAsia" w:ascii="宋体" w:hAnsi="宋体"/>
          <w:sz w:val="28"/>
          <w:szCs w:val="28"/>
        </w:rPr>
        <w:t>有的资料。一旦中标，这种考察即被认为其结果已在中标文件中得到充分反映。考察现场的费用由投标人自己承担，如因对现场不了解导致报价的失误，由投标人承担</w:t>
      </w:r>
      <w:bookmarkEnd w:id="4"/>
      <w:r>
        <w:rPr>
          <w:rFonts w:hint="eastAsia" w:ascii="宋体" w:hAnsi="宋体"/>
          <w:sz w:val="28"/>
          <w:szCs w:val="28"/>
        </w:rPr>
        <w:t>。勘踏现场时间：2020年</w:t>
      </w:r>
      <w:r>
        <w:rPr>
          <w:rFonts w:ascii="宋体" w:hAnsi="宋体"/>
          <w:sz w:val="28"/>
          <w:szCs w:val="28"/>
        </w:rPr>
        <w:t>12</w:t>
      </w:r>
      <w:r>
        <w:rPr>
          <w:rFonts w:hint="eastAsia" w:ascii="宋体" w:hAnsi="宋体"/>
          <w:sz w:val="28"/>
          <w:szCs w:val="28"/>
        </w:rPr>
        <w:t>月</w:t>
      </w:r>
      <w:r>
        <w:rPr>
          <w:rFonts w:ascii="宋体" w:hAnsi="宋体"/>
          <w:sz w:val="28"/>
          <w:szCs w:val="28"/>
        </w:rPr>
        <w:t>11</w:t>
      </w:r>
      <w:r>
        <w:rPr>
          <w:rFonts w:hint="eastAsia" w:ascii="宋体" w:hAnsi="宋体"/>
          <w:sz w:val="28"/>
          <w:szCs w:val="28"/>
        </w:rPr>
        <w:t>日</w:t>
      </w:r>
      <w:r>
        <w:rPr>
          <w:rFonts w:ascii="宋体" w:hAnsi="宋体"/>
          <w:sz w:val="28"/>
          <w:szCs w:val="28"/>
        </w:rPr>
        <w:t>10</w:t>
      </w:r>
      <w:r>
        <w:rPr>
          <w:rFonts w:hint="eastAsia" w:ascii="宋体" w:hAnsi="宋体"/>
          <w:sz w:val="28"/>
          <w:szCs w:val="28"/>
        </w:rPr>
        <w:t>时</w:t>
      </w:r>
      <w:r>
        <w:rPr>
          <w:rFonts w:ascii="宋体" w:hAnsi="宋体"/>
          <w:sz w:val="28"/>
          <w:szCs w:val="28"/>
        </w:rPr>
        <w:t>00</w:t>
      </w:r>
      <w:r>
        <w:rPr>
          <w:rFonts w:hint="eastAsia" w:ascii="宋体" w:hAnsi="宋体"/>
          <w:sz w:val="28"/>
          <w:szCs w:val="28"/>
        </w:rPr>
        <w:t>分，集中地点：广州市番禺区大学城明志街1号信息枢纽楼一楼西门。勘踏现场联系人工程部冯工，联系电话：020-</w:t>
      </w:r>
      <w:r>
        <w:rPr>
          <w:rFonts w:ascii="宋体" w:hAnsi="宋体"/>
          <w:sz w:val="28"/>
          <w:szCs w:val="28"/>
        </w:rPr>
        <w:t>39302053</w:t>
      </w:r>
      <w:r>
        <w:rPr>
          <w:rFonts w:hint="eastAsia" w:ascii="宋体" w:hAnsi="宋体"/>
          <w:sz w:val="28"/>
          <w:szCs w:val="28"/>
        </w:rPr>
        <w:t>。投标人未在规定时间勘踏现场的，采购人不再另行组织，由投标人</w:t>
      </w:r>
      <w:r>
        <w:rPr>
          <w:rFonts w:hint="eastAsia"/>
          <w:sz w:val="28"/>
          <w:szCs w:val="28"/>
        </w:rPr>
        <w:t>自行前往勘踏。</w:t>
      </w:r>
    </w:p>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bookmarkStart w:id="5" w:name="_Hlk33473031"/>
      <w:r>
        <w:rPr>
          <w:rFonts w:hint="eastAsia" w:ascii="宋体" w:hAnsi="宋体" w:cs="Arial"/>
          <w:b/>
          <w:color w:val="000000"/>
          <w:sz w:val="28"/>
          <w:szCs w:val="28"/>
        </w:rPr>
        <w:t>递交</w:t>
      </w:r>
      <w:r>
        <w:rPr>
          <w:rFonts w:hint="eastAsia"/>
          <w:b/>
          <w:sz w:val="28"/>
          <w:szCs w:val="28"/>
        </w:rPr>
        <w:t>投标</w:t>
      </w:r>
      <w:r>
        <w:rPr>
          <w:rFonts w:hint="eastAsia" w:ascii="宋体" w:hAnsi="宋体" w:cs="Arial"/>
          <w:b/>
          <w:color w:val="000000"/>
          <w:sz w:val="28"/>
          <w:szCs w:val="28"/>
        </w:rPr>
        <w:t>文件</w:t>
      </w:r>
    </w:p>
    <w:p>
      <w:pPr>
        <w:numPr>
          <w:ilvl w:val="0"/>
          <w:numId w:val="15"/>
        </w:numPr>
        <w:spacing w:before="120" w:beforeLines="50" w:after="120" w:afterLines="50" w:line="360" w:lineRule="auto"/>
        <w:rPr>
          <w:rFonts w:ascii="宋体" w:hAnsi="宋体" w:cs="Arial"/>
          <w:color w:val="000000"/>
          <w:sz w:val="28"/>
          <w:szCs w:val="28"/>
        </w:rPr>
      </w:pPr>
      <w:bookmarkStart w:id="6" w:name="_Hlk33472917"/>
      <w:bookmarkStart w:id="7" w:name="_Hlk33473061"/>
      <w:r>
        <w:rPr>
          <w:rFonts w:hint="eastAsia" w:ascii="宋体" w:hAnsi="宋体" w:cs="Arial"/>
          <w:color w:val="000000"/>
          <w:sz w:val="28"/>
          <w:szCs w:val="28"/>
        </w:rPr>
        <w:t>投标</w:t>
      </w:r>
      <w:r>
        <w:rPr>
          <w:rFonts w:hint="eastAsia"/>
          <w:sz w:val="28"/>
          <w:szCs w:val="28"/>
        </w:rPr>
        <w:t>文件</w:t>
      </w:r>
      <w:r>
        <w:rPr>
          <w:rFonts w:hint="eastAsia" w:ascii="宋体" w:hAnsi="宋体" w:cs="Arial"/>
          <w:color w:val="000000"/>
          <w:sz w:val="28"/>
          <w:szCs w:val="28"/>
        </w:rPr>
        <w:t>递交截止时间：20</w:t>
      </w:r>
      <w:r>
        <w:rPr>
          <w:rFonts w:ascii="宋体" w:hAnsi="宋体" w:cs="Arial"/>
          <w:color w:val="000000"/>
          <w:sz w:val="28"/>
          <w:szCs w:val="28"/>
        </w:rPr>
        <w:t>20</w:t>
      </w:r>
      <w:r>
        <w:rPr>
          <w:rFonts w:hint="eastAsia" w:ascii="宋体" w:hAnsi="宋体" w:cs="Arial"/>
          <w:color w:val="000000"/>
          <w:sz w:val="28"/>
          <w:szCs w:val="28"/>
        </w:rPr>
        <w:t>年</w:t>
      </w:r>
      <w:r>
        <w:rPr>
          <w:rFonts w:ascii="宋体" w:hAnsi="宋体" w:cs="Arial"/>
          <w:color w:val="000000"/>
          <w:sz w:val="28"/>
          <w:szCs w:val="28"/>
        </w:rPr>
        <w:t>12</w:t>
      </w:r>
      <w:r>
        <w:rPr>
          <w:rFonts w:hint="eastAsia" w:ascii="宋体" w:hAnsi="宋体" w:cs="Arial"/>
          <w:color w:val="000000"/>
          <w:sz w:val="28"/>
          <w:szCs w:val="28"/>
        </w:rPr>
        <w:t>月</w:t>
      </w:r>
      <w:r>
        <w:rPr>
          <w:rFonts w:ascii="宋体" w:hAnsi="宋体" w:cs="Arial"/>
          <w:color w:val="000000"/>
          <w:sz w:val="28"/>
          <w:szCs w:val="28"/>
        </w:rPr>
        <w:t>16</w:t>
      </w:r>
      <w:r>
        <w:rPr>
          <w:rFonts w:hint="eastAsia" w:ascii="宋体" w:hAnsi="宋体" w:cs="Arial"/>
          <w:color w:val="000000"/>
          <w:sz w:val="28"/>
          <w:szCs w:val="28"/>
        </w:rPr>
        <w:t>日北京时间15时00分前。</w:t>
      </w:r>
      <w:r>
        <w:rPr>
          <w:rFonts w:hint="eastAsia"/>
          <w:sz w:val="28"/>
          <w:szCs w:val="28"/>
        </w:rPr>
        <w:t>以密封的形式提供投标文件到：广州市番禺区大学城明志街1号信息枢纽楼前台。</w:t>
      </w:r>
      <w:r>
        <w:rPr>
          <w:rFonts w:hint="eastAsia" w:asciiTheme="minorEastAsia" w:hAnsiTheme="minorEastAsia"/>
          <w:sz w:val="28"/>
          <w:szCs w:val="28"/>
        </w:rPr>
        <w:t>投标文件信封或外包装上应当注明采购项目名称、投标人名称和“在（竞选文件中规定的开标日期）之前不得启封”的字样，封口处应加盖投标人印章。</w:t>
      </w:r>
      <w:r>
        <w:rPr>
          <w:rFonts w:hint="eastAsia"/>
          <w:sz w:val="28"/>
          <w:szCs w:val="28"/>
        </w:rPr>
        <w:t>采购人接受现场递交或邮寄两种方式。</w:t>
      </w:r>
      <w:r>
        <w:rPr>
          <w:rFonts w:hint="eastAsia" w:ascii="宋体" w:hAnsi="宋体" w:cs="Arial"/>
          <w:color w:val="000000"/>
          <w:kern w:val="0"/>
          <w:sz w:val="28"/>
          <w:szCs w:val="28"/>
        </w:rPr>
        <w:t>采用邮寄方式的，应在邮寄外包装袋上注明“信息枢纽楼外墙清洗工程”字样。</w:t>
      </w:r>
      <w:r>
        <w:rPr>
          <w:rFonts w:hint="eastAsia" w:asciiTheme="minorEastAsia" w:hAnsiTheme="minorEastAsia"/>
          <w:sz w:val="28"/>
          <w:szCs w:val="28"/>
        </w:rPr>
        <w:t>投标人递交投标文件后，请联系采购人确认。</w:t>
      </w:r>
    </w:p>
    <w:p>
      <w:pPr>
        <w:numPr>
          <w:ilvl w:val="0"/>
          <w:numId w:val="15"/>
        </w:numPr>
        <w:spacing w:before="120" w:beforeLines="50" w:after="120" w:afterLines="50" w:line="360" w:lineRule="auto"/>
        <w:rPr>
          <w:rFonts w:ascii="宋体" w:hAnsi="宋体" w:cs="Arial"/>
          <w:color w:val="000000"/>
          <w:sz w:val="28"/>
          <w:szCs w:val="28"/>
        </w:rPr>
      </w:pPr>
      <w:r>
        <w:rPr>
          <w:sz w:val="28"/>
          <w:szCs w:val="28"/>
        </w:rPr>
        <w:t>投标</w:t>
      </w:r>
      <w:r>
        <w:rPr>
          <w:rFonts w:ascii="宋体" w:hAnsi="宋体" w:cs="Arial"/>
          <w:color w:val="000000"/>
          <w:sz w:val="28"/>
          <w:szCs w:val="28"/>
        </w:rPr>
        <w:t>文</w:t>
      </w:r>
      <w:r>
        <w:rPr>
          <w:rFonts w:hint="eastAsia" w:ascii="宋体" w:hAnsi="宋体" w:cs="Arial"/>
          <w:color w:val="000000"/>
          <w:sz w:val="28"/>
          <w:szCs w:val="28"/>
        </w:rPr>
        <w:t>件</w:t>
      </w:r>
      <w:r>
        <w:rPr>
          <w:rFonts w:hint="eastAsia"/>
          <w:sz w:val="28"/>
          <w:szCs w:val="28"/>
        </w:rPr>
        <w:t>逾期递交、未送达指定地点的、或未按要求密封的，采购人有权不予受理</w:t>
      </w:r>
      <w:bookmarkEnd w:id="6"/>
      <w:r>
        <w:rPr>
          <w:sz w:val="28"/>
          <w:szCs w:val="28"/>
        </w:rPr>
        <w:t>。</w:t>
      </w:r>
    </w:p>
    <w:bookmarkEnd w:id="7"/>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bookmarkStart w:id="8" w:name="_Hlk33473147"/>
      <w:bookmarkStart w:id="9" w:name="_Hlk33472987"/>
      <w:r>
        <w:rPr>
          <w:rFonts w:hint="eastAsia" w:ascii="宋体" w:hAnsi="宋体" w:cs="Arial"/>
          <w:b/>
          <w:color w:val="000000"/>
          <w:sz w:val="28"/>
          <w:szCs w:val="28"/>
        </w:rPr>
        <w:t>公开发布</w:t>
      </w:r>
    </w:p>
    <w:p>
      <w:pPr>
        <w:spacing w:before="120" w:beforeLines="50" w:after="120" w:afterLines="50" w:line="360" w:lineRule="auto"/>
        <w:ind w:left="425" w:firstLine="560" w:firstLineChars="200"/>
        <w:rPr>
          <w:rFonts w:ascii="宋体" w:hAnsi="宋体" w:cs="Arial"/>
          <w:b/>
          <w:color w:val="000000"/>
          <w:sz w:val="28"/>
          <w:szCs w:val="28"/>
        </w:rPr>
      </w:pPr>
      <w:r>
        <w:rPr>
          <w:rFonts w:hint="eastAsia" w:ascii="宋体" w:hAnsi="宋体" w:cs="Arial"/>
          <w:color w:val="000000"/>
          <w:sz w:val="28"/>
          <w:szCs w:val="28"/>
        </w:rPr>
        <w:t>本竞选文件在</w:t>
      </w:r>
      <w:r>
        <w:rPr>
          <w:rFonts w:hint="eastAsia"/>
          <w:sz w:val="28"/>
          <w:szCs w:val="28"/>
        </w:rPr>
        <w:t>广东省</w:t>
      </w:r>
      <w:r>
        <w:rPr>
          <w:rFonts w:hint="eastAsia" w:ascii="宋体" w:hAnsi="宋体" w:cs="Arial"/>
          <w:color w:val="000000"/>
          <w:sz w:val="28"/>
          <w:szCs w:val="28"/>
        </w:rPr>
        <w:t>招标投标监管网（网址：</w:t>
      </w:r>
      <w:r>
        <w:rPr>
          <w:rFonts w:cs="宋体" w:asciiTheme="minorEastAsia" w:hAnsiTheme="minorEastAsia"/>
          <w:color w:val="000000"/>
          <w:sz w:val="28"/>
          <w:szCs w:val="28"/>
        </w:rPr>
        <w:t>http://zbtb.gd.gov.cn/login</w:t>
      </w:r>
      <w:r>
        <w:rPr>
          <w:rFonts w:ascii="宋体" w:hAnsi="宋体" w:cs="Arial"/>
          <w:color w:val="000000"/>
          <w:sz w:val="28"/>
          <w:szCs w:val="28"/>
        </w:rPr>
        <w:t>）</w:t>
      </w:r>
      <w:r>
        <w:rPr>
          <w:rFonts w:hint="eastAsia" w:ascii="宋体" w:hAnsi="宋体" w:cs="Arial"/>
          <w:color w:val="000000"/>
          <w:sz w:val="28"/>
          <w:szCs w:val="28"/>
        </w:rPr>
        <w:t>、广州大学城投资经营管理有限公司网站（网址：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）同时发布。本竞选文件在各媒体发布的文本如有不同之处，以在广州大学城投资经营管理有限公司网站发布的文本为准。</w:t>
      </w:r>
    </w:p>
    <w:bookmarkEnd w:id="8"/>
    <w:p>
      <w:pPr>
        <w:numPr>
          <w:ilvl w:val="0"/>
          <w:numId w:val="1"/>
        </w:numPr>
        <w:tabs>
          <w:tab w:val="left" w:pos="540"/>
          <w:tab w:val="left" w:pos="720"/>
        </w:tabs>
        <w:spacing w:before="120" w:beforeLines="50" w:after="120" w:afterLines="50" w:line="360" w:lineRule="auto"/>
        <w:rPr>
          <w:rFonts w:ascii="宋体" w:hAnsi="宋体" w:cs="Arial"/>
          <w:b/>
          <w:color w:val="000000"/>
          <w:sz w:val="28"/>
          <w:szCs w:val="28"/>
        </w:rPr>
      </w:pPr>
      <w:r>
        <w:rPr>
          <w:rFonts w:hint="eastAsia" w:ascii="宋体" w:hAnsi="宋体" w:cs="Arial"/>
          <w:b/>
          <w:color w:val="000000"/>
          <w:sz w:val="28"/>
          <w:szCs w:val="28"/>
        </w:rPr>
        <w:t>采购人地址和联系方式</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采购单位：广州大学城投资经营管理有限公司</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before="120" w:beforeLines="50" w:after="120" w:afterLines="50" w:line="360" w:lineRule="auto"/>
        <w:ind w:firstLine="560" w:firstLineChars="200"/>
        <w:rPr>
          <w:rFonts w:ascii="Arial" w:hAnsi="Arial" w:cs="Arial"/>
          <w:color w:val="000000"/>
          <w:sz w:val="28"/>
          <w:szCs w:val="28"/>
        </w:rPr>
      </w:pPr>
      <w:r>
        <w:rPr>
          <w:rFonts w:hint="eastAsia" w:ascii="宋体" w:hAnsi="宋体" w:cs="Arial"/>
          <w:color w:val="000000"/>
          <w:sz w:val="28"/>
          <w:szCs w:val="28"/>
        </w:rPr>
        <w:t>联系人：廖先生</w:t>
      </w:r>
    </w:p>
    <w:p>
      <w:pPr>
        <w:spacing w:before="120" w:beforeLines="50" w:after="120" w:afterLines="50" w:line="360" w:lineRule="auto"/>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w:t>
      </w:r>
      <w:r>
        <w:rPr>
          <w:rFonts w:hint="eastAsia" w:ascii="宋体" w:hAnsi="宋体" w:cs="Arial"/>
          <w:color w:val="000000"/>
          <w:sz w:val="28"/>
          <w:szCs w:val="28"/>
        </w:rPr>
        <w:t>-</w:t>
      </w:r>
      <w:r>
        <w:rPr>
          <w:rFonts w:ascii="宋体" w:hAnsi="宋体" w:cs="Arial"/>
          <w:color w:val="000000"/>
          <w:sz w:val="28"/>
          <w:szCs w:val="28"/>
        </w:rPr>
        <w:t>39302079</w:t>
      </w:r>
    </w:p>
    <w:p>
      <w:pPr>
        <w:spacing w:before="120" w:beforeLines="50" w:after="120" w:afterLines="50" w:line="360" w:lineRule="auto"/>
        <w:ind w:firstLine="560" w:firstLineChars="200"/>
        <w:rPr>
          <w:rFonts w:ascii="宋体" w:hAnsi="宋体" w:cs="Arial"/>
          <w:color w:val="000000"/>
          <w:sz w:val="28"/>
          <w:szCs w:val="28"/>
        </w:rPr>
      </w:pPr>
      <w:bookmarkStart w:id="10" w:name="_Hlk33473223"/>
      <w:r>
        <w:rPr>
          <w:rFonts w:hint="eastAsia" w:ascii="宋体" w:hAnsi="宋体" w:cs="Arial"/>
          <w:color w:val="000000"/>
          <w:sz w:val="28"/>
          <w:szCs w:val="28"/>
        </w:rPr>
        <w:t>附件1：报价一览表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附件2：供应商调查表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附件3：法定代表人身份证明书</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附件4：法定代表人授权委托证明书</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附件5：投标人资格审查表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附件6：投标文件有效性审查表</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附件7：公开竞选供应商信用评价</w:t>
      </w:r>
    </w:p>
    <w:p>
      <w:pPr>
        <w:spacing w:before="120" w:beforeLines="50" w:after="120" w:afterLines="50" w:line="360" w:lineRule="auto"/>
        <w:ind w:firstLine="560" w:firstLineChars="200"/>
        <w:rPr>
          <w:rFonts w:ascii="宋体" w:hAnsi="宋体" w:cs="Arial"/>
          <w:color w:val="000000"/>
          <w:sz w:val="28"/>
          <w:szCs w:val="28"/>
        </w:rPr>
      </w:pPr>
      <w:r>
        <w:rPr>
          <w:rFonts w:hint="eastAsia" w:ascii="宋体" w:hAnsi="宋体" w:cs="Arial"/>
          <w:color w:val="000000"/>
          <w:sz w:val="28"/>
          <w:szCs w:val="28"/>
        </w:rPr>
        <w:t>附件8：供应商信用指标及评价标准</w:t>
      </w:r>
    </w:p>
    <w:p>
      <w:pPr>
        <w:pStyle w:val="4"/>
        <w:spacing w:before="120" w:beforeLines="50" w:after="120" w:afterLines="50" w:line="360" w:lineRule="auto"/>
        <w:ind w:left="0" w:leftChars="0" w:right="560"/>
        <w:jc w:val="right"/>
        <w:rPr>
          <w:sz w:val="28"/>
          <w:szCs w:val="28"/>
        </w:rPr>
      </w:pPr>
      <w:r>
        <w:rPr>
          <w:rFonts w:hint="eastAsia"/>
          <w:sz w:val="28"/>
          <w:szCs w:val="28"/>
        </w:rPr>
        <w:t xml:space="preserve">               采购人：广州大学城投资经营管理有限公司</w:t>
      </w:r>
    </w:p>
    <w:p>
      <w:pPr>
        <w:spacing w:before="120" w:beforeLines="50" w:after="120" w:afterLines="50" w:line="360" w:lineRule="auto"/>
        <w:jc w:val="right"/>
        <w:rPr>
          <w:sz w:val="28"/>
          <w:szCs w:val="28"/>
        </w:rPr>
      </w:pPr>
      <w:r>
        <w:rPr>
          <w:rFonts w:hint="eastAsia"/>
          <w:sz w:val="28"/>
          <w:szCs w:val="28"/>
        </w:rPr>
        <w:t xml:space="preserve">                                 2020年</w:t>
      </w:r>
      <w:r>
        <w:rPr>
          <w:sz w:val="28"/>
          <w:szCs w:val="28"/>
        </w:rPr>
        <w:t>12</w:t>
      </w:r>
      <w:r>
        <w:rPr>
          <w:rFonts w:hint="eastAsia"/>
          <w:sz w:val="28"/>
          <w:szCs w:val="28"/>
        </w:rPr>
        <w:t>月</w:t>
      </w:r>
      <w:r>
        <w:rPr>
          <w:rFonts w:hint="eastAsia"/>
          <w:sz w:val="28"/>
          <w:szCs w:val="28"/>
          <w:lang w:val="en-US" w:eastAsia="zh-CN"/>
        </w:rPr>
        <w:t>9</w:t>
      </w:r>
      <w:bookmarkStart w:id="16" w:name="_GoBack"/>
      <w:bookmarkEnd w:id="16"/>
      <w:r>
        <w:rPr>
          <w:rFonts w:hint="eastAsia"/>
          <w:sz w:val="28"/>
          <w:szCs w:val="28"/>
        </w:rPr>
        <w:t>日</w:t>
      </w:r>
      <w:bookmarkEnd w:id="5"/>
    </w:p>
    <w:bookmarkEnd w:id="9"/>
    <w:bookmarkEnd w:id="10"/>
    <w:p>
      <w:pPr>
        <w:spacing w:before="120" w:beforeLines="50" w:after="120" w:afterLines="50" w:line="360" w:lineRule="auto"/>
        <w:rPr>
          <w:rFonts w:hAnsi="宋体"/>
          <w:b/>
          <w:sz w:val="28"/>
          <w:szCs w:val="28"/>
        </w:rPr>
      </w:pPr>
      <w:r>
        <w:rPr>
          <w:sz w:val="28"/>
          <w:szCs w:val="28"/>
        </w:rPr>
        <w:br w:type="page"/>
      </w:r>
      <w:r>
        <w:rPr>
          <w:rFonts w:hint="eastAsia" w:ascii="宋体" w:hAnsi="宋体" w:cs="Arial"/>
          <w:color w:val="000000"/>
          <w:sz w:val="30"/>
          <w:szCs w:val="30"/>
        </w:rPr>
        <w:t>附件1</w:t>
      </w:r>
    </w:p>
    <w:p>
      <w:pPr>
        <w:pStyle w:val="7"/>
        <w:ind w:firstLine="0" w:firstLineChars="0"/>
        <w:jc w:val="center"/>
        <w:rPr>
          <w:rFonts w:hAnsi="宋体"/>
          <w:b/>
          <w:sz w:val="28"/>
          <w:szCs w:val="28"/>
        </w:rPr>
      </w:pPr>
      <w:r>
        <w:rPr>
          <w:rFonts w:hAnsi="宋体"/>
          <w:b/>
          <w:sz w:val="28"/>
          <w:szCs w:val="28"/>
        </w:rPr>
        <w:t>报价一览表</w:t>
      </w:r>
    </w:p>
    <w:p>
      <w:pPr>
        <w:pStyle w:val="7"/>
        <w:ind w:firstLine="0" w:firstLineChars="0"/>
        <w:jc w:val="center"/>
        <w:rPr>
          <w:rFonts w:hAnsi="宋体"/>
          <w:b/>
          <w:sz w:val="28"/>
          <w:szCs w:val="28"/>
        </w:rPr>
      </w:pPr>
    </w:p>
    <w:p>
      <w:pPr>
        <w:spacing w:line="360" w:lineRule="auto"/>
        <w:rPr>
          <w:rFonts w:hAnsi="宋体"/>
          <w:sz w:val="24"/>
        </w:rPr>
      </w:pPr>
      <w:r>
        <w:rPr>
          <w:rFonts w:hint="eastAsia" w:hAnsi="宋体"/>
          <w:sz w:val="24"/>
        </w:rPr>
        <w:t>项目名称：信息枢纽楼外墙清洗工程</w:t>
      </w:r>
    </w:p>
    <w:tbl>
      <w:tblPr>
        <w:tblStyle w:val="14"/>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Layout w:type="fixed"/>
        </w:tblPrEx>
        <w:trPr>
          <w:trHeight w:val="711" w:hRule="atLeast"/>
          <w:jc w:val="center"/>
        </w:trPr>
        <w:tc>
          <w:tcPr>
            <w:tcW w:w="737" w:type="dxa"/>
            <w:vAlign w:val="center"/>
          </w:tcPr>
          <w:p>
            <w:pPr>
              <w:jc w:val="center"/>
              <w:rPr>
                <w:rFonts w:hAnsi="宋体"/>
                <w:bCs/>
                <w:sz w:val="24"/>
              </w:rPr>
            </w:pPr>
            <w:bookmarkStart w:id="11"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投标工期</w:t>
            </w:r>
          </w:p>
        </w:tc>
        <w:tc>
          <w:tcPr>
            <w:tcW w:w="6305" w:type="dxa"/>
            <w:gridSpan w:val="2"/>
            <w:vAlign w:val="center"/>
          </w:tcPr>
          <w:p>
            <w:pPr>
              <w:rPr>
                <w:rFonts w:hAnsi="宋体"/>
                <w:sz w:val="24"/>
              </w:rPr>
            </w:pP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工程质量标准</w:t>
            </w:r>
          </w:p>
        </w:tc>
        <w:tc>
          <w:tcPr>
            <w:tcW w:w="6305" w:type="dxa"/>
            <w:gridSpan w:val="2"/>
            <w:vAlign w:val="center"/>
          </w:tcPr>
          <w:p>
            <w:pPr>
              <w:rPr>
                <w:rFonts w:hAnsi="宋体"/>
                <w:sz w:val="24"/>
              </w:rPr>
            </w:pP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Layout w:type="fixed"/>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Layout w:type="fixed"/>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Layout w:type="fixed"/>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11"/>
    </w:tbl>
    <w:p>
      <w:pPr>
        <w:rPr>
          <w:rFonts w:hAnsi="宋体"/>
        </w:rPr>
      </w:pPr>
    </w:p>
    <w:p>
      <w:pPr>
        <w:spacing w:before="120" w:beforeLines="50" w:after="120" w:afterLines="50" w:line="360" w:lineRule="auto"/>
        <w:rPr>
          <w:rFonts w:hAnsi="宋体"/>
        </w:rPr>
      </w:pPr>
      <w:r>
        <w:rPr>
          <w:rFonts w:hint="eastAsia" w:hAnsi="宋体"/>
        </w:rPr>
        <w:t>注：（1）投标总价为人民币报价。</w:t>
      </w:r>
    </w:p>
    <w:p>
      <w:pPr>
        <w:tabs>
          <w:tab w:val="left" w:pos="8364"/>
        </w:tabs>
        <w:spacing w:before="120" w:beforeLines="50" w:after="120"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rPr>
      </w:pPr>
      <w:r>
        <w:rPr>
          <w:rFonts w:hint="eastAsia" w:hAnsi="宋体"/>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tabs>
          <w:tab w:val="left" w:pos="8364"/>
        </w:tabs>
        <w:spacing w:before="120" w:beforeLines="50" w:after="120" w:afterLines="50" w:line="360" w:lineRule="auto"/>
        <w:rPr>
          <w:rFonts w:hAnsi="宋体"/>
          <w:bCs/>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hint="eastAsia" w:ascii="宋体" w:hAnsi="宋体" w:cs="Arial"/>
          <w:color w:val="000000"/>
          <w:sz w:val="30"/>
          <w:szCs w:val="30"/>
        </w:rPr>
        <w:t>附件2</w:t>
      </w:r>
    </w:p>
    <w:tbl>
      <w:tblPr>
        <w:tblStyle w:val="1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2" w:name="_Hlk33473319"/>
            <w:r>
              <w:rPr>
                <w:rFonts w:hint="eastAsia" w:ascii="黑体" w:hAnsi="黑体" w:eastAsia="黑体" w:cs="宋体"/>
                <w:kern w:val="0"/>
                <w:sz w:val="44"/>
                <w:szCs w:val="44"/>
              </w:rPr>
              <w:t>供应商调查表</w:t>
            </w:r>
          </w:p>
        </w:tc>
      </w:tr>
      <w:tr>
        <w:tblPrEx>
          <w:tblLayout w:type="fixed"/>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项目名称：信息枢纽楼外墙清洗工程</w:t>
            </w: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日期：2020年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2"/>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3"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日期：2020年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3"/>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7"/>
        <w:spacing w:line="360" w:lineRule="auto"/>
        <w:ind w:firstLine="424" w:firstLineChars="177"/>
        <w:rPr>
          <w:rFonts w:hAnsi="宋体"/>
          <w:bCs/>
          <w:sz w:val="24"/>
          <w:szCs w:val="24"/>
        </w:rPr>
      </w:pPr>
    </w:p>
    <w:p>
      <w:pPr>
        <w:pStyle w:val="1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1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7"/>
        <w:spacing w:line="360" w:lineRule="auto"/>
        <w:ind w:firstLine="480" w:firstLineChars="200"/>
        <w:rPr>
          <w:rFonts w:hAnsi="宋体"/>
          <w:sz w:val="24"/>
          <w:szCs w:val="24"/>
          <w:u w:val="single"/>
        </w:rPr>
      </w:pPr>
      <w:r>
        <w:rPr>
          <w:rFonts w:hint="eastAsia" w:hAnsi="宋体"/>
          <w:sz w:val="24"/>
          <w:szCs w:val="24"/>
        </w:rPr>
        <w:t>　　身份证号码：</w:t>
      </w:r>
    </w:p>
    <w:p>
      <w:pPr>
        <w:pStyle w:val="17"/>
        <w:spacing w:line="360" w:lineRule="auto"/>
        <w:ind w:firstLine="480" w:firstLineChars="200"/>
        <w:rPr>
          <w:rFonts w:hAnsi="宋体"/>
          <w:sz w:val="24"/>
          <w:szCs w:val="24"/>
          <w:u w:val="single"/>
        </w:rPr>
      </w:pPr>
      <w:r>
        <w:rPr>
          <w:rFonts w:hint="eastAsia" w:hAnsi="宋体"/>
          <w:sz w:val="24"/>
          <w:szCs w:val="24"/>
        </w:rPr>
        <w:t>　　（营业执照等）注册号码：</w:t>
      </w:r>
    </w:p>
    <w:p>
      <w:pPr>
        <w:pStyle w:val="17"/>
        <w:spacing w:line="360" w:lineRule="auto"/>
        <w:ind w:firstLine="480" w:firstLineChars="200"/>
        <w:rPr>
          <w:rFonts w:hAnsi="宋体"/>
          <w:sz w:val="24"/>
          <w:szCs w:val="24"/>
          <w:u w:val="single"/>
        </w:rPr>
      </w:pPr>
      <w:r>
        <w:rPr>
          <w:rFonts w:hint="eastAsia" w:hAnsi="宋体"/>
          <w:sz w:val="24"/>
          <w:szCs w:val="24"/>
        </w:rPr>
        <w:t>　　企业类型：</w:t>
      </w:r>
    </w:p>
    <w:p>
      <w:pPr>
        <w:pStyle w:val="17"/>
        <w:spacing w:line="360" w:lineRule="auto"/>
        <w:ind w:firstLine="480" w:firstLineChars="200"/>
        <w:rPr>
          <w:rFonts w:hAnsi="宋体"/>
          <w:sz w:val="24"/>
          <w:szCs w:val="24"/>
          <w:u w:val="single"/>
        </w:rPr>
      </w:pPr>
      <w:r>
        <w:rPr>
          <w:rFonts w:hint="eastAsia" w:hAnsi="宋体"/>
          <w:sz w:val="24"/>
          <w:szCs w:val="24"/>
        </w:rPr>
        <w:t>　　经营范围：</w:t>
      </w:r>
    </w:p>
    <w:p>
      <w:pPr>
        <w:pStyle w:val="17"/>
        <w:spacing w:line="360" w:lineRule="auto"/>
        <w:rPr>
          <w:rFonts w:hAnsi="宋体"/>
          <w:sz w:val="24"/>
          <w:szCs w:val="24"/>
        </w:rPr>
      </w:pPr>
      <w:r>
        <w:rPr>
          <w:rFonts w:hint="eastAsia" w:hAnsi="宋体"/>
          <w:sz w:val="24"/>
          <w:szCs w:val="24"/>
        </w:rPr>
        <w:t>附：被授权人有效身份证正反面或其他身份证明材料复印　　　　　　　</w:t>
      </w:r>
    </w:p>
    <w:p>
      <w:pPr>
        <w:pStyle w:val="16"/>
        <w:spacing w:line="360" w:lineRule="auto"/>
        <w:jc w:val="both"/>
        <w:rPr>
          <w:rFonts w:hAnsi="宋体"/>
          <w:sz w:val="24"/>
          <w:szCs w:val="24"/>
        </w:rPr>
      </w:pPr>
    </w:p>
    <w:p>
      <w:pPr>
        <w:pStyle w:val="16"/>
        <w:spacing w:line="360" w:lineRule="auto"/>
        <w:jc w:val="both"/>
        <w:rPr>
          <w:rFonts w:hAnsi="宋体" w:eastAsia="宋体" w:cs="宋体"/>
          <w:sz w:val="28"/>
        </w:rPr>
      </w:pPr>
    </w:p>
    <w:p>
      <w:pPr>
        <w:pStyle w:val="16"/>
        <w:spacing w:line="360" w:lineRule="auto"/>
        <w:jc w:val="both"/>
        <w:rPr>
          <w:rFonts w:hAnsi="宋体" w:eastAsia="宋体" w:cs="宋体"/>
          <w:sz w:val="28"/>
        </w:rPr>
      </w:pPr>
    </w:p>
    <w:p>
      <w:pPr>
        <w:pStyle w:val="16"/>
        <w:spacing w:line="360" w:lineRule="auto"/>
        <w:jc w:val="both"/>
        <w:rPr>
          <w:rFonts w:hAnsi="宋体" w:eastAsia="宋体" w:cs="宋体"/>
          <w:sz w:val="28"/>
        </w:rPr>
      </w:pPr>
    </w:p>
    <w:p>
      <w:pPr>
        <w:pStyle w:val="16"/>
        <w:spacing w:line="360" w:lineRule="auto"/>
        <w:jc w:val="both"/>
        <w:rPr>
          <w:rFonts w:hAnsi="宋体" w:eastAsia="宋体" w:cs="宋体"/>
          <w:sz w:val="28"/>
        </w:rPr>
      </w:pPr>
    </w:p>
    <w:p>
      <w:pPr>
        <w:pStyle w:val="16"/>
        <w:spacing w:line="360" w:lineRule="auto"/>
        <w:jc w:val="both"/>
        <w:rPr>
          <w:rFonts w:hAnsi="宋体" w:eastAsia="宋体" w:cs="宋体"/>
          <w:sz w:val="28"/>
        </w:rPr>
      </w:pPr>
    </w:p>
    <w:p>
      <w:pPr>
        <w:pStyle w:val="16"/>
        <w:spacing w:line="360" w:lineRule="auto"/>
        <w:jc w:val="both"/>
        <w:rPr>
          <w:rFonts w:hAnsi="宋体" w:eastAsia="宋体" w:cs="宋体"/>
          <w:sz w:val="24"/>
          <w:szCs w:val="24"/>
        </w:rPr>
      </w:pPr>
      <w:r>
        <w:rPr>
          <w:rFonts w:hint="eastAsia" w:hAnsi="宋体" w:eastAsia="宋体" w:cs="宋体"/>
          <w:sz w:val="24"/>
          <w:szCs w:val="24"/>
        </w:rPr>
        <w:t>（单位盖章）：</w:t>
      </w:r>
    </w:p>
    <w:p>
      <w:pPr>
        <w:pStyle w:val="16"/>
        <w:spacing w:line="360" w:lineRule="auto"/>
        <w:jc w:val="both"/>
        <w:rPr>
          <w:rFonts w:hAnsi="宋体" w:eastAsia="宋体" w:cs="宋体"/>
          <w:sz w:val="24"/>
          <w:szCs w:val="24"/>
        </w:rPr>
      </w:pPr>
    </w:p>
    <w:p>
      <w:pPr>
        <w:pStyle w:val="16"/>
        <w:spacing w:line="360" w:lineRule="auto"/>
        <w:jc w:val="both"/>
        <w:rPr>
          <w:rFonts w:hAnsi="宋体" w:eastAsia="宋体" w:cs="宋体"/>
          <w:sz w:val="24"/>
          <w:szCs w:val="24"/>
        </w:rPr>
      </w:pPr>
      <w:bookmarkStart w:id="14" w:name="_Hlk33473384"/>
      <w:r>
        <w:rPr>
          <w:rFonts w:hint="eastAsia" w:hAnsi="宋体" w:eastAsia="宋体" w:cs="宋体"/>
          <w:sz w:val="24"/>
          <w:szCs w:val="24"/>
        </w:rPr>
        <w:t>法定代表人（签字或盖章）：</w:t>
      </w:r>
    </w:p>
    <w:p>
      <w:pPr>
        <w:pStyle w:val="16"/>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6"/>
        <w:spacing w:line="360" w:lineRule="auto"/>
        <w:jc w:val="both"/>
        <w:rPr>
          <w:rFonts w:hAnsi="宋体" w:eastAsia="宋体" w:cs="宋体"/>
          <w:sz w:val="24"/>
          <w:szCs w:val="24"/>
        </w:rPr>
      </w:pPr>
      <w:r>
        <w:rPr>
          <w:rFonts w:hint="eastAsia" w:hAnsi="宋体" w:eastAsia="宋体" w:cs="宋体"/>
          <w:sz w:val="24"/>
          <w:szCs w:val="24"/>
        </w:rPr>
        <w:t>日期： 2020年   月  日</w:t>
      </w:r>
    </w:p>
    <w:p>
      <w:pPr>
        <w:rPr>
          <w:sz w:val="24"/>
        </w:rPr>
      </w:pPr>
      <w:r>
        <w:rPr>
          <w:rFonts w:hint="eastAsia" w:hAnsi="宋体" w:cs="宋体"/>
          <w:sz w:val="24"/>
          <w:lang w:val="zh-CN"/>
        </w:rPr>
        <w:t>说明：法定代表人亲自办理投标事宜的，无需提交本证明书。</w:t>
      </w:r>
    </w:p>
    <w:bookmarkEnd w:id="14"/>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项目名称：信息枢纽楼外墙清洗工程</w:t>
      </w:r>
    </w:p>
    <w:tbl>
      <w:tblPr>
        <w:tblStyle w:val="14"/>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Layout w:type="fixed"/>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Layout w:type="fixed"/>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Layout w:type="fixed"/>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Layout w:type="fixed"/>
        </w:tblPrEx>
        <w:trPr>
          <w:trHeight w:val="740" w:hRule="atLeast"/>
          <w:jc w:val="center"/>
        </w:trPr>
        <w:tc>
          <w:tcPr>
            <w:tcW w:w="685" w:type="dxa"/>
            <w:vAlign w:val="center"/>
          </w:tcPr>
          <w:p>
            <w:pPr>
              <w:rPr>
                <w:rFonts w:ascii="宋体" w:hAnsi="宋体"/>
                <w:bCs/>
                <w:szCs w:val="21"/>
              </w:rPr>
            </w:pPr>
            <w:r>
              <w:rPr>
                <w:rFonts w:ascii="宋体" w:hAnsi="宋体"/>
                <w:bCs/>
                <w:szCs w:val="21"/>
              </w:rPr>
              <w:t>3</w:t>
            </w:r>
          </w:p>
        </w:tc>
        <w:tc>
          <w:tcPr>
            <w:tcW w:w="725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87" w:type="dxa"/>
            <w:vAlign w:val="center"/>
          </w:tcPr>
          <w:p>
            <w:pPr>
              <w:spacing w:line="360" w:lineRule="auto"/>
              <w:rPr>
                <w:rFonts w:ascii="宋体" w:hAnsi="宋体"/>
                <w:b/>
                <w:szCs w:val="21"/>
              </w:rPr>
            </w:pPr>
          </w:p>
        </w:tc>
      </w:tr>
      <w:tr>
        <w:tblPrEx>
          <w:tblLayout w:type="fixed"/>
        </w:tblPrEx>
        <w:trPr>
          <w:trHeight w:val="740" w:hRule="atLeast"/>
          <w:jc w:val="center"/>
        </w:trPr>
        <w:tc>
          <w:tcPr>
            <w:tcW w:w="685" w:type="dxa"/>
            <w:vAlign w:val="center"/>
          </w:tcPr>
          <w:p>
            <w:pPr>
              <w:rPr>
                <w:rFonts w:ascii="宋体" w:hAnsi="宋体"/>
                <w:bCs/>
                <w:szCs w:val="21"/>
              </w:rPr>
            </w:pPr>
            <w:r>
              <w:rPr>
                <w:rFonts w:ascii="宋体" w:hAnsi="宋体"/>
                <w:bCs/>
                <w:szCs w:val="21"/>
              </w:rPr>
              <w:t>4</w:t>
            </w:r>
          </w:p>
        </w:tc>
        <w:tc>
          <w:tcPr>
            <w:tcW w:w="7252" w:type="dxa"/>
            <w:vAlign w:val="center"/>
          </w:tcPr>
          <w:p>
            <w:pPr>
              <w:rPr>
                <w:rFonts w:ascii="宋体" w:hAnsi="宋体" w:cs="宋体"/>
                <w:bCs/>
                <w:szCs w:val="21"/>
              </w:rPr>
            </w:pPr>
            <w:r>
              <w:rPr>
                <w:rFonts w:hint="eastAsia" w:ascii="宋体" w:hAnsi="宋体" w:cs="宋体"/>
                <w:szCs w:val="21"/>
              </w:rPr>
              <w:t>近3年内(2017年1月1日至今) 完成过质量合格的类似项目施工业绩（需提供合同和验收报告等相关证明材料复印件）</w:t>
            </w:r>
          </w:p>
        </w:tc>
        <w:tc>
          <w:tcPr>
            <w:tcW w:w="987" w:type="dxa"/>
            <w:vAlign w:val="center"/>
          </w:tcPr>
          <w:p>
            <w:pPr>
              <w:spacing w:line="360" w:lineRule="auto"/>
              <w:rPr>
                <w:rFonts w:ascii="宋体" w:hAnsi="宋体"/>
                <w:b/>
                <w:szCs w:val="21"/>
              </w:rPr>
            </w:pPr>
          </w:p>
        </w:tc>
      </w:tr>
      <w:tr>
        <w:tblPrEx>
          <w:tblLayout w:type="fixed"/>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120" w:beforeLines="50" w:after="120" w:afterLines="50" w:line="360" w:lineRule="auto"/>
        <w:rPr>
          <w:rFonts w:ascii="宋体" w:hAnsi="宋体"/>
          <w:szCs w:val="21"/>
        </w:rPr>
      </w:pPr>
      <w:r>
        <w:rPr>
          <w:rFonts w:hint="eastAsia" w:ascii="宋体" w:hAnsi="宋体"/>
          <w:szCs w:val="21"/>
        </w:rPr>
        <w:t>注：</w:t>
      </w:r>
    </w:p>
    <w:p>
      <w:pPr>
        <w:numPr>
          <w:ilvl w:val="0"/>
          <w:numId w:val="16"/>
        </w:numPr>
        <w:adjustRightInd w:val="0"/>
        <w:snapToGrid w:val="0"/>
        <w:spacing w:before="120" w:beforeLines="50" w:after="12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16"/>
        </w:numPr>
        <w:adjustRightInd w:val="0"/>
        <w:snapToGrid w:val="0"/>
        <w:spacing w:before="120" w:beforeLines="50" w:after="12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16"/>
        </w:numPr>
        <w:adjustRightInd w:val="0"/>
        <w:snapToGrid w:val="0"/>
        <w:spacing w:before="120" w:beforeLines="50" w:after="12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before="120" w:beforeLines="50" w:after="120" w:afterLines="50" w:line="360" w:lineRule="auto"/>
        <w:rPr>
          <w:rFonts w:ascii="宋体" w:hAnsi="宋体"/>
          <w:szCs w:val="21"/>
        </w:rPr>
      </w:pPr>
    </w:p>
    <w:p>
      <w:pPr>
        <w:spacing w:before="120" w:beforeLines="50" w:after="120" w:afterLines="50" w:line="360" w:lineRule="auto"/>
        <w:ind w:left="420"/>
        <w:rPr>
          <w:rFonts w:ascii="宋体" w:hAnsi="宋体"/>
          <w:bCs/>
          <w:szCs w:val="21"/>
        </w:rPr>
      </w:pPr>
      <w:r>
        <w:rPr>
          <w:rFonts w:hint="eastAsia" w:ascii="宋体" w:hAnsi="宋体"/>
          <w:bCs/>
          <w:szCs w:val="21"/>
        </w:rPr>
        <w:t xml:space="preserve">评委签名：    </w:t>
      </w:r>
    </w:p>
    <w:p>
      <w:pPr>
        <w:spacing w:before="120" w:beforeLines="50" w:after="120" w:afterLines="50" w:line="360" w:lineRule="auto"/>
        <w:ind w:left="420"/>
        <w:rPr>
          <w:rFonts w:ascii="宋体" w:hAnsi="宋体"/>
          <w:bCs/>
          <w:szCs w:val="21"/>
        </w:rPr>
      </w:pPr>
    </w:p>
    <w:p>
      <w:pPr>
        <w:spacing w:before="120" w:beforeLines="50" w:after="120"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项目名称：信息枢纽楼外墙清洗工程</w:t>
      </w:r>
    </w:p>
    <w:tbl>
      <w:tblPr>
        <w:tblStyle w:val="1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Layout w:type="fixed"/>
        </w:tblPrEx>
        <w:trPr>
          <w:trHeight w:val="591" w:hRule="atLeast"/>
          <w:jc w:val="center"/>
        </w:trPr>
        <w:tc>
          <w:tcPr>
            <w:tcW w:w="671" w:type="dxa"/>
            <w:vAlign w:val="center"/>
          </w:tcPr>
          <w:p>
            <w:pP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Layout w:type="fixed"/>
        </w:tblPrEx>
        <w:trPr>
          <w:trHeight w:val="591" w:hRule="atLeast"/>
          <w:jc w:val="center"/>
        </w:trPr>
        <w:tc>
          <w:tcPr>
            <w:tcW w:w="671" w:type="dxa"/>
            <w:vAlign w:val="center"/>
          </w:tcPr>
          <w:p>
            <w:pP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17"/>
        </w:numPr>
        <w:adjustRightInd w:val="0"/>
        <w:snapToGrid w:val="0"/>
        <w:spacing w:before="120" w:beforeLines="50" w:after="120"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17"/>
        </w:numPr>
        <w:adjustRightInd w:val="0"/>
        <w:snapToGrid w:val="0"/>
        <w:spacing w:before="120" w:beforeLines="50" w:after="120"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20" w:beforeLines="50" w:after="120" w:afterLines="50" w:line="360" w:lineRule="auto"/>
        <w:rPr>
          <w:rFonts w:ascii="宋体" w:hAnsi="宋体"/>
          <w:bCs/>
          <w:szCs w:val="21"/>
        </w:rPr>
      </w:pPr>
      <w:r>
        <w:rPr>
          <w:rFonts w:hint="eastAsia" w:ascii="宋体" w:hAnsi="宋体"/>
          <w:bCs/>
          <w:szCs w:val="21"/>
        </w:rPr>
        <w:t xml:space="preserve">评委签名：                                                                                </w:t>
      </w:r>
    </w:p>
    <w:p>
      <w:pPr>
        <w:spacing w:before="120" w:beforeLines="50" w:after="120"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line="360" w:lineRule="auto"/>
        <w:rPr>
          <w:rFonts w:ascii="等线" w:hAnsi="等线" w:cs="宋体"/>
          <w:sz w:val="24"/>
        </w:rPr>
      </w:pPr>
      <w:r>
        <w:rPr>
          <w:sz w:val="28"/>
          <w:szCs w:val="28"/>
        </w:rPr>
        <w:br w:type="page"/>
      </w:r>
      <w:r>
        <w:rPr>
          <w:rFonts w:hint="eastAsia" w:ascii="宋体" w:hAnsi="宋体"/>
          <w:sz w:val="30"/>
          <w:szCs w:val="30"/>
        </w:rPr>
        <w:t>附件</w:t>
      </w:r>
      <w:r>
        <w:rPr>
          <w:rFonts w:ascii="宋体" w:hAnsi="宋体"/>
          <w:sz w:val="30"/>
          <w:szCs w:val="30"/>
        </w:rPr>
        <w:t>7</w:t>
      </w:r>
    </w:p>
    <w:p>
      <w:pPr>
        <w:spacing w:line="360" w:lineRule="auto"/>
        <w:jc w:val="center"/>
        <w:rPr>
          <w:rFonts w:ascii="等线" w:hAnsi="等线" w:cs="宋体"/>
          <w:b/>
          <w:sz w:val="30"/>
          <w:szCs w:val="30"/>
        </w:rPr>
      </w:pPr>
      <w:bookmarkStart w:id="15" w:name="_Hlk33473446"/>
      <w:r>
        <w:rPr>
          <w:rFonts w:hint="eastAsia" w:ascii="等线" w:hAnsi="等线" w:cs="宋体"/>
          <w:b/>
          <w:sz w:val="30"/>
          <w:szCs w:val="30"/>
        </w:rPr>
        <w:t>公开竞选供应商信用评价</w:t>
      </w:r>
    </w:p>
    <w:p>
      <w:pPr>
        <w:spacing w:before="120" w:beforeLines="50" w:after="120" w:afterLines="50" w:line="360" w:lineRule="auto"/>
        <w:rPr>
          <w:rFonts w:ascii="等线" w:hAnsi="等线" w:cs="宋体"/>
          <w:sz w:val="24"/>
        </w:rPr>
      </w:pP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一.、</w:t>
      </w:r>
      <w:r>
        <w:rPr>
          <w:rFonts w:hint="eastAsia" w:ascii="等线" w:hAnsi="等线" w:cs="宋体"/>
          <w:b/>
          <w:sz w:val="24"/>
        </w:rPr>
        <w:t>信用评价</w:t>
      </w:r>
      <w:r>
        <w:rPr>
          <w:rFonts w:hint="eastAsia" w:ascii="等线" w:hAnsi="等线" w:cs="宋体"/>
          <w:sz w:val="24"/>
        </w:rPr>
        <w:t>，是指采购人对参加公开竞选采购的供应商的诚信度和履约进行鉴别和打分。</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二</w:t>
      </w:r>
      <w:r>
        <w:rPr>
          <w:rFonts w:ascii="等线" w:hAnsi="等线" w:cs="宋体"/>
          <w:sz w:val="24"/>
        </w:rPr>
        <w:t>.、</w:t>
      </w:r>
      <w:r>
        <w:rPr>
          <w:rFonts w:hint="eastAsia" w:ascii="等线" w:hAnsi="等线" w:cs="宋体"/>
          <w:b/>
          <w:sz w:val="24"/>
        </w:rPr>
        <w:t>供应商信用评价内容</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供应商信用综合评价根据《供应商信用指标和评价标准》（附件</w:t>
      </w:r>
      <w:r>
        <w:rPr>
          <w:rFonts w:ascii="等线" w:hAnsi="等线" w:cs="宋体"/>
          <w:sz w:val="24"/>
        </w:rPr>
        <w:t>8</w:t>
      </w:r>
      <w:r>
        <w:rPr>
          <w:rFonts w:hint="eastAsia" w:ascii="等线" w:hAnsi="等线" w:cs="宋体"/>
          <w:sz w:val="24"/>
        </w:rPr>
        <w:t>）进行评价。信用综合评价内容为评价年度周期内供应商的信用表现，包括良好行为和不良行为两个方面。</w:t>
      </w:r>
    </w:p>
    <w:p>
      <w:pPr>
        <w:spacing w:before="120" w:beforeLines="50" w:after="120" w:afterLines="50" w:line="360" w:lineRule="auto"/>
        <w:ind w:firstLine="482" w:firstLineChars="200"/>
        <w:rPr>
          <w:rFonts w:ascii="等线" w:hAnsi="等线" w:cs="宋体"/>
          <w:b/>
          <w:sz w:val="24"/>
        </w:rPr>
      </w:pPr>
      <w:r>
        <w:rPr>
          <w:rFonts w:hint="eastAsia" w:ascii="等线" w:hAnsi="等线" w:cs="宋体"/>
          <w:b/>
          <w:sz w:val="24"/>
        </w:rPr>
        <w:t>三、评价结果应用</w:t>
      </w:r>
    </w:p>
    <w:p>
      <w:pPr>
        <w:spacing w:before="120" w:beforeLines="50" w:after="120" w:afterLines="50" w:line="360" w:lineRule="auto"/>
        <w:ind w:firstLine="480" w:firstLineChars="200"/>
        <w:rPr>
          <w:rFonts w:ascii="等线" w:hAnsi="等线" w:cs="宋体"/>
          <w:bCs/>
          <w:sz w:val="24"/>
        </w:rPr>
      </w:pPr>
      <w:r>
        <w:rPr>
          <w:rFonts w:hint="eastAsia" w:ascii="等线" w:hAnsi="等线" w:cs="宋体"/>
          <w:bCs/>
          <w:sz w:val="24"/>
        </w:rPr>
        <w:t>（一）公开竞选采购项目可在各评标办法中应用供应商信用评价评标。</w:t>
      </w:r>
    </w:p>
    <w:p>
      <w:pPr>
        <w:spacing w:before="120" w:beforeLines="50" w:after="120" w:afterLines="50" w:line="360" w:lineRule="auto"/>
        <w:ind w:firstLine="480" w:firstLineChars="200"/>
        <w:rPr>
          <w:rFonts w:ascii="等线" w:hAnsi="等线" w:cs="宋体"/>
          <w:bCs/>
          <w:sz w:val="24"/>
        </w:rPr>
      </w:pPr>
      <w:r>
        <w:rPr>
          <w:rFonts w:hint="eastAsia" w:ascii="等线" w:hAnsi="等线" w:cs="宋体"/>
          <w:bCs/>
          <w:sz w:val="24"/>
        </w:rPr>
        <w:t>（二）采用经评审的最低评标价法评标的，在推荐中标候选人时，应对通过资格和有效性评审的投标人按照评标价进行排序，即：评标价＝有效报价×(1－信用系数），信用系数计取方法见附件</w:t>
      </w:r>
      <w:r>
        <w:rPr>
          <w:rFonts w:ascii="等线" w:hAnsi="等线" w:cs="宋体"/>
          <w:bCs/>
          <w:sz w:val="24"/>
        </w:rPr>
        <w:t>8</w:t>
      </w:r>
      <w:r>
        <w:rPr>
          <w:rFonts w:hint="eastAsia" w:ascii="等线" w:hAnsi="等线" w:cs="宋体"/>
          <w:bCs/>
          <w:sz w:val="24"/>
        </w:rPr>
        <w:t>，供应商第一次参与投标的，信用系数按0计算。当出现二个或二个以上投标人的评标价的取值相同时，由评委会随机抽取确定。</w:t>
      </w:r>
    </w:p>
    <w:p>
      <w:pPr>
        <w:spacing w:before="120" w:beforeLines="50" w:after="120" w:afterLines="50" w:line="360" w:lineRule="auto"/>
        <w:ind w:firstLine="480" w:firstLineChars="200"/>
        <w:rPr>
          <w:rFonts w:ascii="等线" w:hAnsi="等线" w:cs="宋体"/>
          <w:bCs/>
          <w:sz w:val="24"/>
        </w:rPr>
      </w:pPr>
      <w:r>
        <w:rPr>
          <w:rFonts w:hint="eastAsia" w:ascii="等线" w:hAnsi="等线" w:cs="宋体"/>
          <w:bCs/>
          <w:sz w:val="24"/>
        </w:rPr>
        <w:t>（三）综合评分法</w:t>
      </w:r>
    </w:p>
    <w:p>
      <w:pPr>
        <w:spacing w:before="120" w:beforeLines="50" w:after="120" w:afterLines="50" w:line="360" w:lineRule="auto"/>
        <w:ind w:firstLine="480" w:firstLineChars="200"/>
        <w:rPr>
          <w:rFonts w:ascii="等线" w:hAnsi="等线" w:cs="宋体"/>
          <w:bCs/>
          <w:sz w:val="24"/>
        </w:rPr>
      </w:pPr>
      <w:r>
        <w:rPr>
          <w:rFonts w:hint="eastAsia" w:ascii="等线" w:hAnsi="等线" w:cs="宋体"/>
          <w:bCs/>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pPr>
        <w:spacing w:before="120" w:beforeLines="50" w:after="120" w:afterLines="50" w:line="360" w:lineRule="auto"/>
        <w:ind w:firstLine="480" w:firstLineChars="200"/>
        <w:rPr>
          <w:rFonts w:ascii="等线" w:hAnsi="等线" w:cs="宋体"/>
          <w:bCs/>
          <w:sz w:val="24"/>
        </w:rPr>
      </w:pPr>
      <w:r>
        <w:rPr>
          <w:rFonts w:hint="eastAsia" w:ascii="等线" w:hAnsi="等线" w:cs="宋体"/>
          <w:bCs/>
          <w:sz w:val="24"/>
        </w:rPr>
        <w:t>2、当出现二个或二个以上投标人的总得分相同时，由评委会随机抽取确定。</w:t>
      </w:r>
    </w:p>
    <w:p>
      <w:pPr>
        <w:spacing w:before="120" w:beforeLines="50" w:after="120" w:afterLines="50" w:line="360" w:lineRule="auto"/>
        <w:ind w:left="482"/>
        <w:rPr>
          <w:rFonts w:ascii="等线" w:hAnsi="等线" w:cs="宋体"/>
          <w:b/>
          <w:sz w:val="24"/>
        </w:rPr>
      </w:pPr>
      <w:r>
        <w:rPr>
          <w:rFonts w:hint="eastAsia" w:ascii="等线" w:hAnsi="等线" w:cs="宋体"/>
          <w:b/>
          <w:sz w:val="24"/>
        </w:rPr>
        <w:t>四、违约处理</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（一）</w:t>
      </w:r>
      <w:r>
        <w:rPr>
          <w:rFonts w:hint="eastAsia" w:ascii="等线" w:hAnsi="等线" w:cs="宋体"/>
          <w:sz w:val="24"/>
        </w:rPr>
        <w:tab/>
      </w:r>
      <w:r>
        <w:rPr>
          <w:rFonts w:hint="eastAsia" w:ascii="等线" w:hAnsi="等线" w:cs="宋体"/>
          <w:sz w:val="24"/>
        </w:rPr>
        <w:t>排序第1位的供应商出现以下情形的，将暂停其公开竞选资格6个月：中标、确定为合同供方/承包人后，无正当理由拒绝履行合同和有关承诺的，或擅自变更、中止（终止）合同的。</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（二）供应商出现下列情形之一的，采购人有权暂停其公开竞选资格1年：</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1、实际提供的有关产品性能指标或技术服务能力或施工质量明显低于报价响应时承诺的；</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3、一年内供应商在采购项目中累计履约评价为不合格2次的；</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3、供应商提供虚假材料或与其它供应商恶意串通谋取成交的；</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4、发生其他违规或违约情况，造成严重损害的；</w:t>
      </w:r>
    </w:p>
    <w:p>
      <w:pPr>
        <w:spacing w:before="120" w:beforeLines="50" w:after="120" w:afterLines="50" w:line="360" w:lineRule="auto"/>
        <w:ind w:firstLine="480" w:firstLineChars="200"/>
        <w:rPr>
          <w:rFonts w:ascii="等线" w:hAnsi="等线" w:cs="宋体"/>
          <w:sz w:val="24"/>
        </w:rPr>
      </w:pPr>
      <w:r>
        <w:rPr>
          <w:rFonts w:hint="eastAsia" w:ascii="等线" w:hAnsi="等线" w:cs="宋体"/>
          <w:sz w:val="24"/>
        </w:rPr>
        <w:t>5、其它经采购人认定的。</w:t>
      </w:r>
    </w:p>
    <w:p>
      <w:pPr>
        <w:spacing w:before="120" w:beforeLines="50" w:after="120" w:afterLines="50" w:line="360" w:lineRule="auto"/>
        <w:rPr>
          <w:rFonts w:ascii="等线" w:hAnsi="等线" w:cs="宋体"/>
          <w:sz w:val="24"/>
        </w:rPr>
      </w:pPr>
      <w:r>
        <w:rPr>
          <w:rFonts w:ascii="等线" w:hAnsi="等线" w:cs="宋体"/>
          <w:sz w:val="24"/>
        </w:rPr>
        <w:br w:type="page"/>
      </w:r>
    </w:p>
    <w:p>
      <w:pPr>
        <w:spacing w:line="360" w:lineRule="auto"/>
        <w:rPr>
          <w:rFonts w:ascii="宋体" w:hAnsi="宋体"/>
          <w:sz w:val="30"/>
          <w:szCs w:val="30"/>
        </w:rPr>
      </w:pPr>
      <w:r>
        <w:rPr>
          <w:rFonts w:hint="eastAsia" w:ascii="宋体" w:hAnsi="宋体"/>
          <w:sz w:val="30"/>
          <w:szCs w:val="30"/>
        </w:rPr>
        <w:t>附件</w:t>
      </w:r>
      <w:r>
        <w:rPr>
          <w:rFonts w:ascii="宋体" w:hAnsi="宋体"/>
          <w:sz w:val="30"/>
          <w:szCs w:val="30"/>
        </w:rPr>
        <w:t>8</w:t>
      </w:r>
    </w:p>
    <w:p>
      <w:pPr>
        <w:jc w:val="center"/>
        <w:rPr>
          <w:rFonts w:ascii="宋体" w:hAnsi="宋体" w:cs="宋体"/>
          <w:b/>
          <w:bCs/>
          <w:sz w:val="30"/>
          <w:szCs w:val="30"/>
        </w:rPr>
      </w:pPr>
      <w:r>
        <w:rPr>
          <w:rFonts w:ascii="宋体" w:hAnsi="宋体" w:cs="宋体"/>
          <w:b/>
          <w:bCs/>
          <w:sz w:val="30"/>
          <w:szCs w:val="30"/>
        </w:rPr>
        <w:t>供应商信用指标及评价标准</w:t>
      </w:r>
    </w:p>
    <w:tbl>
      <w:tblPr>
        <w:tblStyle w:val="14"/>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175"/>
        <w:gridCol w:w="3812"/>
      </w:tblGrid>
      <w:tr>
        <w:tblPrEx>
          <w:tblLayout w:type="fixed"/>
        </w:tblPrEx>
        <w:trPr>
          <w:trHeight w:val="450" w:hRule="atLeast"/>
          <w:jc w:val="center"/>
        </w:trPr>
        <w:tc>
          <w:tcPr>
            <w:tcW w:w="1246" w:type="dxa"/>
            <w:vAlign w:val="center"/>
          </w:tcPr>
          <w:p>
            <w:pPr>
              <w:pStyle w:val="18"/>
              <w:widowControl w:val="0"/>
              <w:jc w:val="center"/>
              <w:rPr>
                <w:rFonts w:ascii="宋体" w:hAnsi="宋体" w:eastAsia="宋体" w:cs="宋体"/>
                <w:color w:val="000000"/>
                <w:sz w:val="21"/>
                <w:szCs w:val="21"/>
              </w:rPr>
            </w:pPr>
            <w:r>
              <w:rPr>
                <w:rFonts w:hint="eastAsia" w:ascii="宋体" w:hAnsi="宋体" w:eastAsia="宋体" w:cs="宋体"/>
                <w:color w:val="000000"/>
                <w:sz w:val="21"/>
                <w:szCs w:val="21"/>
              </w:rPr>
              <w:t>项目</w:t>
            </w:r>
          </w:p>
        </w:tc>
        <w:tc>
          <w:tcPr>
            <w:tcW w:w="4175" w:type="dxa"/>
            <w:vAlign w:val="center"/>
          </w:tcPr>
          <w:p>
            <w:pPr>
              <w:pStyle w:val="18"/>
              <w:widowControl w:val="0"/>
              <w:jc w:val="center"/>
              <w:rPr>
                <w:rFonts w:ascii="宋体" w:hAnsi="宋体" w:eastAsia="宋体" w:cs="宋体"/>
                <w:color w:val="000000"/>
                <w:sz w:val="21"/>
                <w:szCs w:val="21"/>
              </w:rPr>
            </w:pPr>
            <w:r>
              <w:rPr>
                <w:rFonts w:hint="eastAsia" w:ascii="宋体" w:hAnsi="宋体" w:eastAsia="宋体" w:cs="宋体"/>
                <w:color w:val="000000"/>
                <w:sz w:val="21"/>
                <w:szCs w:val="21"/>
              </w:rPr>
              <w:t>子项</w:t>
            </w:r>
          </w:p>
        </w:tc>
        <w:tc>
          <w:tcPr>
            <w:tcW w:w="3812" w:type="dxa"/>
            <w:vAlign w:val="center"/>
          </w:tcPr>
          <w:p>
            <w:pPr>
              <w:pStyle w:val="18"/>
              <w:widowControl w:val="0"/>
              <w:jc w:val="center"/>
              <w:rPr>
                <w:rFonts w:ascii="宋体" w:hAnsi="宋体" w:eastAsia="宋体" w:cs="宋体"/>
                <w:color w:val="000000"/>
                <w:sz w:val="21"/>
                <w:szCs w:val="21"/>
              </w:rPr>
            </w:pPr>
            <w:r>
              <w:rPr>
                <w:rFonts w:hint="eastAsia" w:ascii="宋体" w:hAnsi="宋体" w:eastAsia="宋体" w:cs="宋体"/>
                <w:color w:val="000000"/>
                <w:sz w:val="21"/>
                <w:szCs w:val="21"/>
              </w:rPr>
              <w:t>评价标准</w:t>
            </w:r>
          </w:p>
        </w:tc>
      </w:tr>
      <w:tr>
        <w:tblPrEx>
          <w:tblLayout w:type="fixed"/>
        </w:tblPrEx>
        <w:trPr>
          <w:trHeight w:val="428" w:hRule="atLeast"/>
          <w:jc w:val="center"/>
        </w:trPr>
        <w:tc>
          <w:tcPr>
            <w:tcW w:w="1246" w:type="dxa"/>
            <w:shd w:val="clear" w:color="auto" w:fill="auto"/>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良好行为</w:t>
            </w:r>
          </w:p>
        </w:tc>
        <w:tc>
          <w:tcPr>
            <w:tcW w:w="4175" w:type="dxa"/>
            <w:shd w:val="clear" w:color="auto" w:fill="auto"/>
            <w:vAlign w:val="center"/>
          </w:tcPr>
          <w:p>
            <w:pPr>
              <w:widowControl/>
              <w:spacing w:line="260" w:lineRule="exact"/>
              <w:rPr>
                <w:szCs w:val="21"/>
              </w:rPr>
            </w:pPr>
            <w:r>
              <w:rPr>
                <w:szCs w:val="21"/>
              </w:rPr>
              <w:t>供应商按约定履行合同受到奖励的</w:t>
            </w:r>
          </w:p>
        </w:tc>
        <w:tc>
          <w:tcPr>
            <w:tcW w:w="3812" w:type="dxa"/>
            <w:shd w:val="clear" w:color="auto" w:fill="auto"/>
            <w:vAlign w:val="center"/>
          </w:tcPr>
          <w:p>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tblPrEx>
          <w:tblLayout w:type="fixed"/>
        </w:tblPrEx>
        <w:trPr>
          <w:trHeight w:val="133" w:hRule="atLeast"/>
          <w:jc w:val="center"/>
        </w:trPr>
        <w:tc>
          <w:tcPr>
            <w:tcW w:w="1246" w:type="dxa"/>
            <w:vMerge w:val="restart"/>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不良行为</w:t>
            </w: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供应商提供虚假材料或与其它供应商恶意串通谋取中标、成交的；</w:t>
            </w:r>
          </w:p>
        </w:tc>
        <w:tc>
          <w:tcPr>
            <w:tcW w:w="3812" w:type="dxa"/>
            <w:vMerge w:val="restart"/>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严重不良行为，每发生1次，自认定之日起一年内信用系数扣5%</w:t>
            </w:r>
          </w:p>
        </w:tc>
      </w:tr>
      <w:tr>
        <w:tblPrEx>
          <w:tblLayout w:type="fixed"/>
        </w:tblPrEx>
        <w:trPr>
          <w:trHeight w:val="133"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中标、确定为合同供方/承包人后，无正当理由拒绝履行合同和有关承诺的，或擅自变更、中止（终止）合同的；</w:t>
            </w:r>
          </w:p>
        </w:tc>
        <w:tc>
          <w:tcPr>
            <w:tcW w:w="3812" w:type="dxa"/>
            <w:vMerge w:val="continue"/>
            <w:vAlign w:val="center"/>
          </w:tcPr>
          <w:p>
            <w:pPr>
              <w:pStyle w:val="18"/>
              <w:widowControl w:val="0"/>
              <w:jc w:val="both"/>
              <w:rPr>
                <w:rFonts w:ascii="宋体" w:hAnsi="宋体" w:eastAsia="宋体" w:cs="宋体"/>
                <w:color w:val="000000"/>
                <w:sz w:val="21"/>
                <w:szCs w:val="21"/>
              </w:rPr>
            </w:pPr>
          </w:p>
        </w:tc>
      </w:tr>
      <w:tr>
        <w:tblPrEx>
          <w:tblLayout w:type="fixed"/>
        </w:tblPrEx>
        <w:trPr>
          <w:trHeight w:val="133"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实际提供的有关产品性能指标和技术服务能力、施工质量明显低于采购响应文件或竞选时的承诺的；</w:t>
            </w:r>
          </w:p>
        </w:tc>
        <w:tc>
          <w:tcPr>
            <w:tcW w:w="3812" w:type="dxa"/>
            <w:vMerge w:val="continue"/>
            <w:vAlign w:val="center"/>
          </w:tcPr>
          <w:p>
            <w:pPr>
              <w:pStyle w:val="18"/>
              <w:widowControl w:val="0"/>
              <w:jc w:val="both"/>
              <w:rPr>
                <w:rFonts w:ascii="宋体" w:hAnsi="宋体" w:eastAsia="宋体" w:cs="宋体"/>
                <w:color w:val="000000"/>
                <w:sz w:val="21"/>
                <w:szCs w:val="21"/>
              </w:rPr>
            </w:pPr>
          </w:p>
        </w:tc>
      </w:tr>
      <w:tr>
        <w:tblPrEx>
          <w:tblLayout w:type="fixed"/>
        </w:tblPrEx>
        <w:trPr>
          <w:trHeight w:val="133"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中标、成交后，将合同转包给其他供应商的；</w:t>
            </w:r>
          </w:p>
        </w:tc>
        <w:tc>
          <w:tcPr>
            <w:tcW w:w="3812" w:type="dxa"/>
            <w:vMerge w:val="continue"/>
            <w:vAlign w:val="center"/>
          </w:tcPr>
          <w:p>
            <w:pPr>
              <w:pStyle w:val="18"/>
              <w:widowControl w:val="0"/>
              <w:jc w:val="both"/>
              <w:rPr>
                <w:rFonts w:ascii="宋体" w:hAnsi="宋体" w:eastAsia="宋体" w:cs="宋体"/>
                <w:color w:val="000000"/>
                <w:sz w:val="21"/>
                <w:szCs w:val="21"/>
              </w:rPr>
            </w:pPr>
          </w:p>
        </w:tc>
      </w:tr>
      <w:tr>
        <w:tblPrEx>
          <w:tblLayout w:type="fixed"/>
        </w:tblPrEx>
        <w:trPr>
          <w:trHeight w:val="705"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中标、成交后，将合同擅自分包给其他供应商的；</w:t>
            </w:r>
          </w:p>
        </w:tc>
        <w:tc>
          <w:tcPr>
            <w:tcW w:w="3812"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一般不良行为，每发生1次，自认定之日起一年内信用系数扣2%</w:t>
            </w:r>
          </w:p>
        </w:tc>
      </w:tr>
      <w:tr>
        <w:tblPrEx>
          <w:tblLayout w:type="fixed"/>
        </w:tblPrEx>
        <w:trPr>
          <w:trHeight w:val="205"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开标后擅自撤回采购相应文件，影响采购活动继续进行的；</w:t>
            </w:r>
          </w:p>
        </w:tc>
        <w:tc>
          <w:tcPr>
            <w:tcW w:w="3812" w:type="dxa"/>
            <w:vMerge w:val="restart"/>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轻微不良行为，每发生1次，自认定之日起一年内信用系数扣1.25%</w:t>
            </w:r>
          </w:p>
        </w:tc>
      </w:tr>
      <w:tr>
        <w:tblPrEx>
          <w:tblLayout w:type="fixed"/>
        </w:tblPrEx>
        <w:trPr>
          <w:trHeight w:val="205" w:hRule="atLeast"/>
          <w:jc w:val="center"/>
        </w:trPr>
        <w:tc>
          <w:tcPr>
            <w:tcW w:w="1246" w:type="dxa"/>
            <w:vMerge w:val="continue"/>
            <w:vAlign w:val="center"/>
          </w:tcPr>
          <w:p>
            <w:pPr>
              <w:pStyle w:val="18"/>
              <w:widowControl w:val="0"/>
              <w:jc w:val="both"/>
              <w:rPr>
                <w:rFonts w:ascii="宋体" w:hAnsi="宋体" w:eastAsia="宋体" w:cs="宋体"/>
                <w:color w:val="000000"/>
                <w:sz w:val="21"/>
                <w:szCs w:val="21"/>
              </w:rPr>
            </w:pPr>
          </w:p>
        </w:tc>
        <w:tc>
          <w:tcPr>
            <w:tcW w:w="4175" w:type="dxa"/>
            <w:vAlign w:val="center"/>
          </w:tcPr>
          <w:p>
            <w:pPr>
              <w:pStyle w:val="18"/>
              <w:widowControl w:val="0"/>
              <w:jc w:val="both"/>
              <w:rPr>
                <w:rFonts w:ascii="宋体" w:hAnsi="宋体" w:eastAsia="宋体" w:cs="宋体"/>
                <w:color w:val="000000"/>
                <w:sz w:val="21"/>
                <w:szCs w:val="21"/>
              </w:rPr>
            </w:pPr>
            <w:r>
              <w:rPr>
                <w:rFonts w:hint="eastAsia" w:ascii="宋体" w:hAnsi="宋体" w:eastAsia="宋体" w:cs="宋体"/>
                <w:color w:val="000000"/>
                <w:sz w:val="21"/>
                <w:szCs w:val="21"/>
              </w:rPr>
              <w:t>供应商因未按约定履行合同受到违约处罚的。</w:t>
            </w:r>
          </w:p>
        </w:tc>
        <w:tc>
          <w:tcPr>
            <w:tcW w:w="3812" w:type="dxa"/>
            <w:vMerge w:val="continue"/>
            <w:vAlign w:val="center"/>
          </w:tcPr>
          <w:p>
            <w:pPr>
              <w:pStyle w:val="18"/>
              <w:widowControl w:val="0"/>
              <w:jc w:val="both"/>
              <w:rPr>
                <w:rFonts w:ascii="宋体" w:hAnsi="宋体" w:eastAsia="宋体" w:cs="宋体"/>
                <w:color w:val="000000"/>
                <w:sz w:val="21"/>
                <w:szCs w:val="21"/>
              </w:rPr>
            </w:pPr>
          </w:p>
        </w:tc>
      </w:tr>
    </w:tbl>
    <w:p>
      <w:pPr>
        <w:widowControl/>
        <w:rPr>
          <w:rFonts w:ascii="宋体" w:hAnsi="宋体" w:cs="宋体"/>
        </w:rPr>
      </w:pPr>
    </w:p>
    <w:p>
      <w:pPr>
        <w:spacing w:line="360" w:lineRule="auto"/>
        <w:rPr>
          <w:rFonts w:ascii="宋体" w:hAnsi="宋体" w:cs="宋体"/>
        </w:rPr>
      </w:pPr>
      <w:r>
        <w:rPr>
          <w:rFonts w:ascii="宋体" w:hAnsi="宋体" w:cs="宋体"/>
        </w:rPr>
        <w:t>备注：</w:t>
      </w:r>
    </w:p>
    <w:p>
      <w:pPr>
        <w:numPr>
          <w:ilvl w:val="0"/>
          <w:numId w:val="18"/>
        </w:numPr>
        <w:spacing w:line="360" w:lineRule="auto"/>
        <w:rPr>
          <w:rFonts w:ascii="宋体" w:hAnsi="宋体" w:cs="宋体"/>
        </w:rPr>
      </w:pPr>
      <w:r>
        <w:rPr>
          <w:rFonts w:ascii="宋体" w:hAnsi="宋体" w:cs="宋体"/>
        </w:rPr>
        <w:t>供应商信用系数每个评价年度周期的初评按0计算。</w:t>
      </w:r>
    </w:p>
    <w:p>
      <w:pPr>
        <w:numPr>
          <w:ilvl w:val="0"/>
          <w:numId w:val="18"/>
        </w:numPr>
        <w:spacing w:line="360" w:lineRule="auto"/>
        <w:rPr>
          <w:rFonts w:ascii="宋体" w:hAnsi="宋体" w:cs="宋体"/>
          <w:color w:val="000000"/>
          <w:szCs w:val="21"/>
        </w:rPr>
      </w:pPr>
      <w:r>
        <w:rPr>
          <w:rFonts w:ascii="宋体" w:hAnsi="宋体" w:cs="宋体"/>
          <w:color w:val="000000"/>
          <w:szCs w:val="21"/>
        </w:rPr>
        <w:t>经</w:t>
      </w:r>
      <w:r>
        <w:rPr>
          <w:rFonts w:hint="eastAsia" w:ascii="宋体" w:hAnsi="宋体" w:cs="宋体"/>
          <w:color w:val="000000"/>
          <w:szCs w:val="21"/>
        </w:rPr>
        <w:t>采购人</w:t>
      </w:r>
      <w:r>
        <w:rPr>
          <w:rFonts w:ascii="宋体" w:hAnsi="宋体" w:cs="宋体"/>
          <w:color w:val="000000"/>
          <w:szCs w:val="21"/>
        </w:rPr>
        <w:t>批准认定的同一供应商良好行为或不良行为，在评价年度周期内信用系数可累加计算。</w:t>
      </w:r>
    </w:p>
    <w:p>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bookmarkEnd w:id="15"/>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sectPr>
      <w:pgSz w:w="11906" w:h="16838"/>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F2D"/>
    <w:multiLevelType w:val="multilevel"/>
    <w:tmpl w:val="034F1F2D"/>
    <w:lvl w:ilvl="0" w:tentative="0">
      <w:start w:val="1"/>
      <w:numFmt w:val="chineseCountingThousand"/>
      <w:lvlText w:val="%1、"/>
      <w:lvlJc w:val="left"/>
      <w:pPr>
        <w:ind w:left="425" w:firstLine="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DD7129E"/>
    <w:multiLevelType w:val="multilevel"/>
    <w:tmpl w:val="0DD7129E"/>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713571D"/>
    <w:multiLevelType w:val="multilevel"/>
    <w:tmpl w:val="1713571D"/>
    <w:lvl w:ilvl="0" w:tentative="0">
      <w:start w:val="1"/>
      <w:numFmt w:val="decimal"/>
      <w:lvlText w:val="%1."/>
      <w:lvlJc w:val="left"/>
      <w:pPr>
        <w:ind w:left="561" w:firstLine="0"/>
      </w:pPr>
      <w:rPr>
        <w:rFonts w:hint="eastAsia"/>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82A4B03"/>
    <w:multiLevelType w:val="multilevel"/>
    <w:tmpl w:val="182A4B0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92E770B"/>
    <w:multiLevelType w:val="multilevel"/>
    <w:tmpl w:val="292E770B"/>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3DD14DF0"/>
    <w:multiLevelType w:val="multilevel"/>
    <w:tmpl w:val="3DD14DF0"/>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FBB17D6"/>
    <w:multiLevelType w:val="multilevel"/>
    <w:tmpl w:val="3FBB17D6"/>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DC36A81"/>
    <w:multiLevelType w:val="multilevel"/>
    <w:tmpl w:val="4DC36A81"/>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F801A30"/>
    <w:multiLevelType w:val="multilevel"/>
    <w:tmpl w:val="4F801A3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58B76BD"/>
    <w:multiLevelType w:val="multilevel"/>
    <w:tmpl w:val="558B76BD"/>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BB02F2A"/>
    <w:multiLevelType w:val="multilevel"/>
    <w:tmpl w:val="5BB02F2A"/>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7126AAE"/>
    <w:multiLevelType w:val="multilevel"/>
    <w:tmpl w:val="67126AAE"/>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99371CB"/>
    <w:multiLevelType w:val="multilevel"/>
    <w:tmpl w:val="699371CB"/>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EC9748D"/>
    <w:multiLevelType w:val="multilevel"/>
    <w:tmpl w:val="6EC9748D"/>
    <w:lvl w:ilvl="0" w:tentative="0">
      <w:start w:val="1"/>
      <w:numFmt w:val="chineseCountingThousand"/>
      <w:lvlText w:val="(%1)"/>
      <w:lvlJc w:val="left"/>
      <w:pPr>
        <w:ind w:left="561" w:firstLine="0"/>
      </w:pPr>
      <w:rPr>
        <w:rFonts w:hint="default" w:eastAsia="宋体" w:asciiTheme="minorEastAsia" w:hAnsiTheme="minor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5186002"/>
    <w:multiLevelType w:val="multilevel"/>
    <w:tmpl w:val="75186002"/>
    <w:lvl w:ilvl="0" w:tentative="0">
      <w:start w:val="1"/>
      <w:numFmt w:val="chineseCountingThousand"/>
      <w:lvlText w:val="(%1)"/>
      <w:lvlJc w:val="left"/>
      <w:pPr>
        <w:ind w:left="425" w:firstLine="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7CE70E6D"/>
    <w:multiLevelType w:val="singleLevel"/>
    <w:tmpl w:val="7CE70E6D"/>
    <w:lvl w:ilvl="0" w:tentative="0">
      <w:start w:val="1"/>
      <w:numFmt w:val="decimal"/>
      <w:suff w:val="nothing"/>
      <w:lvlText w:val="%1."/>
      <w:lvlJc w:val="left"/>
    </w:lvl>
  </w:abstractNum>
  <w:num w:numId="1">
    <w:abstractNumId w:val="0"/>
  </w:num>
  <w:num w:numId="2">
    <w:abstractNumId w:val="8"/>
  </w:num>
  <w:num w:numId="3">
    <w:abstractNumId w:val="12"/>
  </w:num>
  <w:num w:numId="4">
    <w:abstractNumId w:val="16"/>
  </w:num>
  <w:num w:numId="5">
    <w:abstractNumId w:val="5"/>
  </w:num>
  <w:num w:numId="6">
    <w:abstractNumId w:val="9"/>
  </w:num>
  <w:num w:numId="7">
    <w:abstractNumId w:val="15"/>
  </w:num>
  <w:num w:numId="8">
    <w:abstractNumId w:val="3"/>
  </w:num>
  <w:num w:numId="9">
    <w:abstractNumId w:val="13"/>
  </w:num>
  <w:num w:numId="10">
    <w:abstractNumId w:val="2"/>
  </w:num>
  <w:num w:numId="11">
    <w:abstractNumId w:val="14"/>
  </w:num>
  <w:num w:numId="12">
    <w:abstractNumId w:val="7"/>
  </w:num>
  <w:num w:numId="13">
    <w:abstractNumId w:val="1"/>
  </w:num>
  <w:num w:numId="14">
    <w:abstractNumId w:val="10"/>
  </w:num>
  <w:num w:numId="15">
    <w:abstractNumId w:val="6"/>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67B1D"/>
    <w:rsid w:val="00074C0B"/>
    <w:rsid w:val="000820CF"/>
    <w:rsid w:val="00087B53"/>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056AD"/>
    <w:rsid w:val="0011170B"/>
    <w:rsid w:val="00112AE2"/>
    <w:rsid w:val="00114920"/>
    <w:rsid w:val="00121417"/>
    <w:rsid w:val="00121B5B"/>
    <w:rsid w:val="00125855"/>
    <w:rsid w:val="001300D3"/>
    <w:rsid w:val="001344AC"/>
    <w:rsid w:val="00145596"/>
    <w:rsid w:val="001505AC"/>
    <w:rsid w:val="00154134"/>
    <w:rsid w:val="00155983"/>
    <w:rsid w:val="00155A34"/>
    <w:rsid w:val="001604AB"/>
    <w:rsid w:val="00162E77"/>
    <w:rsid w:val="00164707"/>
    <w:rsid w:val="00172A27"/>
    <w:rsid w:val="00175957"/>
    <w:rsid w:val="00187DF6"/>
    <w:rsid w:val="00187E21"/>
    <w:rsid w:val="00194365"/>
    <w:rsid w:val="001944F5"/>
    <w:rsid w:val="00195617"/>
    <w:rsid w:val="001B2E16"/>
    <w:rsid w:val="001C054B"/>
    <w:rsid w:val="001C0F9F"/>
    <w:rsid w:val="001C182B"/>
    <w:rsid w:val="001C510A"/>
    <w:rsid w:val="001D6139"/>
    <w:rsid w:val="001D769B"/>
    <w:rsid w:val="001E06A5"/>
    <w:rsid w:val="001E32AC"/>
    <w:rsid w:val="001E658F"/>
    <w:rsid w:val="001E72D1"/>
    <w:rsid w:val="001F55B1"/>
    <w:rsid w:val="001F6D6F"/>
    <w:rsid w:val="00206C33"/>
    <w:rsid w:val="002117D0"/>
    <w:rsid w:val="00211BF3"/>
    <w:rsid w:val="0021497F"/>
    <w:rsid w:val="0021591C"/>
    <w:rsid w:val="00216BCF"/>
    <w:rsid w:val="00217634"/>
    <w:rsid w:val="00217C91"/>
    <w:rsid w:val="00221D47"/>
    <w:rsid w:val="0022379F"/>
    <w:rsid w:val="0022459A"/>
    <w:rsid w:val="0022476E"/>
    <w:rsid w:val="00242DE0"/>
    <w:rsid w:val="00246487"/>
    <w:rsid w:val="00264096"/>
    <w:rsid w:val="0026536E"/>
    <w:rsid w:val="00271AA0"/>
    <w:rsid w:val="00275CA3"/>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6349"/>
    <w:rsid w:val="003D6DDA"/>
    <w:rsid w:val="003F2285"/>
    <w:rsid w:val="003F2B4E"/>
    <w:rsid w:val="00401657"/>
    <w:rsid w:val="004023FB"/>
    <w:rsid w:val="00411B18"/>
    <w:rsid w:val="00414044"/>
    <w:rsid w:val="00424DBD"/>
    <w:rsid w:val="00426155"/>
    <w:rsid w:val="00431C89"/>
    <w:rsid w:val="00432A03"/>
    <w:rsid w:val="004348F5"/>
    <w:rsid w:val="00436830"/>
    <w:rsid w:val="004423AB"/>
    <w:rsid w:val="0044283D"/>
    <w:rsid w:val="00444368"/>
    <w:rsid w:val="00447931"/>
    <w:rsid w:val="00456BC1"/>
    <w:rsid w:val="00476BF0"/>
    <w:rsid w:val="00491859"/>
    <w:rsid w:val="00496408"/>
    <w:rsid w:val="004A01AA"/>
    <w:rsid w:val="004A0372"/>
    <w:rsid w:val="004A1A1D"/>
    <w:rsid w:val="004A23D1"/>
    <w:rsid w:val="004A24A7"/>
    <w:rsid w:val="004A4F9A"/>
    <w:rsid w:val="004A6018"/>
    <w:rsid w:val="004A702E"/>
    <w:rsid w:val="004B297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047E"/>
    <w:rsid w:val="00585285"/>
    <w:rsid w:val="00592951"/>
    <w:rsid w:val="00595EFF"/>
    <w:rsid w:val="00596962"/>
    <w:rsid w:val="005969FB"/>
    <w:rsid w:val="00597A65"/>
    <w:rsid w:val="005A431C"/>
    <w:rsid w:val="005A52C7"/>
    <w:rsid w:val="005A6CEA"/>
    <w:rsid w:val="005B2AB5"/>
    <w:rsid w:val="005B2C4E"/>
    <w:rsid w:val="005B6CEE"/>
    <w:rsid w:val="005C3F4C"/>
    <w:rsid w:val="005C6AA9"/>
    <w:rsid w:val="005D22E5"/>
    <w:rsid w:val="005D4557"/>
    <w:rsid w:val="005E4E7C"/>
    <w:rsid w:val="005E69D0"/>
    <w:rsid w:val="005F1A13"/>
    <w:rsid w:val="005F4B5B"/>
    <w:rsid w:val="005F602A"/>
    <w:rsid w:val="00603DB1"/>
    <w:rsid w:val="00607731"/>
    <w:rsid w:val="00611B4E"/>
    <w:rsid w:val="00617D0B"/>
    <w:rsid w:val="00621A9E"/>
    <w:rsid w:val="006229E9"/>
    <w:rsid w:val="00625024"/>
    <w:rsid w:val="006251A5"/>
    <w:rsid w:val="00625928"/>
    <w:rsid w:val="00634AC5"/>
    <w:rsid w:val="006365CD"/>
    <w:rsid w:val="00637977"/>
    <w:rsid w:val="0064000A"/>
    <w:rsid w:val="00642F9E"/>
    <w:rsid w:val="006503EF"/>
    <w:rsid w:val="00651816"/>
    <w:rsid w:val="00657E54"/>
    <w:rsid w:val="00667081"/>
    <w:rsid w:val="00677B93"/>
    <w:rsid w:val="00690C78"/>
    <w:rsid w:val="006A0EE2"/>
    <w:rsid w:val="006A3B53"/>
    <w:rsid w:val="006A7A3B"/>
    <w:rsid w:val="006B10D1"/>
    <w:rsid w:val="006B34D9"/>
    <w:rsid w:val="006B36E7"/>
    <w:rsid w:val="006B6C86"/>
    <w:rsid w:val="006D1B89"/>
    <w:rsid w:val="006D4928"/>
    <w:rsid w:val="006D61D7"/>
    <w:rsid w:val="006E54A2"/>
    <w:rsid w:val="00706205"/>
    <w:rsid w:val="00714ACD"/>
    <w:rsid w:val="0072093F"/>
    <w:rsid w:val="007216CB"/>
    <w:rsid w:val="0072216A"/>
    <w:rsid w:val="007227FF"/>
    <w:rsid w:val="00731F87"/>
    <w:rsid w:val="007424C6"/>
    <w:rsid w:val="00743DF1"/>
    <w:rsid w:val="007464DD"/>
    <w:rsid w:val="00753739"/>
    <w:rsid w:val="00755CA3"/>
    <w:rsid w:val="00760BA6"/>
    <w:rsid w:val="00763505"/>
    <w:rsid w:val="00764110"/>
    <w:rsid w:val="007672D2"/>
    <w:rsid w:val="00770411"/>
    <w:rsid w:val="00781259"/>
    <w:rsid w:val="0078574A"/>
    <w:rsid w:val="00786B2B"/>
    <w:rsid w:val="00793AED"/>
    <w:rsid w:val="007A2677"/>
    <w:rsid w:val="007A2D85"/>
    <w:rsid w:val="007A4834"/>
    <w:rsid w:val="007B7C38"/>
    <w:rsid w:val="007C04CE"/>
    <w:rsid w:val="007C3669"/>
    <w:rsid w:val="007D7DD0"/>
    <w:rsid w:val="007E302E"/>
    <w:rsid w:val="007E3907"/>
    <w:rsid w:val="007E4E6C"/>
    <w:rsid w:val="007E61FE"/>
    <w:rsid w:val="007E78CE"/>
    <w:rsid w:val="007F318B"/>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002B"/>
    <w:rsid w:val="00872E70"/>
    <w:rsid w:val="00875206"/>
    <w:rsid w:val="008758A3"/>
    <w:rsid w:val="00877012"/>
    <w:rsid w:val="00885A5C"/>
    <w:rsid w:val="00885F0E"/>
    <w:rsid w:val="00886F55"/>
    <w:rsid w:val="00887116"/>
    <w:rsid w:val="008872F1"/>
    <w:rsid w:val="00894519"/>
    <w:rsid w:val="00895A0C"/>
    <w:rsid w:val="008960CE"/>
    <w:rsid w:val="008A3AC1"/>
    <w:rsid w:val="008A74F4"/>
    <w:rsid w:val="008B34ED"/>
    <w:rsid w:val="008B392E"/>
    <w:rsid w:val="008B670C"/>
    <w:rsid w:val="008C26B6"/>
    <w:rsid w:val="008C7560"/>
    <w:rsid w:val="008D1A59"/>
    <w:rsid w:val="008E0BA4"/>
    <w:rsid w:val="008E2D5A"/>
    <w:rsid w:val="008E3344"/>
    <w:rsid w:val="008E34D5"/>
    <w:rsid w:val="008F4BC0"/>
    <w:rsid w:val="008F50D8"/>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31940"/>
    <w:rsid w:val="00A32246"/>
    <w:rsid w:val="00A352BA"/>
    <w:rsid w:val="00A46630"/>
    <w:rsid w:val="00A475AB"/>
    <w:rsid w:val="00A52F9D"/>
    <w:rsid w:val="00A614CE"/>
    <w:rsid w:val="00A735C6"/>
    <w:rsid w:val="00A765E3"/>
    <w:rsid w:val="00A80F6D"/>
    <w:rsid w:val="00A81CD4"/>
    <w:rsid w:val="00A90953"/>
    <w:rsid w:val="00A92786"/>
    <w:rsid w:val="00AA11EB"/>
    <w:rsid w:val="00AA7AB2"/>
    <w:rsid w:val="00AB392A"/>
    <w:rsid w:val="00AB5292"/>
    <w:rsid w:val="00AB7FA5"/>
    <w:rsid w:val="00AE5CBE"/>
    <w:rsid w:val="00AF2CF0"/>
    <w:rsid w:val="00B00BE7"/>
    <w:rsid w:val="00B03C03"/>
    <w:rsid w:val="00B03CD3"/>
    <w:rsid w:val="00B0631D"/>
    <w:rsid w:val="00B06BF6"/>
    <w:rsid w:val="00B21F52"/>
    <w:rsid w:val="00B253F3"/>
    <w:rsid w:val="00B27F3C"/>
    <w:rsid w:val="00B40BEF"/>
    <w:rsid w:val="00B418B5"/>
    <w:rsid w:val="00B43CD4"/>
    <w:rsid w:val="00B469B7"/>
    <w:rsid w:val="00B47E24"/>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97976"/>
    <w:rsid w:val="00BA4EFF"/>
    <w:rsid w:val="00BB5B6D"/>
    <w:rsid w:val="00BB6D96"/>
    <w:rsid w:val="00BC2EEC"/>
    <w:rsid w:val="00BC35DC"/>
    <w:rsid w:val="00BC4706"/>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645D"/>
    <w:rsid w:val="00C27B6D"/>
    <w:rsid w:val="00C3028C"/>
    <w:rsid w:val="00C3119C"/>
    <w:rsid w:val="00C4031C"/>
    <w:rsid w:val="00C43DB5"/>
    <w:rsid w:val="00C514A7"/>
    <w:rsid w:val="00C706FF"/>
    <w:rsid w:val="00C74CE8"/>
    <w:rsid w:val="00C90657"/>
    <w:rsid w:val="00C9536A"/>
    <w:rsid w:val="00CA1AC9"/>
    <w:rsid w:val="00CB5412"/>
    <w:rsid w:val="00CD2F21"/>
    <w:rsid w:val="00CD7E92"/>
    <w:rsid w:val="00D03706"/>
    <w:rsid w:val="00D048B7"/>
    <w:rsid w:val="00D1262C"/>
    <w:rsid w:val="00D14DB9"/>
    <w:rsid w:val="00D202CF"/>
    <w:rsid w:val="00D21E57"/>
    <w:rsid w:val="00D35C86"/>
    <w:rsid w:val="00D42526"/>
    <w:rsid w:val="00D4497C"/>
    <w:rsid w:val="00D51B1D"/>
    <w:rsid w:val="00D5627D"/>
    <w:rsid w:val="00D57C42"/>
    <w:rsid w:val="00D62988"/>
    <w:rsid w:val="00D70E13"/>
    <w:rsid w:val="00D845E0"/>
    <w:rsid w:val="00D878E1"/>
    <w:rsid w:val="00D87D2D"/>
    <w:rsid w:val="00D905C4"/>
    <w:rsid w:val="00D9132A"/>
    <w:rsid w:val="00DA1C1E"/>
    <w:rsid w:val="00DA2896"/>
    <w:rsid w:val="00DA71C3"/>
    <w:rsid w:val="00DB2B70"/>
    <w:rsid w:val="00DB73CD"/>
    <w:rsid w:val="00DC0A3E"/>
    <w:rsid w:val="00DC5B4A"/>
    <w:rsid w:val="00DC7831"/>
    <w:rsid w:val="00DC7B9C"/>
    <w:rsid w:val="00DD5742"/>
    <w:rsid w:val="00DE44BB"/>
    <w:rsid w:val="00DE738F"/>
    <w:rsid w:val="00DF1B2F"/>
    <w:rsid w:val="00DF27AE"/>
    <w:rsid w:val="00DF2A76"/>
    <w:rsid w:val="00DF4B6D"/>
    <w:rsid w:val="00DF5B17"/>
    <w:rsid w:val="00DF719C"/>
    <w:rsid w:val="00E009AD"/>
    <w:rsid w:val="00E041C2"/>
    <w:rsid w:val="00E14BB5"/>
    <w:rsid w:val="00E1751F"/>
    <w:rsid w:val="00E354F4"/>
    <w:rsid w:val="00E36D06"/>
    <w:rsid w:val="00E44E2C"/>
    <w:rsid w:val="00E46348"/>
    <w:rsid w:val="00E47B3B"/>
    <w:rsid w:val="00E60267"/>
    <w:rsid w:val="00E60A10"/>
    <w:rsid w:val="00E63138"/>
    <w:rsid w:val="00E72782"/>
    <w:rsid w:val="00E800E7"/>
    <w:rsid w:val="00E82448"/>
    <w:rsid w:val="00E83C8C"/>
    <w:rsid w:val="00E90910"/>
    <w:rsid w:val="00E97A9C"/>
    <w:rsid w:val="00EA4024"/>
    <w:rsid w:val="00EA4B1F"/>
    <w:rsid w:val="00EB0304"/>
    <w:rsid w:val="00EB6582"/>
    <w:rsid w:val="00EC0CD3"/>
    <w:rsid w:val="00EC0F7A"/>
    <w:rsid w:val="00ED2D79"/>
    <w:rsid w:val="00EE7895"/>
    <w:rsid w:val="00EF0CB1"/>
    <w:rsid w:val="00EF18C1"/>
    <w:rsid w:val="00EF6BC6"/>
    <w:rsid w:val="00F02A17"/>
    <w:rsid w:val="00F05829"/>
    <w:rsid w:val="00F1300D"/>
    <w:rsid w:val="00F25270"/>
    <w:rsid w:val="00F25E6E"/>
    <w:rsid w:val="00F34524"/>
    <w:rsid w:val="00F42B37"/>
    <w:rsid w:val="00F43993"/>
    <w:rsid w:val="00F44245"/>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2DA"/>
    <w:rsid w:val="00FF088C"/>
    <w:rsid w:val="00FF28EC"/>
    <w:rsid w:val="00FF5451"/>
    <w:rsid w:val="01586AB7"/>
    <w:rsid w:val="042B4404"/>
    <w:rsid w:val="05F33E19"/>
    <w:rsid w:val="08A607DC"/>
    <w:rsid w:val="13033C28"/>
    <w:rsid w:val="13B94E90"/>
    <w:rsid w:val="16FA62BC"/>
    <w:rsid w:val="1FB1026B"/>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unhideWhenUsed/>
    <w:qFormat/>
    <w:uiPriority w:val="99"/>
    <w:rPr>
      <w:b/>
      <w:bCs/>
    </w:rPr>
  </w:style>
  <w:style w:type="paragraph" w:styleId="3">
    <w:name w:val="annotation text"/>
    <w:basedOn w:val="1"/>
    <w:link w:val="24"/>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link w:val="29"/>
    <w:semiHidden/>
    <w:unhideWhenUsed/>
    <w:uiPriority w:val="99"/>
    <w:pPr>
      <w:spacing w:after="120"/>
    </w:pPr>
  </w:style>
  <w:style w:type="paragraph" w:styleId="6">
    <w:name w:val="Body Text Indent"/>
    <w:basedOn w:val="1"/>
    <w:link w:val="27"/>
    <w:qFormat/>
    <w:uiPriority w:val="0"/>
    <w:pPr>
      <w:spacing w:after="120"/>
      <w:ind w:left="420" w:leftChars="200"/>
    </w:pPr>
    <w:rPr>
      <w:rFonts w:ascii="Calibri" w:hAnsi="Calibri"/>
      <w:szCs w:val="22"/>
    </w:rPr>
  </w:style>
  <w:style w:type="paragraph" w:styleId="7">
    <w:name w:val="Plain Text"/>
    <w:basedOn w:val="1"/>
    <w:link w:val="2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纯文本1"/>
    <w:basedOn w:val="1"/>
    <w:qFormat/>
    <w:uiPriority w:val="0"/>
    <w:pPr>
      <w:widowControl/>
      <w:jc w:val="left"/>
    </w:pPr>
    <w:rPr>
      <w:rFonts w:ascii="宋体" w:hAnsi="Courier New" w:eastAsia="微软雅黑"/>
      <w:kern w:val="0"/>
      <w:sz w:val="20"/>
      <w:szCs w:val="21"/>
    </w:rPr>
  </w:style>
  <w:style w:type="paragraph" w:customStyle="1" w:styleId="17">
    <w:name w:val="1_0"/>
    <w:basedOn w:val="1"/>
    <w:next w:val="16"/>
    <w:qFormat/>
    <w:uiPriority w:val="0"/>
    <w:rPr>
      <w:rFonts w:ascii="宋体" w:hAnsi="Courier New"/>
      <w:szCs w:val="22"/>
    </w:rPr>
  </w:style>
  <w:style w:type="paragraph" w:customStyle="1" w:styleId="1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19">
    <w:name w:val="页脚 字符"/>
    <w:link w:val="9"/>
    <w:qFormat/>
    <w:uiPriority w:val="99"/>
    <w:rPr>
      <w:kern w:val="2"/>
      <w:sz w:val="18"/>
      <w:szCs w:val="18"/>
    </w:rPr>
  </w:style>
  <w:style w:type="character" w:customStyle="1" w:styleId="20">
    <w:name w:val="apple-style-span"/>
    <w:basedOn w:val="11"/>
    <w:qFormat/>
    <w:uiPriority w:val="0"/>
  </w:style>
  <w:style w:type="character" w:customStyle="1" w:styleId="21">
    <w:name w:val="页眉 字符"/>
    <w:link w:val="10"/>
    <w:qFormat/>
    <w:uiPriority w:val="0"/>
    <w:rPr>
      <w:kern w:val="2"/>
      <w:sz w:val="18"/>
      <w:szCs w:val="18"/>
    </w:rPr>
  </w:style>
  <w:style w:type="character" w:customStyle="1" w:styleId="22">
    <w:name w:val="style141"/>
    <w:qFormat/>
    <w:uiPriority w:val="0"/>
    <w:rPr>
      <w:rFonts w:hint="eastAsia" w:ascii="宋体" w:hAnsi="宋体" w:eastAsia="宋体"/>
      <w:sz w:val="18"/>
      <w:szCs w:val="18"/>
    </w:rPr>
  </w:style>
  <w:style w:type="character" w:customStyle="1" w:styleId="23">
    <w:name w:val="纯文本 字符"/>
    <w:basedOn w:val="11"/>
    <w:link w:val="7"/>
    <w:qFormat/>
    <w:uiPriority w:val="0"/>
    <w:rPr>
      <w:rFonts w:ascii="宋体" w:hAnsi="Courier New" w:eastAsia="微软雅黑" w:cs="Courier New"/>
      <w:sz w:val="22"/>
      <w:szCs w:val="21"/>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2"/>
    <w:semiHidden/>
    <w:qFormat/>
    <w:uiPriority w:val="99"/>
    <w:rPr>
      <w:b/>
      <w:bCs/>
      <w:kern w:val="2"/>
      <w:sz w:val="21"/>
      <w:szCs w:val="24"/>
    </w:rPr>
  </w:style>
  <w:style w:type="paragraph" w:styleId="26">
    <w:name w:val="List Paragraph"/>
    <w:basedOn w:val="1"/>
    <w:qFormat/>
    <w:uiPriority w:val="34"/>
    <w:pPr>
      <w:ind w:firstLine="420" w:firstLineChars="200"/>
    </w:pPr>
  </w:style>
  <w:style w:type="character" w:customStyle="1" w:styleId="27">
    <w:name w:val="正文文本缩进 字符"/>
    <w:basedOn w:val="11"/>
    <w:link w:val="6"/>
    <w:uiPriority w:val="0"/>
    <w:rPr>
      <w:rFonts w:ascii="Calibri" w:hAnsi="Calibri"/>
      <w:kern w:val="2"/>
      <w:sz w:val="21"/>
      <w:szCs w:val="22"/>
    </w:rPr>
  </w:style>
  <w:style w:type="paragraph" w:customStyle="1" w:styleId="28">
    <w:name w:val="p18"/>
    <w:basedOn w:val="1"/>
    <w:uiPriority w:val="0"/>
    <w:pPr>
      <w:widowControl/>
      <w:adjustRightInd w:val="0"/>
      <w:spacing w:line="312" w:lineRule="atLeast"/>
    </w:pPr>
    <w:rPr>
      <w:rFonts w:ascii="宋体" w:hAnsi="宋体" w:cs="宋体"/>
      <w:kern w:val="0"/>
      <w:sz w:val="24"/>
    </w:rPr>
  </w:style>
  <w:style w:type="character" w:customStyle="1" w:styleId="29">
    <w:name w:val="正文文本 字符"/>
    <w:basedOn w:val="11"/>
    <w:link w:val="5"/>
    <w:semiHidden/>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17</Pages>
  <Words>1155</Words>
  <Characters>6589</Characters>
  <Lines>54</Lines>
  <Paragraphs>15</Paragraphs>
  <TotalTime>1179</TotalTime>
  <ScaleCrop>false</ScaleCrop>
  <LinksUpToDate>false</LinksUpToDate>
  <CharactersWithSpaces>7729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2020-12-10T01:38:47Z</dcterms:modified>
  <dc:title>广州大学城投资经营管理有限公司</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