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autoSpaceDE w:val="0"/>
        <w:autoSpaceDN w:val="0"/>
        <w:adjustRightInd w:val="0"/>
        <w:jc w:val="center"/>
        <w:rPr>
          <w:rFonts w:ascii="宋体" w:hAnsi="宋体"/>
          <w:b/>
          <w:sz w:val="36"/>
          <w:szCs w:val="36"/>
          <w:lang w:val="zh-CN"/>
        </w:rPr>
      </w:pPr>
      <w:bookmarkStart w:id="10" w:name="_GoBack"/>
    </w:p>
    <w:p>
      <w:pPr>
        <w:autoSpaceDE w:val="0"/>
        <w:autoSpaceDN w:val="0"/>
        <w:adjustRightInd w:val="0"/>
        <w:jc w:val="center"/>
        <w:rPr>
          <w:rFonts w:ascii="宋体" w:hAnsi="宋体"/>
          <w:b/>
          <w:sz w:val="36"/>
          <w:szCs w:val="36"/>
          <w:lang w:val="zh-CN"/>
        </w:rPr>
      </w:pPr>
      <w:r>
        <w:rPr>
          <w:rFonts w:hint="eastAsia" w:ascii="宋体" w:hAnsi="宋体"/>
          <w:b/>
          <w:sz w:val="36"/>
          <w:szCs w:val="36"/>
          <w:lang w:val="zh-CN"/>
        </w:rPr>
        <w:t>广州印象文化旅游发展有限公司</w:t>
      </w:r>
    </w:p>
    <w:p>
      <w:pPr>
        <w:autoSpaceDE w:val="0"/>
        <w:autoSpaceDN w:val="0"/>
        <w:adjustRightInd w:val="0"/>
        <w:jc w:val="center"/>
        <w:rPr>
          <w:rFonts w:ascii="宋体" w:hAnsi="宋体"/>
          <w:b/>
          <w:sz w:val="36"/>
          <w:szCs w:val="36"/>
          <w:lang w:val="zh-CN"/>
        </w:rPr>
      </w:pPr>
      <w:r>
        <w:rPr>
          <w:rFonts w:hint="eastAsia" w:ascii="宋体" w:hAnsi="宋体"/>
          <w:b/>
          <w:sz w:val="36"/>
          <w:szCs w:val="36"/>
          <w:lang w:val="zh-CN"/>
        </w:rPr>
        <w:t>项目竞选文件</w:t>
      </w:r>
    </w:p>
    <w:bookmarkEnd w:id="10"/>
    <w:p>
      <w:pPr>
        <w:autoSpaceDE w:val="0"/>
        <w:autoSpaceDN w:val="0"/>
        <w:adjustRightInd w:val="0"/>
        <w:jc w:val="center"/>
        <w:rPr>
          <w:rFonts w:ascii="宋体" w:hAnsi="宋体"/>
          <w:b/>
          <w:sz w:val="44"/>
          <w:szCs w:val="44"/>
          <w:lang w:val="zh-CN"/>
        </w:rPr>
      </w:pPr>
    </w:p>
    <w:p>
      <w:pPr>
        <w:autoSpaceDE w:val="0"/>
        <w:autoSpaceDN w:val="0"/>
        <w:adjustRightInd w:val="0"/>
        <w:spacing w:line="400" w:lineRule="atLeast"/>
        <w:ind w:firstLine="640" w:firstLineChars="200"/>
        <w:rPr>
          <w:rFonts w:ascii="宋体" w:hAnsi="宋体" w:cs="宋体"/>
          <w:b/>
          <w:color w:val="000000"/>
          <w:sz w:val="32"/>
          <w:szCs w:val="32"/>
        </w:rPr>
      </w:pPr>
      <w:r>
        <w:rPr>
          <w:rFonts w:hint="eastAsia" w:ascii="宋体" w:hAnsi="宋体" w:cs="宋体"/>
          <w:b/>
          <w:color w:val="000000"/>
          <w:sz w:val="32"/>
          <w:szCs w:val="32"/>
        </w:rPr>
        <w:t>一、项目名称和内容</w:t>
      </w:r>
    </w:p>
    <w:p>
      <w:pPr>
        <w:autoSpaceDE w:val="0"/>
        <w:autoSpaceDN w:val="0"/>
        <w:adjustRightInd w:val="0"/>
        <w:spacing w:line="400" w:lineRule="atLeast"/>
        <w:ind w:firstLine="560" w:firstLineChars="200"/>
        <w:rPr>
          <w:rFonts w:asciiTheme="minorEastAsia" w:hAnsiTheme="minorEastAsia" w:eastAsiaTheme="minorEastAsia"/>
          <w:color w:val="000000"/>
          <w:sz w:val="28"/>
          <w:szCs w:val="28"/>
          <w:lang w:val="zh-CN"/>
        </w:rPr>
      </w:pPr>
      <w:r>
        <w:rPr>
          <w:rFonts w:asciiTheme="minorEastAsia" w:hAnsiTheme="minorEastAsia" w:eastAsiaTheme="minorEastAsia"/>
          <w:color w:val="000000"/>
          <w:sz w:val="28"/>
          <w:szCs w:val="28"/>
          <w:lang w:val="zh-CN"/>
        </w:rPr>
        <w:t>1</w:t>
      </w:r>
      <w:r>
        <w:rPr>
          <w:rFonts w:hint="eastAsia" w:asciiTheme="minorEastAsia" w:hAnsiTheme="minorEastAsia" w:eastAsiaTheme="minorEastAsia"/>
          <w:color w:val="000000"/>
          <w:sz w:val="28"/>
          <w:szCs w:val="28"/>
          <w:lang w:val="zh-CN"/>
        </w:rPr>
        <w:t>、项目名称：岭南印象园贵宾接待电瓶车采购项目</w:t>
      </w:r>
    </w:p>
    <w:p>
      <w:pPr>
        <w:autoSpaceDE w:val="0"/>
        <w:autoSpaceDN w:val="0"/>
        <w:adjustRightInd w:val="0"/>
        <w:spacing w:line="400" w:lineRule="atLeas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lang w:val="zh-CN"/>
        </w:rPr>
        <w:t>2</w:t>
      </w:r>
      <w:r>
        <w:rPr>
          <w:rFonts w:hint="eastAsia" w:asciiTheme="minorEastAsia" w:hAnsiTheme="minorEastAsia" w:eastAsiaTheme="minorEastAsia"/>
          <w:color w:val="000000"/>
          <w:sz w:val="28"/>
          <w:szCs w:val="28"/>
          <w:lang w:val="zh-CN"/>
        </w:rPr>
        <w:t>、项目位置：广州市番禺区大学城外环西路岭南印象园</w:t>
      </w:r>
    </w:p>
    <w:p>
      <w:pPr>
        <w:ind w:firstLine="645"/>
        <w:jc w:val="left"/>
        <w:rPr>
          <w:rFonts w:cs="仿宋" w:asciiTheme="minorEastAsia" w:hAnsiTheme="minorEastAsia" w:eastAsiaTheme="minorEastAsia"/>
          <w:sz w:val="28"/>
          <w:szCs w:val="28"/>
        </w:rPr>
      </w:pPr>
      <w:r>
        <w:rPr>
          <w:rFonts w:hint="eastAsia" w:asciiTheme="minorEastAsia" w:hAnsiTheme="minorEastAsia" w:eastAsiaTheme="minorEastAsia"/>
          <w:color w:val="000000"/>
          <w:sz w:val="28"/>
          <w:szCs w:val="28"/>
        </w:rPr>
        <w:t>3、</w:t>
      </w:r>
      <w:r>
        <w:rPr>
          <w:rFonts w:hint="eastAsia" w:asciiTheme="minorEastAsia" w:hAnsiTheme="minorEastAsia" w:eastAsiaTheme="minorEastAsia"/>
          <w:color w:val="000000"/>
          <w:sz w:val="28"/>
          <w:szCs w:val="28"/>
          <w:lang w:val="zh-CN"/>
        </w:rPr>
        <w:t>项目概况：</w:t>
      </w:r>
      <w:r>
        <w:rPr>
          <w:rFonts w:hint="eastAsia" w:cs="仿宋" w:asciiTheme="minorEastAsia" w:hAnsiTheme="minorEastAsia" w:eastAsiaTheme="minorEastAsia"/>
          <w:sz w:val="28"/>
          <w:szCs w:val="28"/>
        </w:rPr>
        <w:t>为优化完善岭南印象园智慧旅游的接待工作，提高园区的综合接待能力，依托节能减排的基本原则，采购2台游览电瓶车。</w:t>
      </w:r>
    </w:p>
    <w:p>
      <w:pPr>
        <w:ind w:firstLine="560" w:firstLineChars="200"/>
        <w:jc w:val="left"/>
        <w:rPr>
          <w:rFonts w:asciiTheme="minorEastAsia" w:hAnsiTheme="minorEastAsia" w:eastAsiaTheme="minorEastAsia"/>
          <w:color w:val="000000"/>
          <w:sz w:val="28"/>
          <w:szCs w:val="28"/>
          <w:lang w:val="zh-CN"/>
        </w:rPr>
      </w:pPr>
      <w:r>
        <w:rPr>
          <w:rFonts w:hint="eastAsia" w:asciiTheme="minorEastAsia" w:hAnsiTheme="minorEastAsia" w:eastAsiaTheme="minorEastAsia"/>
          <w:color w:val="000000"/>
          <w:sz w:val="28"/>
          <w:szCs w:val="28"/>
        </w:rPr>
        <w:t>4、</w:t>
      </w:r>
      <w:r>
        <w:rPr>
          <w:rFonts w:hint="eastAsia" w:asciiTheme="minorEastAsia" w:hAnsiTheme="minorEastAsia" w:eastAsiaTheme="minorEastAsia"/>
          <w:color w:val="000000"/>
          <w:sz w:val="28"/>
          <w:szCs w:val="28"/>
          <w:lang w:val="zh-CN"/>
        </w:rPr>
        <w:t>项目限价：</w:t>
      </w:r>
      <w:r>
        <w:rPr>
          <w:rFonts w:asciiTheme="minorEastAsia" w:hAnsiTheme="minorEastAsia" w:eastAsiaTheme="minorEastAsia"/>
          <w:color w:val="000000"/>
          <w:sz w:val="28"/>
          <w:szCs w:val="28"/>
          <w:lang w:val="zh-CN"/>
        </w:rPr>
        <w:t>13</w:t>
      </w:r>
      <w:r>
        <w:rPr>
          <w:rFonts w:hint="eastAsia" w:asciiTheme="minorEastAsia" w:hAnsiTheme="minorEastAsia" w:eastAsiaTheme="minorEastAsia"/>
          <w:color w:val="000000"/>
          <w:sz w:val="28"/>
          <w:szCs w:val="28"/>
        </w:rPr>
        <w:t>万元含税（投标报价超过采购限价为无效投标）</w:t>
      </w:r>
    </w:p>
    <w:p>
      <w:pPr>
        <w:autoSpaceDE w:val="0"/>
        <w:autoSpaceDN w:val="0"/>
        <w:adjustRightInd w:val="0"/>
        <w:spacing w:line="400" w:lineRule="atLeast"/>
        <w:ind w:firstLine="560" w:firstLineChars="200"/>
        <w:rPr>
          <w:rFonts w:asciiTheme="minorEastAsia" w:hAnsiTheme="minorEastAsia" w:eastAsiaTheme="minorEastAsia"/>
          <w:sz w:val="28"/>
          <w:szCs w:val="28"/>
        </w:rPr>
      </w:pPr>
      <w:r>
        <w:rPr>
          <w:rFonts w:hint="eastAsia" w:asciiTheme="minorEastAsia" w:hAnsiTheme="minorEastAsia" w:eastAsiaTheme="minorEastAsia"/>
          <w:color w:val="000000"/>
          <w:sz w:val="28"/>
          <w:szCs w:val="28"/>
        </w:rPr>
        <w:t>5</w:t>
      </w:r>
      <w:r>
        <w:rPr>
          <w:rFonts w:hint="eastAsia" w:asciiTheme="minorEastAsia" w:hAnsiTheme="minorEastAsia" w:eastAsiaTheme="minorEastAsia"/>
          <w:color w:val="000000"/>
          <w:sz w:val="28"/>
          <w:szCs w:val="28"/>
          <w:lang w:val="zh-CN"/>
        </w:rPr>
        <w:t>、采购内容：</w:t>
      </w:r>
      <w:r>
        <w:rPr>
          <w:rFonts w:asciiTheme="minorEastAsia" w:hAnsiTheme="minorEastAsia" w:eastAsiaTheme="minorEastAsia"/>
          <w:sz w:val="28"/>
          <w:szCs w:val="28"/>
        </w:rPr>
        <w:t>根据园区实际地理环境及路面情况</w:t>
      </w:r>
      <w:r>
        <w:rPr>
          <w:rFonts w:hint="eastAsia" w:asciiTheme="minorEastAsia" w:hAnsiTheme="minorEastAsia" w:eastAsiaTheme="minorEastAsia"/>
          <w:sz w:val="28"/>
          <w:szCs w:val="28"/>
        </w:rPr>
        <w:t>，采购电瓶车的载客量为1</w:t>
      </w:r>
      <w:r>
        <w:rPr>
          <w:rFonts w:asciiTheme="minorEastAsia" w:hAnsiTheme="minorEastAsia" w:eastAsiaTheme="minorEastAsia"/>
          <w:sz w:val="28"/>
          <w:szCs w:val="28"/>
        </w:rPr>
        <w:t>1人</w:t>
      </w:r>
      <w:r>
        <w:rPr>
          <w:rFonts w:hint="eastAsia" w:asciiTheme="minorEastAsia" w:hAnsiTheme="minorEastAsia" w:eastAsiaTheme="minorEastAsia"/>
          <w:sz w:val="28"/>
          <w:szCs w:val="28"/>
        </w:rPr>
        <w:t>/台，每台</w:t>
      </w:r>
      <w:r>
        <w:rPr>
          <w:rFonts w:asciiTheme="minorEastAsia" w:hAnsiTheme="minorEastAsia" w:eastAsiaTheme="minorEastAsia"/>
          <w:sz w:val="28"/>
          <w:szCs w:val="28"/>
        </w:rPr>
        <w:t>续航里程</w:t>
      </w:r>
      <w:r>
        <w:rPr>
          <w:rFonts w:hint="eastAsia" w:asciiTheme="minorEastAsia" w:hAnsiTheme="minorEastAsia" w:eastAsiaTheme="minorEastAsia"/>
          <w:sz w:val="28"/>
          <w:szCs w:val="28"/>
        </w:rPr>
        <w:t>≥8</w:t>
      </w:r>
      <w:r>
        <w:rPr>
          <w:rFonts w:asciiTheme="minorEastAsia" w:hAnsiTheme="minorEastAsia" w:eastAsiaTheme="minorEastAsia"/>
          <w:sz w:val="28"/>
          <w:szCs w:val="28"/>
        </w:rPr>
        <w:t>0km</w:t>
      </w:r>
      <w:r>
        <w:rPr>
          <w:rFonts w:hint="eastAsia" w:asciiTheme="minorEastAsia" w:hAnsiTheme="minorEastAsia" w:eastAsiaTheme="minorEastAsia"/>
          <w:sz w:val="28"/>
          <w:szCs w:val="28"/>
        </w:rPr>
        <w:t>,共2台。</w:t>
      </w:r>
    </w:p>
    <w:p>
      <w:pPr>
        <w:autoSpaceDE w:val="0"/>
        <w:autoSpaceDN w:val="0"/>
        <w:adjustRightInd w:val="0"/>
        <w:spacing w:line="400" w:lineRule="atLeast"/>
        <w:ind w:firstLine="640" w:firstLineChars="200"/>
        <w:rPr>
          <w:rFonts w:ascii="宋体" w:hAnsi="宋体" w:cs="宋体"/>
          <w:b/>
          <w:color w:val="000000"/>
          <w:sz w:val="32"/>
          <w:szCs w:val="32"/>
        </w:rPr>
      </w:pPr>
      <w:r>
        <w:rPr>
          <w:rFonts w:hint="eastAsia" w:ascii="宋体" w:hAnsi="宋体" w:cs="宋体"/>
          <w:b/>
          <w:color w:val="000000"/>
          <w:sz w:val="32"/>
          <w:szCs w:val="32"/>
        </w:rPr>
        <w:t>二、合格供应商资格要求</w:t>
      </w:r>
    </w:p>
    <w:p>
      <w:pPr>
        <w:autoSpaceDE w:val="0"/>
        <w:autoSpaceDN w:val="0"/>
        <w:adjustRightInd w:val="0"/>
        <w:spacing w:line="400" w:lineRule="atLeas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1、须是具有独立承担民事责任能力、在中华人民共和国境内注册的企业法人或其他组织；</w:t>
      </w:r>
    </w:p>
    <w:p>
      <w:pPr>
        <w:autoSpaceDE w:val="0"/>
        <w:autoSpaceDN w:val="0"/>
        <w:adjustRightInd w:val="0"/>
        <w:spacing w:line="400" w:lineRule="atLeas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2、已办理合法税务登记，具有开具相应增值税专用发票资格；</w:t>
      </w:r>
    </w:p>
    <w:p>
      <w:pPr>
        <w:autoSpaceDE w:val="0"/>
        <w:autoSpaceDN w:val="0"/>
        <w:adjustRightInd w:val="0"/>
        <w:spacing w:line="400" w:lineRule="atLeas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3</w:t>
      </w:r>
      <w:r>
        <w:rPr>
          <w:rFonts w:hint="eastAsia" w:asciiTheme="minorEastAsia" w:hAnsiTheme="minorEastAsia" w:eastAsiaTheme="minorEastAsia"/>
          <w:color w:val="000000"/>
          <w:sz w:val="28"/>
          <w:szCs w:val="28"/>
        </w:rPr>
        <w:t>、投标人经营状况、财务状况良好，近三年内未受到监管机构处罚、无重大金融、财经违法行为，具有较强的风险控制和较好的经营业绩且经营状况良好；严格遵守国家有关的法律法规，内部管理规范、控制制度严密，具有严格的操作规程和保密措施。</w:t>
      </w:r>
    </w:p>
    <w:p>
      <w:pPr>
        <w:autoSpaceDE w:val="0"/>
        <w:autoSpaceDN w:val="0"/>
        <w:adjustRightInd w:val="0"/>
        <w:spacing w:line="400" w:lineRule="atLeast"/>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4</w:t>
      </w:r>
      <w:r>
        <w:rPr>
          <w:rFonts w:hint="eastAsia" w:asciiTheme="minorEastAsia" w:hAnsiTheme="minorEastAsia" w:eastAsiaTheme="minorEastAsia"/>
          <w:color w:val="000000"/>
          <w:sz w:val="28"/>
          <w:szCs w:val="28"/>
        </w:rPr>
        <w:t>、该项目不接受联合体投标。</w:t>
      </w:r>
    </w:p>
    <w:p>
      <w:pPr>
        <w:autoSpaceDE w:val="0"/>
        <w:autoSpaceDN w:val="0"/>
        <w:adjustRightInd w:val="0"/>
        <w:spacing w:line="400" w:lineRule="atLeast"/>
        <w:ind w:firstLine="640" w:firstLineChars="200"/>
        <w:rPr>
          <w:rFonts w:ascii="宋体" w:hAnsi="宋体" w:cs="宋体"/>
          <w:b/>
          <w:color w:val="000000"/>
          <w:sz w:val="32"/>
          <w:szCs w:val="32"/>
          <w:lang w:val="zh-CN"/>
        </w:rPr>
      </w:pPr>
      <w:r>
        <w:rPr>
          <w:rFonts w:hint="eastAsia" w:ascii="宋体" w:hAnsi="宋体" w:cs="宋体"/>
          <w:b/>
          <w:color w:val="000000"/>
          <w:sz w:val="32"/>
          <w:szCs w:val="32"/>
          <w:lang w:val="zh-CN"/>
        </w:rPr>
        <w:t>三、费用及支付方式</w:t>
      </w:r>
    </w:p>
    <w:p>
      <w:pPr>
        <w:widowControl/>
        <w:spacing w:line="480" w:lineRule="auto"/>
        <w:ind w:firstLine="560" w:firstLineChars="200"/>
        <w:jc w:val="left"/>
        <w:rPr>
          <w:rFonts w:ascii="仿宋_GB2312" w:hAnsi="仿宋" w:eastAsia="仿宋_GB2312"/>
          <w:color w:val="000000"/>
          <w:sz w:val="32"/>
          <w:szCs w:val="32"/>
        </w:rPr>
      </w:pPr>
      <w:r>
        <w:rPr>
          <w:rFonts w:hint="eastAsia" w:asciiTheme="minorEastAsia" w:hAnsiTheme="minorEastAsia" w:eastAsiaTheme="minorEastAsia"/>
          <w:color w:val="000000"/>
          <w:sz w:val="28"/>
          <w:szCs w:val="28"/>
        </w:rPr>
        <w:t>（一）本项目采用总价包干，投标人应根据项目要求和现场情况，详细列明项目所需的设备（软件）及材料购置，以及产品运输保险保管、项目安装调试、试运行测试通过验收、培训、质保期免费保修维护等所有人工、管理、财务等所有费用，如一旦中标，在项目实施中出现任何遗漏，均由中标人免费提供，采购人不再支付任何费用</w:t>
      </w:r>
      <w:r>
        <w:rPr>
          <w:rFonts w:hint="eastAsia" w:ascii="仿宋_GB2312" w:hAnsi="仿宋" w:eastAsia="仿宋_GB2312"/>
          <w:color w:val="000000"/>
          <w:sz w:val="32"/>
          <w:szCs w:val="32"/>
        </w:rPr>
        <w:t xml:space="preserve">。 </w:t>
      </w:r>
    </w:p>
    <w:p>
      <w:pPr>
        <w:ind w:firstLine="640" w:firstLineChars="200"/>
        <w:rPr>
          <w:rFonts w:asciiTheme="minorEastAsia" w:hAnsiTheme="minorEastAsia" w:eastAsiaTheme="minorEastAsia"/>
          <w:b/>
          <w:color w:val="000000"/>
          <w:sz w:val="32"/>
          <w:szCs w:val="32"/>
        </w:rPr>
      </w:pPr>
      <w:r>
        <w:rPr>
          <w:rFonts w:hint="eastAsia" w:asciiTheme="minorEastAsia" w:hAnsiTheme="minorEastAsia" w:eastAsiaTheme="minorEastAsia"/>
          <w:b/>
          <w:color w:val="000000"/>
          <w:sz w:val="32"/>
          <w:szCs w:val="32"/>
        </w:rPr>
        <w:t>（二）付款方式</w:t>
      </w:r>
    </w:p>
    <w:p>
      <w:pPr>
        <w:autoSpaceDE w:val="0"/>
        <w:autoSpaceDN w:val="0"/>
        <w:adjustRightInd w:val="0"/>
        <w:spacing w:line="400" w:lineRule="atLeas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合同签订后，采购人收到中标供应商请款资料后7个工作日内支付合同总价的30%预付款；项目全部完工验收合格后，采购人收到中标供应商请款资料后15个工作日内支付至合同结算总价的95%（含预付款），一年质保期期满且中标供应商按要求妥善履行了质保期义务后，采购人收到中标供应商请款资料15个工作日内付清余款（不计利息）。付预付款前，中标供应商应开具符合国家税务规定的全额合格的增值税专用发票给采购人。</w:t>
      </w:r>
    </w:p>
    <w:p>
      <w:pPr>
        <w:spacing w:line="360" w:lineRule="auto"/>
        <w:ind w:firstLine="640" w:firstLineChars="200"/>
        <w:rPr>
          <w:rFonts w:ascii="宋体" w:hAnsi="宋体" w:cs="宋体"/>
          <w:b/>
          <w:sz w:val="32"/>
          <w:szCs w:val="32"/>
          <w:lang w:val="zh-CN"/>
        </w:rPr>
      </w:pPr>
      <w:r>
        <w:rPr>
          <w:rFonts w:hint="eastAsia" w:ascii="宋体" w:hAnsi="宋体" w:cs="宋体"/>
          <w:b/>
          <w:sz w:val="32"/>
          <w:szCs w:val="32"/>
          <w:lang w:val="zh-CN"/>
        </w:rPr>
        <w:t>四、报价响应要求</w:t>
      </w:r>
    </w:p>
    <w:p>
      <w:pPr>
        <w:autoSpaceDE w:val="0"/>
        <w:autoSpaceDN w:val="0"/>
        <w:adjustRightInd w:val="0"/>
        <w:spacing w:line="400" w:lineRule="atLeas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（一）本项目采购需求</w:t>
      </w:r>
      <w:r>
        <w:rPr>
          <w:rFonts w:hint="eastAsia" w:asciiTheme="minorEastAsia" w:hAnsiTheme="minorEastAsia" w:eastAsiaTheme="minorEastAsia"/>
          <w:b/>
          <w:color w:val="000000"/>
          <w:sz w:val="28"/>
          <w:szCs w:val="28"/>
        </w:rPr>
        <w:t>（附件1）</w:t>
      </w:r>
      <w:r>
        <w:rPr>
          <w:rFonts w:hint="eastAsia" w:asciiTheme="minorEastAsia" w:hAnsiTheme="minorEastAsia" w:eastAsiaTheme="minorEastAsia"/>
          <w:color w:val="000000"/>
          <w:sz w:val="28"/>
          <w:szCs w:val="28"/>
        </w:rPr>
        <w:t>中的所有指标均为最低参考标准，其中涉及要求出具资质、质保、服务要求等相关文书的，默认约定提供服务时提供（采购需求另有描述的，从其要求）报价文件中的总价金额与分项报价汇总金额或者单价汇总金额不一致的，按就低不就高原则修正金额。</w:t>
      </w:r>
    </w:p>
    <w:p>
      <w:pPr>
        <w:ind w:firstLine="640" w:firstLineChars="200"/>
        <w:rPr>
          <w:rFonts w:ascii="宋体" w:hAnsi="宋体" w:cs="宋体"/>
          <w:b/>
          <w:color w:val="000000"/>
          <w:sz w:val="32"/>
          <w:szCs w:val="32"/>
        </w:rPr>
      </w:pPr>
      <w:r>
        <w:rPr>
          <w:rFonts w:hint="eastAsia" w:ascii="宋体" w:hAnsi="宋体" w:cs="宋体"/>
          <w:b/>
          <w:color w:val="000000"/>
          <w:sz w:val="32"/>
          <w:szCs w:val="32"/>
          <w:lang w:val="zh-CN"/>
        </w:rPr>
        <w:t>五、项目交货期、验收标准与质保期</w:t>
      </w:r>
    </w:p>
    <w:p>
      <w:pPr>
        <w:autoSpaceDE w:val="0"/>
        <w:autoSpaceDN w:val="0"/>
        <w:adjustRightInd w:val="0"/>
        <w:spacing w:line="400" w:lineRule="atLeas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（一）项目交货期</w:t>
      </w:r>
    </w:p>
    <w:p>
      <w:pPr>
        <w:autoSpaceDE w:val="0"/>
        <w:autoSpaceDN w:val="0"/>
        <w:adjustRightInd w:val="0"/>
        <w:spacing w:line="400" w:lineRule="atLeas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合同签定后15天内。</w:t>
      </w:r>
    </w:p>
    <w:p>
      <w:pPr>
        <w:autoSpaceDE w:val="0"/>
        <w:autoSpaceDN w:val="0"/>
        <w:adjustRightInd w:val="0"/>
        <w:spacing w:line="400" w:lineRule="atLeas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（二）验收标准</w:t>
      </w:r>
    </w:p>
    <w:p>
      <w:pPr>
        <w:autoSpaceDE w:val="0"/>
        <w:autoSpaceDN w:val="0"/>
        <w:adjustRightInd w:val="0"/>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1、货物交付使用后，</w:t>
      </w:r>
      <w:r>
        <w:rPr>
          <w:rFonts w:hint="eastAsia" w:asciiTheme="minorEastAsia" w:hAnsiTheme="minorEastAsia" w:eastAsiaTheme="minorEastAsia"/>
          <w:sz w:val="28"/>
          <w:szCs w:val="28"/>
        </w:rPr>
        <w:t>采购人和供应商双方授权代表共同对货物（包括但不限于外观、数量、安装、调试等方面）进行验收</w:t>
      </w:r>
      <w:r>
        <w:rPr>
          <w:rFonts w:hint="eastAsia" w:asciiTheme="minorEastAsia" w:hAnsiTheme="minorEastAsia" w:eastAsiaTheme="minorEastAsia"/>
          <w:color w:val="000000"/>
          <w:sz w:val="28"/>
          <w:szCs w:val="28"/>
        </w:rPr>
        <w:t>。</w:t>
      </w:r>
      <w:r>
        <w:rPr>
          <w:rFonts w:hint="eastAsia" w:cs="宋体" w:asciiTheme="minorEastAsia" w:hAnsiTheme="minorEastAsia" w:eastAsiaTheme="minorEastAsia"/>
          <w:color w:val="000000"/>
          <w:sz w:val="28"/>
          <w:szCs w:val="28"/>
          <w:cs/>
        </w:rPr>
        <w:t>验</w:t>
      </w:r>
      <w:r>
        <w:rPr>
          <w:rFonts w:hint="eastAsia" w:asciiTheme="minorEastAsia" w:hAnsiTheme="minorEastAsia" w:eastAsiaTheme="minorEastAsia"/>
          <w:color w:val="000000"/>
          <w:sz w:val="28"/>
          <w:szCs w:val="28"/>
        </w:rPr>
        <w:t>收合格后，采购人</w:t>
      </w:r>
      <w:r>
        <w:rPr>
          <w:rFonts w:hint="eastAsia" w:cs="宋体" w:asciiTheme="minorEastAsia" w:hAnsiTheme="minorEastAsia" w:eastAsiaTheme="minorEastAsia"/>
          <w:color w:val="000000"/>
          <w:sz w:val="28"/>
          <w:szCs w:val="28"/>
          <w:cs/>
        </w:rPr>
        <w:t>应</w:t>
      </w:r>
      <w:r>
        <w:rPr>
          <w:rFonts w:hint="eastAsia" w:asciiTheme="minorEastAsia" w:hAnsiTheme="minorEastAsia" w:eastAsiaTheme="minorEastAsia"/>
          <w:color w:val="000000"/>
          <w:sz w:val="28"/>
          <w:szCs w:val="28"/>
        </w:rPr>
        <w:t>向供应商出具</w:t>
      </w:r>
      <w:r>
        <w:rPr>
          <w:rFonts w:hint="eastAsia" w:cs="宋体" w:asciiTheme="minorEastAsia" w:hAnsiTheme="minorEastAsia" w:eastAsiaTheme="minorEastAsia"/>
          <w:color w:val="000000"/>
          <w:sz w:val="28"/>
          <w:szCs w:val="28"/>
          <w:cs/>
        </w:rPr>
        <w:t>验</w:t>
      </w:r>
      <w:r>
        <w:rPr>
          <w:rFonts w:hint="eastAsia" w:asciiTheme="minorEastAsia" w:hAnsiTheme="minorEastAsia" w:eastAsiaTheme="minorEastAsia"/>
          <w:color w:val="000000"/>
          <w:sz w:val="28"/>
          <w:szCs w:val="28"/>
        </w:rPr>
        <w:t>收</w:t>
      </w:r>
      <w:r>
        <w:rPr>
          <w:rFonts w:hint="eastAsia" w:cs="宋体" w:asciiTheme="minorEastAsia" w:hAnsiTheme="minorEastAsia" w:eastAsiaTheme="minorEastAsia"/>
          <w:color w:val="000000"/>
          <w:sz w:val="28"/>
          <w:szCs w:val="28"/>
          <w:cs/>
        </w:rPr>
        <w:t>报</w:t>
      </w:r>
      <w:r>
        <w:rPr>
          <w:rFonts w:hint="eastAsia" w:asciiTheme="minorEastAsia" w:hAnsiTheme="minorEastAsia" w:eastAsiaTheme="minorEastAsia"/>
          <w:color w:val="000000"/>
          <w:sz w:val="28"/>
          <w:szCs w:val="28"/>
        </w:rPr>
        <w:t>告，</w:t>
      </w:r>
      <w:r>
        <w:rPr>
          <w:rFonts w:hint="eastAsia" w:cs="宋体" w:asciiTheme="minorEastAsia" w:hAnsiTheme="minorEastAsia" w:eastAsiaTheme="minorEastAsia"/>
          <w:color w:val="000000"/>
          <w:sz w:val="28"/>
          <w:szCs w:val="28"/>
          <w:cs/>
        </w:rPr>
        <w:t>验</w:t>
      </w:r>
      <w:r>
        <w:rPr>
          <w:rFonts w:hint="eastAsia" w:asciiTheme="minorEastAsia" w:hAnsiTheme="minorEastAsia" w:eastAsiaTheme="minorEastAsia"/>
          <w:color w:val="000000"/>
          <w:sz w:val="28"/>
          <w:szCs w:val="28"/>
        </w:rPr>
        <w:t>收不合格的，采购人有</w:t>
      </w:r>
      <w:r>
        <w:rPr>
          <w:rFonts w:hint="eastAsia" w:cs="宋体" w:asciiTheme="minorEastAsia" w:hAnsiTheme="minorEastAsia" w:eastAsiaTheme="minorEastAsia"/>
          <w:color w:val="000000"/>
          <w:sz w:val="28"/>
          <w:szCs w:val="28"/>
          <w:cs/>
        </w:rPr>
        <w:t>权</w:t>
      </w:r>
      <w:r>
        <w:rPr>
          <w:rFonts w:hint="eastAsia" w:asciiTheme="minorEastAsia" w:hAnsiTheme="minorEastAsia" w:eastAsiaTheme="minorEastAsia"/>
          <w:color w:val="000000"/>
          <w:sz w:val="28"/>
          <w:szCs w:val="28"/>
        </w:rPr>
        <w:t>拒收，并</w:t>
      </w:r>
      <w:r>
        <w:rPr>
          <w:rFonts w:hint="eastAsia" w:cs="宋体" w:asciiTheme="minorEastAsia" w:hAnsiTheme="minorEastAsia" w:eastAsiaTheme="minorEastAsia"/>
          <w:color w:val="000000"/>
          <w:sz w:val="28"/>
          <w:szCs w:val="28"/>
          <w:cs/>
        </w:rPr>
        <w:t>书</w:t>
      </w:r>
      <w:r>
        <w:rPr>
          <w:rFonts w:hint="eastAsia" w:asciiTheme="minorEastAsia" w:hAnsiTheme="minorEastAsia" w:eastAsiaTheme="minorEastAsia"/>
          <w:color w:val="000000"/>
          <w:sz w:val="28"/>
          <w:szCs w:val="28"/>
        </w:rPr>
        <w:t>面通知供应商，供应商</w:t>
      </w:r>
      <w:r>
        <w:rPr>
          <w:rFonts w:hint="eastAsia" w:cs="宋体" w:asciiTheme="minorEastAsia" w:hAnsiTheme="minorEastAsia" w:eastAsiaTheme="minorEastAsia"/>
          <w:color w:val="000000"/>
          <w:sz w:val="28"/>
          <w:szCs w:val="28"/>
          <w:cs/>
        </w:rPr>
        <w:t>应</w:t>
      </w:r>
      <w:r>
        <w:rPr>
          <w:rFonts w:hint="eastAsia" w:asciiTheme="minorEastAsia" w:hAnsiTheme="minorEastAsia" w:eastAsiaTheme="minorEastAsia"/>
          <w:color w:val="000000"/>
          <w:sz w:val="28"/>
          <w:szCs w:val="28"/>
        </w:rPr>
        <w:t>在合同</w:t>
      </w:r>
      <w:r>
        <w:rPr>
          <w:rFonts w:hint="eastAsia" w:cs="宋体" w:asciiTheme="minorEastAsia" w:hAnsiTheme="minorEastAsia" w:eastAsiaTheme="minorEastAsia"/>
          <w:color w:val="000000"/>
          <w:sz w:val="28"/>
          <w:szCs w:val="28"/>
          <w:cs/>
        </w:rPr>
        <w:t>规</w:t>
      </w:r>
      <w:r>
        <w:rPr>
          <w:rFonts w:hint="eastAsia" w:asciiTheme="minorEastAsia" w:hAnsiTheme="minorEastAsia" w:eastAsiaTheme="minorEastAsia"/>
          <w:color w:val="000000"/>
          <w:sz w:val="28"/>
          <w:szCs w:val="28"/>
        </w:rPr>
        <w:t>定</w:t>
      </w:r>
      <w:r>
        <w:rPr>
          <w:rFonts w:hint="eastAsia" w:cs="宋体" w:asciiTheme="minorEastAsia" w:hAnsiTheme="minorEastAsia" w:eastAsiaTheme="minorEastAsia"/>
          <w:color w:val="000000"/>
          <w:sz w:val="28"/>
          <w:szCs w:val="28"/>
          <w:cs/>
        </w:rPr>
        <w:t>时间内</w:t>
      </w:r>
      <w:r>
        <w:rPr>
          <w:rFonts w:hint="eastAsia" w:asciiTheme="minorEastAsia" w:hAnsiTheme="minorEastAsia" w:eastAsiaTheme="minorEastAsia"/>
          <w:color w:val="000000"/>
          <w:sz w:val="28"/>
          <w:szCs w:val="28"/>
        </w:rPr>
        <w:t>按</w:t>
      </w:r>
      <w:r>
        <w:rPr>
          <w:rFonts w:hint="eastAsia" w:cs="宋体" w:asciiTheme="minorEastAsia" w:hAnsiTheme="minorEastAsia" w:eastAsiaTheme="minorEastAsia"/>
          <w:color w:val="000000"/>
          <w:sz w:val="28"/>
          <w:szCs w:val="28"/>
          <w:cs/>
        </w:rPr>
        <w:t>约</w:t>
      </w:r>
      <w:r>
        <w:rPr>
          <w:rFonts w:hint="eastAsia" w:asciiTheme="minorEastAsia" w:hAnsiTheme="minorEastAsia" w:eastAsiaTheme="minorEastAsia"/>
          <w:color w:val="000000"/>
          <w:sz w:val="28"/>
          <w:szCs w:val="28"/>
        </w:rPr>
        <w:t>如</w:t>
      </w:r>
      <w:r>
        <w:rPr>
          <w:rFonts w:hint="eastAsia" w:cs="宋体" w:asciiTheme="minorEastAsia" w:hAnsiTheme="minorEastAsia" w:eastAsiaTheme="minorEastAsia"/>
          <w:color w:val="000000"/>
          <w:sz w:val="28"/>
          <w:szCs w:val="28"/>
          <w:cs/>
        </w:rPr>
        <w:t>数</w:t>
      </w:r>
      <w:r>
        <w:rPr>
          <w:rFonts w:hint="eastAsia" w:asciiTheme="minorEastAsia" w:hAnsiTheme="minorEastAsia" w:eastAsiaTheme="minorEastAsia"/>
          <w:color w:val="000000"/>
          <w:sz w:val="28"/>
          <w:szCs w:val="28"/>
        </w:rPr>
        <w:t>更</w:t>
      </w:r>
      <w:r>
        <w:rPr>
          <w:rFonts w:hint="eastAsia" w:cs="宋体" w:asciiTheme="minorEastAsia" w:hAnsiTheme="minorEastAsia" w:eastAsiaTheme="minorEastAsia"/>
          <w:color w:val="000000"/>
          <w:sz w:val="28"/>
          <w:szCs w:val="28"/>
          <w:cs/>
        </w:rPr>
        <w:t>换</w:t>
      </w:r>
      <w:r>
        <w:rPr>
          <w:rFonts w:hint="eastAsia" w:asciiTheme="minorEastAsia" w:hAnsiTheme="minorEastAsia" w:eastAsiaTheme="minorEastAsia"/>
          <w:color w:val="000000"/>
          <w:sz w:val="28"/>
          <w:szCs w:val="28"/>
        </w:rPr>
        <w:t>到位，并保</w:t>
      </w:r>
      <w:r>
        <w:rPr>
          <w:rFonts w:hint="eastAsia" w:cs="宋体" w:asciiTheme="minorEastAsia" w:hAnsiTheme="minorEastAsia" w:eastAsiaTheme="minorEastAsia"/>
          <w:color w:val="000000"/>
          <w:sz w:val="28"/>
          <w:szCs w:val="28"/>
          <w:cs/>
        </w:rPr>
        <w:t>证验</w:t>
      </w:r>
      <w:r>
        <w:rPr>
          <w:rFonts w:hint="eastAsia" w:asciiTheme="minorEastAsia" w:hAnsiTheme="minorEastAsia" w:eastAsiaTheme="minorEastAsia"/>
          <w:color w:val="000000"/>
          <w:sz w:val="28"/>
          <w:szCs w:val="28"/>
        </w:rPr>
        <w:t>收合格。</w:t>
      </w:r>
    </w:p>
    <w:p>
      <w:pPr>
        <w:widowControl/>
        <w:spacing w:line="480" w:lineRule="auto"/>
        <w:ind w:firstLine="560" w:firstLineChars="200"/>
        <w:jc w:val="left"/>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2、货物验收另有国家有强制性规定的，按国家规定执行。</w:t>
      </w:r>
    </w:p>
    <w:p>
      <w:pPr>
        <w:autoSpaceDE w:val="0"/>
        <w:autoSpaceDN w:val="0"/>
        <w:adjustRightInd w:val="0"/>
        <w:spacing w:line="600" w:lineRule="exact"/>
        <w:ind w:firstLine="560" w:firstLineChars="200"/>
        <w:rPr>
          <w:rFonts w:cs="宋体" w:asciiTheme="minorEastAsia" w:hAnsiTheme="minorEastAsia" w:eastAsiaTheme="minorEastAsia"/>
          <w:sz w:val="28"/>
          <w:szCs w:val="28"/>
          <w:lang w:val="zh-CN"/>
        </w:rPr>
      </w:pPr>
      <w:r>
        <w:rPr>
          <w:rFonts w:hint="eastAsia" w:asciiTheme="minorEastAsia" w:hAnsiTheme="minorEastAsia" w:eastAsiaTheme="minorEastAsia"/>
          <w:color w:val="000000"/>
          <w:sz w:val="28"/>
          <w:szCs w:val="28"/>
        </w:rPr>
        <w:t>（三）质保期及质保期内需履行的特殊义务：</w:t>
      </w:r>
      <w:r>
        <w:rPr>
          <w:rFonts w:hint="eastAsia" w:cs="宋体" w:asciiTheme="minorEastAsia" w:hAnsiTheme="minorEastAsia" w:eastAsiaTheme="minorEastAsia"/>
          <w:sz w:val="28"/>
          <w:szCs w:val="28"/>
          <w:lang w:val="zh-CN"/>
        </w:rPr>
        <w:t>本项目</w:t>
      </w:r>
      <w:r>
        <w:rPr>
          <w:rFonts w:cs="宋体" w:asciiTheme="minorEastAsia" w:hAnsiTheme="minorEastAsia" w:eastAsiaTheme="minorEastAsia"/>
          <w:sz w:val="28"/>
          <w:szCs w:val="28"/>
          <w:lang w:val="zh-CN"/>
        </w:rPr>
        <w:t>质保</w:t>
      </w:r>
      <w:r>
        <w:rPr>
          <w:rFonts w:hint="eastAsia" w:cs="宋体" w:asciiTheme="minorEastAsia" w:hAnsiTheme="minorEastAsia" w:eastAsiaTheme="minorEastAsia"/>
          <w:sz w:val="28"/>
          <w:szCs w:val="28"/>
          <w:lang w:val="zh-CN"/>
        </w:rPr>
        <w:t>1年，质保期自竣工验收合格之日起计。</w:t>
      </w:r>
    </w:p>
    <w:p>
      <w:pPr>
        <w:adjustRightInd w:val="0"/>
        <w:spacing w:line="600" w:lineRule="exact"/>
        <w:ind w:right="-53" w:firstLine="560" w:firstLineChars="200"/>
        <w:rPr>
          <w:rFonts w:asciiTheme="minorEastAsia" w:hAnsiTheme="minorEastAsia" w:eastAsiaTheme="minorEastAsia"/>
          <w:sz w:val="28"/>
          <w:szCs w:val="28"/>
        </w:rPr>
      </w:pPr>
      <w:r>
        <w:rPr>
          <w:rFonts w:cs="宋体" w:asciiTheme="minorEastAsia" w:hAnsiTheme="minorEastAsia" w:eastAsiaTheme="minorEastAsia"/>
          <w:sz w:val="28"/>
          <w:szCs w:val="28"/>
          <w:lang w:val="zh-CN"/>
        </w:rPr>
        <w:t>2</w:t>
      </w:r>
      <w:r>
        <w:rPr>
          <w:rFonts w:hint="eastAsia" w:asciiTheme="minorEastAsia" w:hAnsiTheme="minorEastAsia" w:eastAsiaTheme="minorEastAsia"/>
          <w:sz w:val="28"/>
          <w:szCs w:val="28"/>
        </w:rPr>
        <w:t>、质保期内设备本身质量出现问题或由于设备本身质量原因造成的任何损伤或损坏，供应商承诺及时给予免费维修，由此引起的施工费、人工费、材料费由供应商负责。</w:t>
      </w:r>
    </w:p>
    <w:p>
      <w:pPr>
        <w:adjustRightInd w:val="0"/>
        <w:snapToGrid w:val="0"/>
        <w:spacing w:line="6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、供应商承诺,在接到</w:t>
      </w:r>
      <w:r>
        <w:rPr>
          <w:rFonts w:hint="eastAsia" w:asciiTheme="minorEastAsia" w:hAnsiTheme="minorEastAsia" w:eastAsiaTheme="minorEastAsia"/>
          <w:color w:val="000000"/>
          <w:sz w:val="28"/>
          <w:szCs w:val="28"/>
        </w:rPr>
        <w:t>采购人</w:t>
      </w:r>
      <w:r>
        <w:rPr>
          <w:rFonts w:hint="eastAsia" w:asciiTheme="minorEastAsia" w:hAnsiTheme="minorEastAsia" w:eastAsiaTheme="minorEastAsia"/>
          <w:sz w:val="28"/>
          <w:szCs w:val="28"/>
        </w:rPr>
        <w:t>通知的2小时内予以答复；在</w:t>
      </w:r>
      <w:r>
        <w:rPr>
          <w:rFonts w:hint="eastAsia" w:asciiTheme="minorEastAsia" w:hAnsiTheme="minorEastAsia" w:eastAsiaTheme="minorEastAsia"/>
          <w:color w:val="000000"/>
          <w:sz w:val="28"/>
          <w:szCs w:val="28"/>
        </w:rPr>
        <w:t>采购人</w:t>
      </w:r>
      <w:r>
        <w:rPr>
          <w:rFonts w:hint="eastAsia" w:asciiTheme="minorEastAsia" w:hAnsiTheme="minorEastAsia" w:eastAsiaTheme="minorEastAsia"/>
          <w:sz w:val="28"/>
          <w:szCs w:val="28"/>
        </w:rPr>
        <w:t>要求时，乙方的技术人员须在收到业主通知后4小时之内到现场进行修理，相关的维修必须连续进行，直至故障完全修复为止。若在24小时内不能排除故障，供应商立即采取切实有效的补救措施（包括免费提供应急设备），全力防止损失的扩大。否则视为授权采购人另行安排维修、更换。由采购人另行安排维修、更换的，所发生费用及相应责任由供应商承担。前述情况下所发生的维修、更换工作量及费用以采购人与负责维修、更换方共同确认的工作量及费用为准。如属使用不当造成的问题，供应商仍应及时负责维修、更换，费用由责任方承担。</w:t>
      </w:r>
    </w:p>
    <w:p>
      <w:pPr>
        <w:adjustRightInd w:val="0"/>
        <w:spacing w:line="600" w:lineRule="exact"/>
        <w:ind w:right="-53"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、从货物验收合格之日起的质量保证期（含潜在缺陷质量保证期）内，由于设备材料因素造成的损坏，均由供应商免费维修，由于人为（非乙方人员）和自然灾害造成的损坏，收取成本费用。</w:t>
      </w:r>
    </w:p>
    <w:p>
      <w:pPr>
        <w:adjustRightInd w:val="0"/>
        <w:spacing w:line="600" w:lineRule="exact"/>
        <w:ind w:right="-53"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、在质量保证期内,供应商承诺有足够的备品备件供应，并随时提供易损件。</w:t>
      </w:r>
    </w:p>
    <w:p>
      <w:pPr>
        <w:pStyle w:val="122"/>
        <w:spacing w:line="560" w:lineRule="exact"/>
        <w:ind w:left="425"/>
        <w:jc w:val="both"/>
        <w:rPr>
          <w:rFonts w:ascii="宋体" w:hAnsi="宋体" w:cs="宋体"/>
          <w:b/>
          <w:color w:val="000000"/>
          <w:sz w:val="32"/>
          <w:szCs w:val="32"/>
        </w:rPr>
      </w:pPr>
      <w:r>
        <w:rPr>
          <w:rFonts w:hint="eastAsia" w:ascii="宋体" w:hAnsi="宋体" w:cs="宋体"/>
          <w:b/>
          <w:color w:val="000000"/>
          <w:sz w:val="32"/>
          <w:szCs w:val="32"/>
        </w:rPr>
        <w:t>六、投标文件</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根据采购人要求的投标文件格式编制，纸质文件与电子版各一份一起密封，其中纸质文件装订成册（盖章），电子版的格式W</w:t>
      </w:r>
      <w:r>
        <w:rPr>
          <w:rFonts w:asciiTheme="minorEastAsia" w:hAnsiTheme="minorEastAsia" w:eastAsiaTheme="minorEastAsia"/>
          <w:color w:val="000000"/>
          <w:sz w:val="28"/>
          <w:szCs w:val="28"/>
        </w:rPr>
        <w:t>ORD</w:t>
      </w:r>
      <w:r>
        <w:rPr>
          <w:rFonts w:hint="eastAsia" w:asciiTheme="minorEastAsia" w:hAnsiTheme="minorEastAsia" w:eastAsiaTheme="minorEastAsia"/>
          <w:color w:val="000000"/>
          <w:sz w:val="28"/>
          <w:szCs w:val="28"/>
        </w:rPr>
        <w:t>。投标文件应包含以下内容：</w:t>
      </w:r>
    </w:p>
    <w:p>
      <w:pPr>
        <w:ind w:firstLine="560" w:firstLineChars="200"/>
        <w:rPr>
          <w:rFonts w:asciiTheme="minorEastAsia" w:hAnsiTheme="minorEastAsia" w:eastAsiaTheme="minorEastAsia"/>
          <w:color w:val="000000"/>
          <w:sz w:val="28"/>
          <w:szCs w:val="28"/>
        </w:rPr>
      </w:pPr>
      <w:r>
        <w:rPr>
          <w:rFonts w:asciiTheme="minorEastAsia" w:hAnsiTheme="minorEastAsia" w:eastAsiaTheme="minorEastAsia"/>
          <w:color w:val="000000"/>
          <w:sz w:val="28"/>
          <w:szCs w:val="28"/>
        </w:rPr>
        <w:t>（一）</w:t>
      </w:r>
      <w:r>
        <w:rPr>
          <w:rFonts w:hint="eastAsia" w:asciiTheme="minorEastAsia" w:hAnsiTheme="minorEastAsia" w:eastAsiaTheme="minorEastAsia"/>
          <w:color w:val="000000"/>
          <w:sz w:val="28"/>
          <w:szCs w:val="28"/>
        </w:rPr>
        <w:t>价格文件（加盖公章）</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1、报价一览表</w:t>
      </w:r>
      <w:r>
        <w:rPr>
          <w:rFonts w:hint="eastAsia" w:asciiTheme="minorEastAsia" w:hAnsiTheme="minorEastAsia" w:eastAsiaTheme="minorEastAsia"/>
          <w:b/>
          <w:color w:val="000000"/>
          <w:sz w:val="28"/>
          <w:szCs w:val="28"/>
        </w:rPr>
        <w:t>（见附件2）</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2、分项报价清单（格式自拟，应包含品牌、型号规格等信息）</w:t>
      </w:r>
    </w:p>
    <w:p>
      <w:pPr>
        <w:pStyle w:val="51"/>
        <w:numPr>
          <w:ilvl w:val="0"/>
          <w:numId w:val="1"/>
        </w:numPr>
        <w:ind w:firstLineChars="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商务部分（加盖公章）</w:t>
      </w:r>
    </w:p>
    <w:p>
      <w:pPr>
        <w:pStyle w:val="2"/>
        <w:ind w:left="740" w:leftChars="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1、投标人提供的资格证明文件</w:t>
      </w:r>
    </w:p>
    <w:p>
      <w:pPr>
        <w:spacing w:line="360" w:lineRule="auto"/>
        <w:ind w:left="640" w:firstLine="140" w:firstLineChars="5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2、投标人其他材料</w:t>
      </w:r>
    </w:p>
    <w:p>
      <w:pPr>
        <w:tabs>
          <w:tab w:val="left" w:pos="1134"/>
        </w:tabs>
        <w:ind w:left="64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（三）技术部分（格式自定，并加盖公章）</w:t>
      </w:r>
    </w:p>
    <w:p>
      <w:pPr>
        <w:pStyle w:val="2"/>
        <w:ind w:left="740" w:leftChars="0"/>
        <w:rPr>
          <w:rFonts w:asciiTheme="minorEastAsia" w:hAnsiTheme="minorEastAsia" w:eastAsiaTheme="minorEastAsia"/>
          <w:color w:val="000000"/>
          <w:sz w:val="28"/>
          <w:szCs w:val="28"/>
        </w:rPr>
      </w:pPr>
      <w:bookmarkStart w:id="0" w:name="_Toc67642296"/>
      <w:r>
        <w:rPr>
          <w:rFonts w:hint="eastAsia" w:asciiTheme="minorEastAsia" w:hAnsiTheme="minorEastAsia" w:eastAsiaTheme="minorEastAsia"/>
          <w:color w:val="000000"/>
          <w:sz w:val="28"/>
          <w:szCs w:val="28"/>
        </w:rPr>
        <w:t>1、项目技术方案</w:t>
      </w:r>
      <w:bookmarkEnd w:id="0"/>
    </w:p>
    <w:p>
      <w:pPr>
        <w:pStyle w:val="2"/>
        <w:ind w:left="740" w:leftChars="0"/>
        <w:rPr>
          <w:rFonts w:asciiTheme="minorEastAsia" w:hAnsiTheme="minorEastAsia" w:eastAsiaTheme="minorEastAsia"/>
          <w:color w:val="000000"/>
          <w:sz w:val="28"/>
          <w:szCs w:val="28"/>
        </w:rPr>
      </w:pPr>
      <w:bookmarkStart w:id="1" w:name="_Toc67642297"/>
      <w:r>
        <w:rPr>
          <w:rFonts w:hint="eastAsia" w:asciiTheme="minorEastAsia" w:hAnsiTheme="minorEastAsia" w:eastAsiaTheme="minorEastAsia"/>
          <w:color w:val="000000"/>
          <w:sz w:val="28"/>
          <w:szCs w:val="28"/>
        </w:rPr>
        <w:t>2、服务承诺</w:t>
      </w:r>
      <w:bookmarkEnd w:id="1"/>
    </w:p>
    <w:p>
      <w:pPr>
        <w:pStyle w:val="2"/>
        <w:ind w:left="740" w:leftChars="0"/>
        <w:rPr>
          <w:rFonts w:asciiTheme="minorEastAsia" w:hAnsiTheme="minorEastAsia" w:eastAsiaTheme="minorEastAsia"/>
          <w:color w:val="000000"/>
          <w:sz w:val="28"/>
          <w:szCs w:val="28"/>
        </w:rPr>
      </w:pPr>
      <w:bookmarkStart w:id="2" w:name="_Toc67642298"/>
      <w:r>
        <w:rPr>
          <w:rFonts w:hint="eastAsia" w:asciiTheme="minorEastAsia" w:hAnsiTheme="minorEastAsia" w:eastAsiaTheme="minorEastAsia"/>
          <w:color w:val="000000"/>
          <w:sz w:val="28"/>
          <w:szCs w:val="28"/>
        </w:rPr>
        <w:t>3、项目组成员构成</w:t>
      </w:r>
      <w:bookmarkEnd w:id="2"/>
    </w:p>
    <w:p>
      <w:pPr>
        <w:pStyle w:val="2"/>
        <w:ind w:left="740" w:leftChars="0"/>
        <w:rPr>
          <w:rFonts w:asciiTheme="minorEastAsia" w:hAnsiTheme="minorEastAsia" w:eastAsiaTheme="minorEastAsia"/>
          <w:color w:val="000000"/>
          <w:sz w:val="28"/>
          <w:szCs w:val="28"/>
        </w:rPr>
      </w:pPr>
      <w:bookmarkStart w:id="3" w:name="_Toc67642299"/>
      <w:r>
        <w:rPr>
          <w:rFonts w:hint="eastAsia" w:asciiTheme="minorEastAsia" w:hAnsiTheme="minorEastAsia" w:eastAsiaTheme="minorEastAsia"/>
          <w:color w:val="000000"/>
          <w:sz w:val="28"/>
          <w:szCs w:val="28"/>
        </w:rPr>
        <w:t>4、优惠承诺（如有）</w:t>
      </w:r>
      <w:bookmarkEnd w:id="3"/>
    </w:p>
    <w:p>
      <w:pPr>
        <w:pStyle w:val="2"/>
        <w:ind w:left="740" w:leftChars="0"/>
        <w:rPr>
          <w:rFonts w:asciiTheme="minorEastAsia" w:hAnsiTheme="minorEastAsia" w:eastAsiaTheme="minorEastAsia"/>
          <w:color w:val="000000"/>
          <w:sz w:val="28"/>
          <w:szCs w:val="28"/>
        </w:rPr>
      </w:pPr>
      <w:bookmarkStart w:id="4" w:name="_Toc67642300"/>
      <w:r>
        <w:rPr>
          <w:rFonts w:hint="eastAsia" w:asciiTheme="minorEastAsia" w:hAnsiTheme="minorEastAsia" w:eastAsiaTheme="minorEastAsia"/>
          <w:color w:val="000000"/>
          <w:sz w:val="28"/>
          <w:szCs w:val="28"/>
        </w:rPr>
        <w:t>5、技术参数偏离</w:t>
      </w:r>
      <w:r>
        <w:rPr>
          <w:rFonts w:asciiTheme="minorEastAsia" w:hAnsiTheme="minorEastAsia" w:eastAsiaTheme="minorEastAsia"/>
          <w:color w:val="000000"/>
          <w:sz w:val="28"/>
          <w:szCs w:val="28"/>
        </w:rPr>
        <w:t>表</w:t>
      </w:r>
      <w:bookmarkEnd w:id="4"/>
    </w:p>
    <w:p>
      <w:pPr>
        <w:pStyle w:val="2"/>
        <w:ind w:left="740" w:leftChars="0"/>
        <w:rPr>
          <w:rFonts w:asciiTheme="minorEastAsia" w:hAnsiTheme="minorEastAsia" w:eastAsiaTheme="minorEastAsia"/>
          <w:color w:val="000000"/>
          <w:sz w:val="28"/>
          <w:szCs w:val="28"/>
        </w:rPr>
      </w:pPr>
      <w:bookmarkStart w:id="5" w:name="_Toc67642301"/>
      <w:r>
        <w:rPr>
          <w:rFonts w:hint="eastAsia" w:asciiTheme="minorEastAsia" w:hAnsiTheme="minorEastAsia" w:eastAsiaTheme="minorEastAsia"/>
          <w:color w:val="000000"/>
          <w:sz w:val="28"/>
          <w:szCs w:val="28"/>
        </w:rPr>
        <w:t>6、投标人认为需要提供的其它文件及资料</w:t>
      </w:r>
      <w:bookmarkEnd w:id="5"/>
    </w:p>
    <w:p>
      <w:pPr>
        <w:ind w:firstLine="640" w:firstLineChars="200"/>
        <w:rPr>
          <w:rFonts w:ascii="宋体" w:hAnsi="宋体" w:cs="宋体"/>
          <w:b/>
          <w:color w:val="000000"/>
          <w:sz w:val="32"/>
          <w:szCs w:val="32"/>
          <w:lang w:val="zh-CN"/>
        </w:rPr>
      </w:pPr>
      <w:r>
        <w:rPr>
          <w:rFonts w:hint="eastAsia" w:ascii="宋体" w:hAnsi="宋体" w:cs="宋体"/>
          <w:b/>
          <w:color w:val="000000"/>
          <w:sz w:val="32"/>
          <w:szCs w:val="32"/>
          <w:lang w:val="zh-CN"/>
        </w:rPr>
        <w:t>七、评标方法</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（一）本项目竞选采购由采购人自行组建3人评审小组，评审小组成员由广州印象文化旅游发展有限公司相关人员组成。</w:t>
      </w:r>
    </w:p>
    <w:p>
      <w:pPr>
        <w:ind w:firstLine="560" w:firstLineChars="200"/>
        <w:rPr>
          <w:rFonts w:ascii="仿宋_GB2312" w:hAnsi="仿宋" w:eastAsia="仿宋_GB2312"/>
          <w:color w:val="000000"/>
          <w:sz w:val="32"/>
          <w:szCs w:val="32"/>
        </w:rPr>
      </w:pPr>
      <w:r>
        <w:rPr>
          <w:rFonts w:hint="eastAsia" w:asciiTheme="minorEastAsia" w:hAnsiTheme="minorEastAsia" w:eastAsiaTheme="minorEastAsia"/>
          <w:color w:val="000000"/>
          <w:sz w:val="28"/>
          <w:szCs w:val="28"/>
        </w:rPr>
        <w:t>（二）本项目采取综合评分法确定中标候选人。评审小组首先对投标人进行资格审表（</w:t>
      </w:r>
      <w:r>
        <w:rPr>
          <w:rFonts w:hint="eastAsia" w:asciiTheme="minorEastAsia" w:hAnsiTheme="minorEastAsia" w:eastAsiaTheme="minorEastAsia"/>
          <w:b/>
          <w:color w:val="000000"/>
          <w:sz w:val="28"/>
          <w:szCs w:val="28"/>
        </w:rPr>
        <w:t>附件</w:t>
      </w:r>
      <w:r>
        <w:rPr>
          <w:rFonts w:asciiTheme="minorEastAsia" w:hAnsiTheme="minorEastAsia" w:eastAsiaTheme="minorEastAsia"/>
          <w:b/>
          <w:color w:val="000000"/>
          <w:sz w:val="28"/>
          <w:szCs w:val="28"/>
        </w:rPr>
        <w:t>6</w:t>
      </w:r>
      <w:r>
        <w:rPr>
          <w:rFonts w:hint="eastAsia" w:asciiTheme="minorEastAsia" w:hAnsiTheme="minorEastAsia" w:eastAsiaTheme="minorEastAsia"/>
          <w:color w:val="000000"/>
          <w:sz w:val="28"/>
          <w:szCs w:val="28"/>
        </w:rPr>
        <w:t>）和投标文件有效性审查（</w:t>
      </w:r>
      <w:r>
        <w:rPr>
          <w:rFonts w:hint="eastAsia" w:asciiTheme="minorEastAsia" w:hAnsiTheme="minorEastAsia" w:eastAsiaTheme="minorEastAsia"/>
          <w:b/>
          <w:color w:val="000000"/>
          <w:sz w:val="28"/>
          <w:szCs w:val="28"/>
        </w:rPr>
        <w:t>附件</w:t>
      </w:r>
      <w:r>
        <w:rPr>
          <w:rFonts w:asciiTheme="minorEastAsia" w:hAnsiTheme="minorEastAsia" w:eastAsiaTheme="minorEastAsia"/>
          <w:b/>
          <w:color w:val="000000"/>
          <w:sz w:val="28"/>
          <w:szCs w:val="28"/>
        </w:rPr>
        <w:t>7</w:t>
      </w:r>
      <w:r>
        <w:rPr>
          <w:rFonts w:hint="eastAsia" w:asciiTheme="minorEastAsia" w:hAnsiTheme="minorEastAsia" w:eastAsiaTheme="minorEastAsia"/>
          <w:color w:val="000000"/>
          <w:sz w:val="28"/>
          <w:szCs w:val="28"/>
        </w:rPr>
        <w:t>），通过后，各评审小组成员分别就投标人的资质、业绩信誉、设计方案、报价等分别评分（</w:t>
      </w:r>
      <w:r>
        <w:rPr>
          <w:rFonts w:hint="eastAsia" w:asciiTheme="minorEastAsia" w:hAnsiTheme="minorEastAsia" w:eastAsiaTheme="minorEastAsia"/>
          <w:b/>
          <w:color w:val="000000"/>
          <w:sz w:val="28"/>
          <w:szCs w:val="28"/>
        </w:rPr>
        <w:t>附件</w:t>
      </w:r>
      <w:r>
        <w:rPr>
          <w:rFonts w:asciiTheme="minorEastAsia" w:hAnsiTheme="minorEastAsia" w:eastAsiaTheme="minorEastAsia"/>
          <w:b/>
          <w:color w:val="000000"/>
          <w:sz w:val="28"/>
          <w:szCs w:val="28"/>
        </w:rPr>
        <w:t>8</w:t>
      </w:r>
      <w:r>
        <w:rPr>
          <w:rFonts w:hint="eastAsia" w:asciiTheme="minorEastAsia" w:hAnsiTheme="minorEastAsia" w:eastAsiaTheme="minorEastAsia"/>
          <w:color w:val="000000"/>
          <w:sz w:val="28"/>
          <w:szCs w:val="28"/>
        </w:rPr>
        <w:t>），将所有评审小组成员所评得分进行算术平均（按四舍五入原则精确到小数点后两位），即得出该供应商的综合评分。将综合评分由高到低顺序依次排列，排名第一的供应商为第一中标候选人。综合评分相同的，按供应商报价由低到高排列；综合评分相同，且供应商报价相同的，名次由评审小组抽签决定。</w:t>
      </w:r>
    </w:p>
    <w:p>
      <w:pPr>
        <w:ind w:firstLine="640" w:firstLineChars="200"/>
        <w:rPr>
          <w:rFonts w:ascii="宋体" w:hAnsi="宋体" w:cs="宋体"/>
          <w:b/>
          <w:color w:val="000000"/>
          <w:sz w:val="32"/>
          <w:szCs w:val="32"/>
          <w:lang w:val="zh-CN"/>
        </w:rPr>
      </w:pPr>
      <w:r>
        <w:rPr>
          <w:rFonts w:hint="eastAsia" w:ascii="宋体" w:hAnsi="宋体" w:cs="宋体"/>
          <w:b/>
          <w:color w:val="000000"/>
          <w:sz w:val="32"/>
          <w:szCs w:val="32"/>
          <w:lang w:val="zh-CN"/>
        </w:rPr>
        <w:t>八、递交投标文件</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（一）投标文件递交起止时间：2021</w:t>
      </w:r>
      <w:r>
        <w:rPr>
          <w:rFonts w:hint="eastAsia" w:asciiTheme="minorEastAsia" w:hAnsiTheme="minorEastAsia" w:eastAsiaTheme="minorEastAsia"/>
          <w:sz w:val="28"/>
          <w:szCs w:val="28"/>
        </w:rPr>
        <w:t>年</w:t>
      </w:r>
      <w:r>
        <w:rPr>
          <w:rFonts w:asciiTheme="minorEastAsia" w:hAnsiTheme="minorEastAsia" w:eastAsiaTheme="minorEastAsia"/>
          <w:sz w:val="28"/>
          <w:szCs w:val="28"/>
        </w:rPr>
        <w:t>4</w:t>
      </w:r>
      <w:r>
        <w:rPr>
          <w:rFonts w:hint="eastAsia" w:asciiTheme="minorEastAsia" w:hAnsiTheme="minorEastAsia" w:eastAsiaTheme="minorEastAsia"/>
          <w:sz w:val="28"/>
          <w:szCs w:val="28"/>
        </w:rPr>
        <w:t>月</w:t>
      </w:r>
      <w:r>
        <w:rPr>
          <w:rFonts w:asciiTheme="minorEastAsia" w:hAnsiTheme="minorEastAsia" w:eastAsiaTheme="minorEastAsia"/>
          <w:sz w:val="28"/>
          <w:szCs w:val="28"/>
        </w:rPr>
        <w:t>30</w:t>
      </w:r>
      <w:r>
        <w:rPr>
          <w:rFonts w:hint="eastAsia" w:asciiTheme="minorEastAsia" w:hAnsiTheme="minorEastAsia" w:eastAsiaTheme="minorEastAsia"/>
          <w:sz w:val="28"/>
          <w:szCs w:val="28"/>
        </w:rPr>
        <w:t>日至2</w:t>
      </w:r>
      <w:r>
        <w:rPr>
          <w:rFonts w:asciiTheme="minorEastAsia" w:hAnsiTheme="minorEastAsia" w:eastAsiaTheme="minorEastAsia"/>
          <w:sz w:val="28"/>
          <w:szCs w:val="28"/>
        </w:rPr>
        <w:t>021年</w:t>
      </w:r>
      <w:r>
        <w:rPr>
          <w:rFonts w:hint="eastAsia" w:asciiTheme="minorEastAsia" w:hAnsiTheme="minorEastAsia" w:eastAsiaTheme="minorEastAsia"/>
          <w:sz w:val="28"/>
          <w:szCs w:val="28"/>
        </w:rPr>
        <w:t>5月9日1</w:t>
      </w:r>
      <w:r>
        <w:rPr>
          <w:rFonts w:asciiTheme="minorEastAsia" w:hAnsiTheme="minorEastAsia" w:eastAsiaTheme="minorEastAsia"/>
          <w:sz w:val="28"/>
          <w:szCs w:val="28"/>
        </w:rPr>
        <w:t>8</w:t>
      </w:r>
      <w:r>
        <w:rPr>
          <w:rFonts w:hint="eastAsia" w:asciiTheme="minorEastAsia" w:hAnsiTheme="minorEastAsia" w:eastAsiaTheme="minorEastAsia"/>
          <w:sz w:val="28"/>
          <w:szCs w:val="28"/>
        </w:rPr>
        <w:t>时</w:t>
      </w:r>
      <w:r>
        <w:rPr>
          <w:rFonts w:hint="eastAsia" w:asciiTheme="minorEastAsia" w:hAnsiTheme="minorEastAsia" w:eastAsiaTheme="minorEastAsia"/>
          <w:color w:val="000000"/>
          <w:sz w:val="28"/>
          <w:szCs w:val="28"/>
        </w:rPr>
        <w:t>前，以</w:t>
      </w:r>
      <w:r>
        <w:rPr>
          <w:rFonts w:hint="eastAsia" w:asciiTheme="minorEastAsia" w:hAnsiTheme="minorEastAsia" w:eastAsiaTheme="minorEastAsia"/>
          <w:b/>
          <w:color w:val="000000"/>
          <w:sz w:val="28"/>
          <w:szCs w:val="28"/>
        </w:rPr>
        <w:t>密封</w:t>
      </w:r>
      <w:r>
        <w:rPr>
          <w:rFonts w:hint="eastAsia" w:asciiTheme="minorEastAsia" w:hAnsiTheme="minorEastAsia" w:eastAsiaTheme="minorEastAsia"/>
          <w:color w:val="000000"/>
          <w:sz w:val="28"/>
          <w:szCs w:val="28"/>
        </w:rPr>
        <w:t>的形式提供投标文件到：广州市番禺区大学城外环西路岭南印象园。投标文件信封或外包装上应当注明“</w:t>
      </w:r>
      <w:r>
        <w:rPr>
          <w:rFonts w:hint="eastAsia" w:asciiTheme="minorEastAsia" w:hAnsiTheme="minorEastAsia" w:eastAsiaTheme="minorEastAsia"/>
          <w:color w:val="000000"/>
          <w:sz w:val="28"/>
          <w:szCs w:val="28"/>
          <w:lang w:val="zh-CN"/>
        </w:rPr>
        <w:t>岭南印象园贵宾接待电瓶车采购项目</w:t>
      </w:r>
      <w:r>
        <w:rPr>
          <w:rFonts w:hint="eastAsia" w:asciiTheme="minorEastAsia" w:hAnsiTheme="minorEastAsia" w:eastAsiaTheme="minorEastAsia"/>
          <w:color w:val="000000"/>
          <w:sz w:val="28"/>
          <w:szCs w:val="28"/>
        </w:rPr>
        <w:t>投标文件”、投标供应商名称和“在（竞选文件中规定的开标日期）之前不得启封”的字样，封口处应加盖投标供应商印章。</w:t>
      </w:r>
    </w:p>
    <w:p>
      <w:pPr>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（二）采购人接受现场递交或邮寄两种方式。采用邮寄方式的，应在邮寄外包装袋上注明“</w:t>
      </w:r>
      <w:r>
        <w:rPr>
          <w:rFonts w:hint="eastAsia" w:asciiTheme="minorEastAsia" w:hAnsiTheme="minorEastAsia" w:eastAsiaTheme="minorEastAsia"/>
          <w:color w:val="000000"/>
          <w:sz w:val="28"/>
          <w:szCs w:val="28"/>
          <w:lang w:val="zh-CN"/>
        </w:rPr>
        <w:t>岭南印象园贵宾接待电瓶车采购项目</w:t>
      </w:r>
      <w:r>
        <w:rPr>
          <w:rFonts w:hint="eastAsia" w:asciiTheme="minorEastAsia" w:hAnsiTheme="minorEastAsia" w:eastAsiaTheme="minorEastAsia"/>
          <w:color w:val="000000"/>
          <w:sz w:val="28"/>
          <w:szCs w:val="28"/>
        </w:rPr>
        <w:t>投标文件”字样。投标供应商递交投标文件后，请联系采购人确认。</w:t>
      </w:r>
    </w:p>
    <w:p>
      <w:pPr>
        <w:ind w:firstLine="560" w:firstLineChars="200"/>
        <w:rPr>
          <w:rFonts w:asciiTheme="minorEastAsia" w:hAnsiTheme="minorEastAsia" w:eastAsiaTheme="minorEastAsia"/>
          <w:b/>
          <w:sz w:val="28"/>
          <w:szCs w:val="28"/>
        </w:rPr>
      </w:pPr>
      <w:r>
        <w:rPr>
          <w:rFonts w:hint="eastAsia" w:asciiTheme="minorEastAsia" w:hAnsiTheme="minorEastAsia" w:eastAsiaTheme="minorEastAsia"/>
          <w:color w:val="000000"/>
          <w:sz w:val="28"/>
          <w:szCs w:val="28"/>
        </w:rPr>
        <w:t>（三）投标文件逾期递交、未送达指定地点的、或未按要求密封的，采购人有权不予受理。</w:t>
      </w:r>
    </w:p>
    <w:p>
      <w:pPr>
        <w:ind w:firstLine="560" w:firstLineChars="200"/>
        <w:rPr>
          <w:rFonts w:asciiTheme="minorEastAsia" w:hAnsiTheme="minorEastAsia" w:eastAsiaTheme="minorEastAsia"/>
          <w:b/>
          <w:color w:val="000000"/>
          <w:sz w:val="28"/>
          <w:szCs w:val="28"/>
        </w:rPr>
      </w:pPr>
      <w:r>
        <w:rPr>
          <w:rFonts w:hint="eastAsia" w:asciiTheme="minorEastAsia" w:hAnsiTheme="minorEastAsia" w:eastAsiaTheme="minorEastAsia"/>
          <w:b/>
          <w:sz w:val="28"/>
          <w:szCs w:val="28"/>
        </w:rPr>
        <w:t>九、</w:t>
      </w:r>
      <w:r>
        <w:rPr>
          <w:rFonts w:asciiTheme="minorEastAsia" w:hAnsiTheme="minorEastAsia" w:eastAsiaTheme="minorEastAsia"/>
          <w:b/>
          <w:color w:val="000000"/>
          <w:sz w:val="28"/>
          <w:szCs w:val="28"/>
        </w:rPr>
        <w:t>采购人地址和联系方式</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1、采购单位：</w:t>
      </w:r>
      <w:r>
        <w:rPr>
          <w:rFonts w:hint="eastAsia" w:asciiTheme="minorEastAsia" w:hAnsiTheme="minorEastAsia" w:eastAsiaTheme="minorEastAsia"/>
          <w:color w:val="000000"/>
          <w:sz w:val="28"/>
          <w:szCs w:val="28"/>
          <w:lang w:val="zh-CN"/>
        </w:rPr>
        <w:t>广州印象文化旅游发展有限公司</w:t>
      </w:r>
    </w:p>
    <w:p>
      <w:pPr>
        <w:spacing w:line="360" w:lineRule="auto"/>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2、联系地址：广州市番禺区大学城外环西路岭南印象园。联系人：林文钊，联系电话：</w:t>
      </w:r>
      <w:r>
        <w:rPr>
          <w:rFonts w:asciiTheme="minorEastAsia" w:hAnsiTheme="minorEastAsia" w:eastAsiaTheme="minorEastAsia"/>
          <w:color w:val="000000"/>
          <w:sz w:val="28"/>
          <w:szCs w:val="28"/>
        </w:rPr>
        <w:t>020-</w:t>
      </w:r>
      <w:r>
        <w:rPr>
          <w:rFonts w:hint="eastAsia" w:asciiTheme="minorEastAsia" w:hAnsiTheme="minorEastAsia" w:eastAsiaTheme="minorEastAsia"/>
          <w:color w:val="000000"/>
          <w:sz w:val="28"/>
          <w:szCs w:val="28"/>
        </w:rPr>
        <w:t>39302095，电子邮件：349977306@qq.com</w:t>
      </w:r>
    </w:p>
    <w:p>
      <w:pPr>
        <w:pStyle w:val="50"/>
        <w:spacing w:line="360" w:lineRule="auto"/>
        <w:ind w:firstLine="640"/>
        <w:rPr>
          <w:rFonts w:ascii="仿宋_GB2312" w:hAnsi="仿宋" w:eastAsia="仿宋_GB2312"/>
          <w:color w:val="000000"/>
          <w:sz w:val="32"/>
          <w:szCs w:val="32"/>
        </w:rPr>
      </w:pPr>
    </w:p>
    <w:p>
      <w:pPr>
        <w:pStyle w:val="50"/>
        <w:spacing w:line="360" w:lineRule="auto"/>
        <w:ind w:firstLine="640"/>
        <w:rPr>
          <w:rFonts w:ascii="仿宋_GB2312" w:hAnsi="仿宋" w:eastAsia="仿宋_GB2312"/>
          <w:color w:val="000000"/>
          <w:sz w:val="32"/>
          <w:szCs w:val="32"/>
        </w:rPr>
      </w:pPr>
    </w:p>
    <w:p>
      <w:pPr>
        <w:pStyle w:val="50"/>
        <w:spacing w:line="360" w:lineRule="auto"/>
        <w:ind w:firstLine="640"/>
        <w:rPr>
          <w:rFonts w:ascii="仿宋_GB2312" w:hAnsi="仿宋" w:eastAsia="仿宋_GB2312"/>
          <w:color w:val="000000"/>
          <w:sz w:val="32"/>
          <w:szCs w:val="32"/>
        </w:rPr>
      </w:pPr>
      <w:r>
        <w:rPr>
          <w:rFonts w:hint="eastAsia" w:ascii="仿宋_GB2312" w:hAnsi="仿宋" w:eastAsia="仿宋_GB2312"/>
          <w:color w:val="000000"/>
          <w:sz w:val="32"/>
          <w:szCs w:val="32"/>
        </w:rPr>
        <w:t>附件：1、采购需求</w:t>
      </w:r>
    </w:p>
    <w:p>
      <w:pPr>
        <w:pStyle w:val="50"/>
        <w:spacing w:line="360" w:lineRule="auto"/>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2、</w:t>
      </w:r>
      <w:r>
        <w:rPr>
          <w:rFonts w:ascii="仿宋_GB2312" w:hAnsi="仿宋" w:eastAsia="仿宋_GB2312"/>
          <w:color w:val="000000"/>
          <w:sz w:val="32"/>
          <w:szCs w:val="32"/>
        </w:rPr>
        <w:t>报价一览表</w:t>
      </w:r>
    </w:p>
    <w:p>
      <w:pPr>
        <w:pStyle w:val="50"/>
        <w:spacing w:line="360" w:lineRule="auto"/>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3、供应商调查表</w:t>
      </w:r>
    </w:p>
    <w:p>
      <w:pPr>
        <w:pStyle w:val="50"/>
        <w:spacing w:line="360" w:lineRule="auto"/>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4、法定代表人身份证明书</w:t>
      </w:r>
    </w:p>
    <w:p>
      <w:pPr>
        <w:pStyle w:val="50"/>
        <w:spacing w:line="360" w:lineRule="auto"/>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5、法定代表人授权委托证明书</w:t>
      </w:r>
    </w:p>
    <w:p>
      <w:pPr>
        <w:pStyle w:val="50"/>
        <w:spacing w:line="360" w:lineRule="auto"/>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6、投标人资格审查表</w:t>
      </w:r>
    </w:p>
    <w:p>
      <w:pPr>
        <w:pStyle w:val="50"/>
        <w:spacing w:line="360" w:lineRule="auto"/>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7、投标文件有效性审查表</w:t>
      </w:r>
    </w:p>
    <w:p>
      <w:pPr>
        <w:pStyle w:val="50"/>
        <w:spacing w:line="360" w:lineRule="auto"/>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8、评分明细表</w:t>
      </w:r>
    </w:p>
    <w:p>
      <w:pPr>
        <w:pStyle w:val="50"/>
        <w:spacing w:line="360" w:lineRule="auto"/>
        <w:ind w:firstLine="1600" w:firstLineChars="500"/>
        <w:rPr>
          <w:rFonts w:ascii="仿宋_GB2312" w:hAnsi="仿宋" w:eastAsia="仿宋_GB2312"/>
          <w:color w:val="000000"/>
          <w:sz w:val="32"/>
          <w:szCs w:val="32"/>
        </w:rPr>
      </w:pPr>
      <w:r>
        <w:rPr>
          <w:rFonts w:hint="eastAsia" w:ascii="仿宋_GB2312" w:hAnsi="仿宋" w:eastAsia="仿宋_GB2312"/>
          <w:color w:val="000000"/>
          <w:sz w:val="32"/>
          <w:szCs w:val="32"/>
        </w:rPr>
        <w:t>9、合同范本</w:t>
      </w:r>
    </w:p>
    <w:p>
      <w:pPr>
        <w:pStyle w:val="50"/>
        <w:spacing w:line="360" w:lineRule="auto"/>
        <w:ind w:firstLine="1600" w:firstLineChars="500"/>
        <w:rPr>
          <w:rFonts w:ascii="仿宋_GB2312" w:hAnsi="仿宋" w:eastAsia="仿宋_GB2312"/>
          <w:color w:val="000000"/>
          <w:sz w:val="32"/>
          <w:szCs w:val="32"/>
        </w:rPr>
      </w:pPr>
    </w:p>
    <w:p>
      <w:pPr>
        <w:ind w:firstLine="2880" w:firstLineChars="900"/>
        <w:rPr>
          <w:rFonts w:ascii="仿宋_GB2312" w:hAnsi="仿宋" w:eastAsia="仿宋_GB2312"/>
          <w:color w:val="000000"/>
          <w:sz w:val="32"/>
          <w:szCs w:val="32"/>
        </w:rPr>
      </w:pPr>
      <w:r>
        <w:rPr>
          <w:rFonts w:hint="eastAsia" w:ascii="仿宋_GB2312" w:hAnsi="仿宋" w:eastAsia="仿宋_GB2312"/>
          <w:color w:val="000000"/>
          <w:sz w:val="32"/>
          <w:szCs w:val="32"/>
          <w:lang w:val="zh-CN"/>
        </w:rPr>
        <w:t>广州印象文化旅游发展有限公司</w:t>
      </w:r>
    </w:p>
    <w:p>
      <w:pPr>
        <w:ind w:firstLine="4160" w:firstLineChars="1300"/>
        <w:rPr>
          <w:rFonts w:ascii="仿宋_GB2312" w:hAnsi="仿宋" w:eastAsia="仿宋_GB2312"/>
          <w:color w:val="000000"/>
          <w:sz w:val="32"/>
          <w:szCs w:val="32"/>
        </w:rPr>
      </w:pPr>
      <w:r>
        <w:rPr>
          <w:rFonts w:hint="eastAsia" w:ascii="仿宋_GB2312" w:hAnsi="仿宋" w:eastAsia="仿宋_GB2312"/>
          <w:color w:val="000000"/>
          <w:sz w:val="32"/>
          <w:szCs w:val="32"/>
        </w:rPr>
        <w:t>2</w:t>
      </w:r>
      <w:r>
        <w:rPr>
          <w:rFonts w:ascii="仿宋_GB2312" w:hAnsi="仿宋" w:eastAsia="仿宋_GB2312"/>
          <w:color w:val="000000"/>
          <w:sz w:val="32"/>
          <w:szCs w:val="32"/>
        </w:rPr>
        <w:t>0</w:t>
      </w:r>
      <w:r>
        <w:rPr>
          <w:rFonts w:hint="eastAsia" w:ascii="仿宋_GB2312" w:hAnsi="仿宋" w:eastAsia="仿宋_GB2312"/>
          <w:color w:val="000000"/>
          <w:sz w:val="32"/>
          <w:szCs w:val="32"/>
        </w:rPr>
        <w:t>2</w:t>
      </w:r>
      <w:r>
        <w:rPr>
          <w:rFonts w:ascii="仿宋_GB2312" w:hAnsi="仿宋" w:eastAsia="仿宋_GB2312"/>
          <w:color w:val="000000"/>
          <w:sz w:val="32"/>
          <w:szCs w:val="32"/>
        </w:rPr>
        <w:t>1年4月28</w:t>
      </w:r>
      <w:r>
        <w:rPr>
          <w:rFonts w:hint="eastAsia" w:ascii="仿宋_GB2312" w:hAnsi="仿宋" w:eastAsia="仿宋_GB2312"/>
          <w:color w:val="000000"/>
          <w:sz w:val="32"/>
          <w:szCs w:val="32"/>
        </w:rPr>
        <w:t>日</w:t>
      </w:r>
    </w:p>
    <w:p>
      <w:pPr>
        <w:spacing w:line="360" w:lineRule="auto"/>
        <w:rPr>
          <w:rFonts w:ascii="宋体" w:hAnsi="宋体"/>
          <w:sz w:val="32"/>
        </w:rPr>
      </w:pPr>
      <w:r>
        <w:rPr>
          <w:rFonts w:ascii="仿宋" w:hAnsi="仿宋" w:eastAsia="仿宋"/>
          <w:b/>
          <w:sz w:val="32"/>
          <w:szCs w:val="32"/>
          <w:lang w:val="zh-CN"/>
        </w:rPr>
        <w:br w:type="page"/>
      </w:r>
      <w:r>
        <w:rPr>
          <w:rFonts w:hint="eastAsia" w:ascii="宋体" w:hAnsi="宋体"/>
          <w:sz w:val="32"/>
        </w:rPr>
        <w:t>附件1</w:t>
      </w:r>
    </w:p>
    <w:p>
      <w:pPr>
        <w:spacing w:line="360" w:lineRule="auto"/>
        <w:jc w:val="center"/>
        <w:rPr>
          <w:rFonts w:ascii="宋体" w:hAnsi="宋体"/>
          <w:sz w:val="36"/>
          <w:szCs w:val="36"/>
        </w:rPr>
      </w:pPr>
      <w:r>
        <w:rPr>
          <w:rFonts w:hint="eastAsia" w:ascii="宋体" w:hAnsi="宋体"/>
          <w:sz w:val="36"/>
          <w:szCs w:val="36"/>
        </w:rPr>
        <w:t>采购需求</w:t>
      </w:r>
    </w:p>
    <w:p>
      <w:pPr>
        <w:tabs>
          <w:tab w:val="left" w:pos="420"/>
        </w:tabs>
        <w:spacing w:line="360" w:lineRule="auto"/>
        <w:ind w:left="420"/>
        <w:rPr>
          <w:rFonts w:asciiTheme="minorEastAsia" w:hAnsiTheme="minorEastAsia" w:eastAsiaTheme="minorEastAsia"/>
          <w:sz w:val="24"/>
        </w:rPr>
      </w:pPr>
      <w:r>
        <w:rPr>
          <w:rFonts w:hint="eastAsia" w:asciiTheme="minorEastAsia" w:hAnsiTheme="minorEastAsia" w:eastAsiaTheme="minorEastAsia"/>
          <w:sz w:val="24"/>
        </w:rPr>
        <w:t>一、总体说明</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本采购需求中标有“★”的条款为必须完全满足的项目，任何负偏离将导致废标。</w:t>
      </w:r>
    </w:p>
    <w:p>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二、资质要求</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1、须是具有独立承担民事责任能力、在中华人民共和国境内注册的企业法人或其他组织；</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2、已办理合法税务登记，具有开具相应增值税专用发票资格；</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3、投标人经营状况、财务状况良好，近三年内未受到监管机构处罚、无重大金融、财经违法行为，具有较强的风险控制和较好的经营业绩且经营状况良好；严格遵守国家有关的法律法规，内部管理规范、控制制度严密，具有严格的操作规程和保密措施。</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4、该项目不接受联合体投标。</w:t>
      </w:r>
    </w:p>
    <w:p>
      <w:pPr>
        <w:tabs>
          <w:tab w:val="left" w:pos="420"/>
        </w:tabs>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三、业绩要求</w:t>
      </w:r>
    </w:p>
    <w:p>
      <w:pPr>
        <w:spacing w:line="360" w:lineRule="auto"/>
        <w:ind w:firstLine="480" w:firstLineChars="200"/>
        <w:rPr>
          <w:rFonts w:asciiTheme="minorEastAsia" w:hAnsiTheme="minorEastAsia" w:eastAsiaTheme="minorEastAsia"/>
          <w:color w:val="000000"/>
          <w:sz w:val="24"/>
          <w:szCs w:val="22"/>
        </w:rPr>
      </w:pPr>
      <w:r>
        <w:rPr>
          <w:rFonts w:hint="eastAsia" w:asciiTheme="minorEastAsia" w:hAnsiTheme="minorEastAsia" w:eastAsiaTheme="minorEastAsia"/>
          <w:color w:val="000000"/>
          <w:sz w:val="24"/>
          <w:szCs w:val="22"/>
        </w:rPr>
        <w:t>无</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rPr>
        <w:t>四、采</w:t>
      </w:r>
      <w:r>
        <w:rPr>
          <w:rFonts w:hint="eastAsia" w:asciiTheme="minorEastAsia" w:hAnsiTheme="minorEastAsia" w:eastAsiaTheme="minorEastAsia"/>
          <w:sz w:val="24"/>
          <w:szCs w:val="22"/>
        </w:rPr>
        <w:t>购需求内容：11座电瓶车2台。电瓶车技术要求如下：</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1）、整体要求：四排座位向前，高密度聚安脂发泡、外包耐磨防水皮革面料座椅，采用直流电机（</w:t>
      </w:r>
      <w:r>
        <w:rPr>
          <w:rFonts w:asciiTheme="minorEastAsia" w:hAnsiTheme="minorEastAsia" w:eastAsiaTheme="minorEastAsia"/>
          <w:sz w:val="24"/>
          <w:szCs w:val="22"/>
        </w:rPr>
        <w:t>功率</w:t>
      </w:r>
      <w:r>
        <w:rPr>
          <w:rFonts w:hint="eastAsia" w:asciiTheme="minorEastAsia" w:hAnsiTheme="minorEastAsia" w:eastAsiaTheme="minorEastAsia"/>
          <w:sz w:val="24"/>
          <w:szCs w:val="22"/>
        </w:rPr>
        <w:t>：≥72</w:t>
      </w:r>
      <w:r>
        <w:rPr>
          <w:rFonts w:asciiTheme="minorEastAsia" w:hAnsiTheme="minorEastAsia" w:eastAsiaTheme="minorEastAsia"/>
          <w:sz w:val="24"/>
          <w:szCs w:val="22"/>
        </w:rPr>
        <w:t>V/</w:t>
      </w:r>
      <w:r>
        <w:rPr>
          <w:rFonts w:hint="eastAsia" w:asciiTheme="minorEastAsia" w:hAnsiTheme="minorEastAsia" w:eastAsiaTheme="minorEastAsia"/>
          <w:sz w:val="24"/>
          <w:szCs w:val="22"/>
        </w:rPr>
        <w:t>5KW）和72V优质直流控制器，电池为≥72V240Ah锂电池及电池管理系统，外观颜色按用户需求喷涂。</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2）、主要技术参数配置</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电气系统</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(1)电机：≥72V 5kW直流电机。</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(2）电池：≥72V240Ah锂电池及电池管理系统。</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(3）电控系统：优质直流控制器。</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(4）充电器：与电池配套的智能充电器，充电时间≤10小时。</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(5）灯光和警示系统：远近光灯、转向灯、制动灯、倒车灯、倒车蜂鸣器、电喇叭。</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(6）开关及仪表：玻璃钢成型仪表台，组合式仪表。</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(7）加速器：原装电控配套的加速器，性能稳定、加速性能好。</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(8）雨刮器：带自动复位功能的雨刮器，刮水面积大，干净彻底。</w:t>
      </w:r>
    </w:p>
    <w:p>
      <w:pPr>
        <w:spacing w:line="360" w:lineRule="auto"/>
        <w:ind w:firstLine="480" w:firstLineChars="200"/>
        <w:rPr>
          <w:rFonts w:asciiTheme="minorEastAsia" w:hAnsiTheme="minorEastAsia" w:eastAsiaTheme="minorEastAsia"/>
          <w:sz w:val="24"/>
          <w:szCs w:val="22"/>
        </w:rPr>
      </w:pPr>
      <w:r>
        <w:rPr>
          <w:rFonts w:asciiTheme="minorEastAsia" w:hAnsiTheme="minorEastAsia" w:eastAsiaTheme="minorEastAsia"/>
          <w:sz w:val="24"/>
          <w:szCs w:val="22"/>
        </w:rPr>
        <w:t>B</w:t>
      </w:r>
      <w:r>
        <w:rPr>
          <w:rFonts w:hint="eastAsia" w:asciiTheme="minorEastAsia" w:hAnsiTheme="minorEastAsia" w:eastAsiaTheme="minorEastAsia"/>
          <w:sz w:val="24"/>
          <w:szCs w:val="22"/>
        </w:rPr>
        <w:t>、车体系统</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(1)底盘车架：微型车改进专用底盘，高强度的钢管焊接结构，防锈电泳烤漆处理。底盘防锈标准：电泳按</w:t>
      </w:r>
      <w:r>
        <w:rPr>
          <w:rFonts w:asciiTheme="minorEastAsia" w:hAnsiTheme="minorEastAsia" w:eastAsiaTheme="minorEastAsia"/>
          <w:sz w:val="24"/>
          <w:szCs w:val="22"/>
        </w:rPr>
        <w:t>JB/T 10242-2001</w:t>
      </w:r>
      <w:r>
        <w:rPr>
          <w:rFonts w:hint="eastAsia" w:asciiTheme="minorEastAsia" w:hAnsiTheme="minorEastAsia" w:eastAsiaTheme="minorEastAsia"/>
          <w:sz w:val="24"/>
          <w:szCs w:val="22"/>
        </w:rPr>
        <w:t>技术标准；喷粉按</w:t>
      </w:r>
      <w:r>
        <w:rPr>
          <w:rFonts w:asciiTheme="minorEastAsia" w:hAnsiTheme="minorEastAsia" w:eastAsiaTheme="minorEastAsia"/>
          <w:sz w:val="24"/>
          <w:szCs w:val="22"/>
        </w:rPr>
        <w:t>JB 15607-1995</w:t>
      </w:r>
      <w:r>
        <w:rPr>
          <w:rFonts w:hint="eastAsia" w:asciiTheme="minorEastAsia" w:hAnsiTheme="minorEastAsia" w:eastAsiaTheme="minorEastAsia"/>
          <w:sz w:val="24"/>
          <w:szCs w:val="22"/>
        </w:rPr>
        <w:t>标准；中性盐雾试验</w:t>
      </w:r>
      <w:r>
        <w:rPr>
          <w:rFonts w:asciiTheme="minorEastAsia" w:hAnsiTheme="minorEastAsia" w:eastAsiaTheme="minorEastAsia"/>
          <w:sz w:val="24"/>
          <w:szCs w:val="22"/>
        </w:rPr>
        <w:t>48</w:t>
      </w:r>
      <w:r>
        <w:rPr>
          <w:rFonts w:hint="eastAsia" w:asciiTheme="minorEastAsia" w:hAnsiTheme="minorEastAsia" w:eastAsiaTheme="minorEastAsia"/>
          <w:sz w:val="24"/>
          <w:szCs w:val="22"/>
        </w:rPr>
        <w:t>小时达</w:t>
      </w:r>
      <w:r>
        <w:rPr>
          <w:rFonts w:asciiTheme="minorEastAsia" w:hAnsiTheme="minorEastAsia" w:eastAsiaTheme="minorEastAsia"/>
          <w:sz w:val="24"/>
          <w:szCs w:val="22"/>
        </w:rPr>
        <w:t>8</w:t>
      </w:r>
      <w:r>
        <w:rPr>
          <w:rFonts w:hint="eastAsia" w:asciiTheme="minorEastAsia" w:hAnsiTheme="minorEastAsia" w:eastAsiaTheme="minorEastAsia"/>
          <w:sz w:val="24"/>
          <w:szCs w:val="22"/>
        </w:rPr>
        <w:t>级以上。</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(2)外饰：高强度玻璃钢车身及双面玻璃钢顶蓬。</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(3)前桥及悬挂：麦弗逊式独立悬挂，螺旋弹簧+筒式液压减震。</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(4)后桥及悬挂：整体式后桥，带主减速及差速器，钢板弹簧+筒式液压减震式非独立悬挂。</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(5)制动系统：采用液压双回路前碟后鼓式制动，并带机械式驻车</w:t>
      </w:r>
      <w:r>
        <w:rPr>
          <w:rFonts w:asciiTheme="minorEastAsia" w:hAnsiTheme="minorEastAsia" w:eastAsiaTheme="minorEastAsia"/>
          <w:sz w:val="24"/>
          <w:szCs w:val="22"/>
        </w:rPr>
        <w:t>(</w:t>
      </w:r>
      <w:r>
        <w:rPr>
          <w:rFonts w:hint="eastAsia" w:asciiTheme="minorEastAsia" w:hAnsiTheme="minorEastAsia" w:eastAsiaTheme="minorEastAsia"/>
          <w:sz w:val="24"/>
          <w:szCs w:val="22"/>
        </w:rPr>
        <w:t>手刹</w:t>
      </w:r>
      <w:r>
        <w:rPr>
          <w:rFonts w:asciiTheme="minorEastAsia" w:hAnsiTheme="minorEastAsia" w:eastAsiaTheme="minorEastAsia"/>
          <w:sz w:val="24"/>
          <w:szCs w:val="22"/>
        </w:rPr>
        <w:t>)</w:t>
      </w:r>
      <w:r>
        <w:rPr>
          <w:rFonts w:hint="eastAsia" w:asciiTheme="minorEastAsia" w:hAnsiTheme="minorEastAsia" w:eastAsiaTheme="minorEastAsia"/>
          <w:sz w:val="24"/>
          <w:szCs w:val="22"/>
        </w:rPr>
        <w:t>。</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(6)转向系统：齿轮齿条式转向加电动助力系统。</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(7)前挡风玻璃：汽车用双层安全夹胶玻璃。。</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(8)座椅：高密度聚安脂发泡，外包耐磨防水皮革面料。</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(9)后视镜：左右手动型外后视镜及驾驶室内后视镜。</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(10)轮胎：加强型真空子午线轮胎，规格型号为：155/80R12，配装铝合金轮辋。</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其他：配下拉式遮雨帘。</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C、基本技术参数</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(1)长×宽×高：约4600×1500×1900 mm±100mm</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(2)座位数：11座</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(3)整备质量：：≤1250kg</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(4)满载总质量：≥2000kg</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(5)轴距：≥2600mm</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(6)前轮距：≥1200mm</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(7)后轮距：≥1200mm</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(8)最小离地间隙：≥150mm</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(9）最小转弯半径：≤6m</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(10）制动距离：≤4.5m</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(11）最大速度：28km/h</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(12）最大续驶里程：≥80km</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(13）充电时间：≤10h</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(14）最大噪音：≤75dB</w:t>
      </w:r>
    </w:p>
    <w:p>
      <w:pPr>
        <w:spacing w:line="360" w:lineRule="auto"/>
        <w:ind w:firstLine="480" w:firstLineChars="200"/>
        <w:rPr>
          <w:rFonts w:asciiTheme="minorEastAsia" w:hAnsiTheme="minorEastAsia" w:eastAsiaTheme="minorEastAsia"/>
          <w:sz w:val="24"/>
          <w:szCs w:val="22"/>
        </w:rPr>
      </w:pPr>
      <w:r>
        <w:rPr>
          <w:rFonts w:hint="eastAsia" w:asciiTheme="minorEastAsia" w:hAnsiTheme="minorEastAsia" w:eastAsiaTheme="minorEastAsia"/>
          <w:sz w:val="24"/>
          <w:szCs w:val="22"/>
        </w:rPr>
        <w:t>(15）爬坡能力(满载)：≥15%</w:t>
      </w:r>
    </w:p>
    <w:p>
      <w:pPr>
        <w:spacing w:line="360" w:lineRule="auto"/>
        <w:ind w:firstLine="643"/>
        <w:rPr>
          <w:rFonts w:ascii="宋体" w:hAnsi="宋体"/>
          <w:sz w:val="32"/>
        </w:rPr>
      </w:pPr>
      <w:r>
        <w:rPr>
          <w:rFonts w:ascii="仿宋" w:hAnsi="仿宋" w:eastAsia="仿宋"/>
          <w:sz w:val="24"/>
          <w:szCs w:val="22"/>
        </w:rPr>
        <w:br w:type="page"/>
      </w:r>
      <w:r>
        <w:rPr>
          <w:rFonts w:hint="eastAsia" w:ascii="宋体" w:hAnsi="宋体"/>
          <w:sz w:val="32"/>
        </w:rPr>
        <w:t>附件2</w:t>
      </w:r>
    </w:p>
    <w:p>
      <w:pPr>
        <w:pStyle w:val="22"/>
        <w:ind w:firstLine="0" w:firstLineChars="0"/>
        <w:jc w:val="center"/>
        <w:rPr>
          <w:rFonts w:hAnsi="宋体"/>
          <w:b/>
          <w:sz w:val="28"/>
          <w:szCs w:val="28"/>
        </w:rPr>
      </w:pPr>
      <w:r>
        <w:rPr>
          <w:rFonts w:hAnsi="宋体"/>
          <w:b/>
          <w:sz w:val="28"/>
          <w:szCs w:val="28"/>
        </w:rPr>
        <w:t>报价一览表</w:t>
      </w:r>
    </w:p>
    <w:p>
      <w:pPr>
        <w:pStyle w:val="22"/>
        <w:ind w:firstLine="0" w:firstLineChars="0"/>
        <w:jc w:val="center"/>
        <w:rPr>
          <w:rFonts w:hAnsi="宋体"/>
          <w:b/>
          <w:sz w:val="28"/>
          <w:szCs w:val="28"/>
        </w:rPr>
      </w:pPr>
    </w:p>
    <w:p>
      <w:pPr>
        <w:spacing w:line="360" w:lineRule="auto"/>
        <w:rPr>
          <w:rFonts w:hAnsi="宋体"/>
          <w:sz w:val="24"/>
          <w:szCs w:val="22"/>
        </w:rPr>
      </w:pPr>
      <w:r>
        <w:rPr>
          <w:rFonts w:hint="eastAsia" w:hAnsi="宋体"/>
          <w:sz w:val="24"/>
        </w:rPr>
        <w:t>项目名称</w:t>
      </w:r>
      <w:r>
        <w:rPr>
          <w:rFonts w:hint="eastAsia" w:hAnsi="宋体"/>
          <w:sz w:val="24"/>
          <w:szCs w:val="22"/>
        </w:rPr>
        <w:t>：</w:t>
      </w:r>
      <w:r>
        <w:rPr>
          <w:rFonts w:hint="eastAsia" w:hAnsi="宋体"/>
          <w:sz w:val="24"/>
          <w:szCs w:val="22"/>
          <w:lang w:val="zh-CN"/>
        </w:rPr>
        <w:t>印象文化公司贵宾接待电瓶车项目</w:t>
      </w:r>
    </w:p>
    <w:tbl>
      <w:tblPr>
        <w:tblStyle w:val="44"/>
        <w:tblW w:w="892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886"/>
        <w:gridCol w:w="1701"/>
        <w:gridCol w:w="4604"/>
      </w:tblGrid>
      <w:tr>
        <w:tblPrEx>
          <w:tblLayout w:type="fixed"/>
        </w:tblPrEx>
        <w:trPr>
          <w:trHeight w:val="711" w:hRule="atLeast"/>
          <w:jc w:val="center"/>
        </w:trPr>
        <w:tc>
          <w:tcPr>
            <w:tcW w:w="737" w:type="dxa"/>
            <w:vAlign w:val="center"/>
          </w:tcPr>
          <w:p>
            <w:pPr>
              <w:jc w:val="center"/>
              <w:rPr>
                <w:rFonts w:hAnsi="宋体"/>
                <w:bCs/>
                <w:sz w:val="24"/>
              </w:rPr>
            </w:pPr>
            <w:bookmarkStart w:id="6" w:name="_Hlk33473274"/>
            <w:r>
              <w:rPr>
                <w:rFonts w:hint="eastAsia" w:hAnsi="宋体"/>
                <w:bCs/>
                <w:sz w:val="24"/>
              </w:rPr>
              <w:t>序号</w:t>
            </w:r>
          </w:p>
        </w:tc>
        <w:tc>
          <w:tcPr>
            <w:tcW w:w="1886" w:type="dxa"/>
            <w:vAlign w:val="center"/>
          </w:tcPr>
          <w:p>
            <w:pPr>
              <w:jc w:val="center"/>
              <w:rPr>
                <w:rFonts w:hAnsi="宋体"/>
                <w:bCs/>
                <w:sz w:val="24"/>
              </w:rPr>
            </w:pPr>
            <w:r>
              <w:rPr>
                <w:rFonts w:hint="eastAsia" w:hAnsi="宋体"/>
                <w:bCs/>
                <w:sz w:val="24"/>
              </w:rPr>
              <w:t>项目名称</w:t>
            </w:r>
          </w:p>
        </w:tc>
        <w:tc>
          <w:tcPr>
            <w:tcW w:w="6305" w:type="dxa"/>
            <w:gridSpan w:val="2"/>
            <w:vAlign w:val="center"/>
          </w:tcPr>
          <w:p>
            <w:pPr>
              <w:rPr>
                <w:rFonts w:hAnsi="宋体"/>
                <w:bCs/>
                <w:sz w:val="24"/>
              </w:rPr>
            </w:pPr>
            <w:r>
              <w:rPr>
                <w:rFonts w:hint="eastAsia" w:hAnsi="宋体"/>
                <w:bCs/>
                <w:sz w:val="24"/>
              </w:rPr>
              <w:t>投标价（单位：人民币元）</w:t>
            </w:r>
          </w:p>
        </w:tc>
      </w:tr>
      <w:tr>
        <w:tblPrEx>
          <w:tblLayout w:type="fixed"/>
        </w:tblPrEx>
        <w:trPr>
          <w:trHeight w:val="835" w:hRule="atLeast"/>
          <w:jc w:val="center"/>
        </w:trPr>
        <w:tc>
          <w:tcPr>
            <w:tcW w:w="737" w:type="dxa"/>
            <w:vAlign w:val="center"/>
          </w:tcPr>
          <w:p>
            <w:pPr>
              <w:jc w:val="center"/>
              <w:rPr>
                <w:rFonts w:hAnsi="宋体"/>
                <w:sz w:val="24"/>
              </w:rPr>
            </w:pPr>
            <w:r>
              <w:rPr>
                <w:rFonts w:hint="eastAsia" w:hAnsi="宋体"/>
                <w:sz w:val="24"/>
              </w:rPr>
              <w:t>1</w:t>
            </w:r>
          </w:p>
        </w:tc>
        <w:tc>
          <w:tcPr>
            <w:tcW w:w="1886" w:type="dxa"/>
            <w:vAlign w:val="center"/>
          </w:tcPr>
          <w:p>
            <w:pPr>
              <w:jc w:val="center"/>
              <w:rPr>
                <w:rFonts w:hAnsi="宋体"/>
                <w:sz w:val="24"/>
              </w:rPr>
            </w:pPr>
            <w:r>
              <w:rPr>
                <w:rFonts w:hint="eastAsia" w:hAnsi="宋体"/>
                <w:sz w:val="24"/>
              </w:rPr>
              <w:t>投标总价</w:t>
            </w:r>
          </w:p>
        </w:tc>
        <w:tc>
          <w:tcPr>
            <w:tcW w:w="6305"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hAnsi="宋体"/>
                <w:sz w:val="24"/>
              </w:rPr>
            </w:pPr>
            <w:r>
              <w:rPr>
                <w:rFonts w:hint="eastAsia" w:hAnsi="宋体"/>
                <w:sz w:val="24"/>
              </w:rPr>
              <w:t>小写：</w:t>
            </w:r>
          </w:p>
        </w:tc>
      </w:tr>
      <w:tr>
        <w:tblPrEx>
          <w:tblLayout w:type="fixed"/>
        </w:tblPrEx>
        <w:trPr>
          <w:trHeight w:val="835" w:hRule="atLeast"/>
          <w:jc w:val="center"/>
        </w:trPr>
        <w:tc>
          <w:tcPr>
            <w:tcW w:w="737" w:type="dxa"/>
            <w:vAlign w:val="center"/>
          </w:tcPr>
          <w:p>
            <w:pPr>
              <w:jc w:val="center"/>
              <w:rPr>
                <w:rFonts w:hAnsi="宋体"/>
                <w:sz w:val="24"/>
              </w:rPr>
            </w:pPr>
            <w:r>
              <w:rPr>
                <w:rFonts w:hint="eastAsia" w:hAnsi="宋体"/>
                <w:sz w:val="24"/>
              </w:rPr>
              <w:t>其中</w:t>
            </w:r>
          </w:p>
        </w:tc>
        <w:tc>
          <w:tcPr>
            <w:tcW w:w="1886" w:type="dxa"/>
            <w:vAlign w:val="center"/>
          </w:tcPr>
          <w:p>
            <w:pPr>
              <w:jc w:val="center"/>
              <w:rPr>
                <w:rFonts w:hAnsi="宋体"/>
                <w:sz w:val="24"/>
              </w:rPr>
            </w:pPr>
            <w:r>
              <w:rPr>
                <w:rFonts w:hint="eastAsia" w:hAnsi="宋体"/>
                <w:sz w:val="24"/>
              </w:rPr>
              <w:t>不含税总价</w:t>
            </w:r>
          </w:p>
        </w:tc>
        <w:tc>
          <w:tcPr>
            <w:tcW w:w="6305" w:type="dxa"/>
            <w:gridSpan w:val="2"/>
            <w:vAlign w:val="center"/>
          </w:tcPr>
          <w:p>
            <w:pPr>
              <w:rPr>
                <w:rFonts w:hAnsi="宋体"/>
                <w:sz w:val="24"/>
              </w:rPr>
            </w:pPr>
            <w:r>
              <w:rPr>
                <w:rFonts w:hint="eastAsia" w:ascii="宋体" w:hAnsi="宋体"/>
                <w:sz w:val="24"/>
              </w:rPr>
              <w:t>大写</w:t>
            </w:r>
            <w:r>
              <w:rPr>
                <w:rFonts w:hint="eastAsia" w:hAnsi="宋体"/>
                <w:sz w:val="24"/>
              </w:rPr>
              <w:t>：</w:t>
            </w:r>
          </w:p>
          <w:p>
            <w:pPr>
              <w:rPr>
                <w:rFonts w:ascii="宋体" w:hAnsi="宋体"/>
                <w:sz w:val="24"/>
              </w:rPr>
            </w:pPr>
            <w:r>
              <w:rPr>
                <w:rFonts w:hint="eastAsia" w:hAnsi="宋体"/>
                <w:sz w:val="24"/>
              </w:rPr>
              <w:t>小写：</w:t>
            </w:r>
          </w:p>
        </w:tc>
      </w:tr>
      <w:tr>
        <w:tblPrEx>
          <w:tblLayout w:type="fixed"/>
        </w:tblPrEx>
        <w:trPr>
          <w:trHeight w:val="835" w:hRule="atLeast"/>
          <w:jc w:val="center"/>
        </w:trPr>
        <w:tc>
          <w:tcPr>
            <w:tcW w:w="737" w:type="dxa"/>
            <w:vAlign w:val="center"/>
          </w:tcPr>
          <w:p>
            <w:pPr>
              <w:jc w:val="center"/>
              <w:rPr>
                <w:rFonts w:hAnsi="宋体"/>
                <w:sz w:val="24"/>
              </w:rPr>
            </w:pPr>
            <w:r>
              <w:rPr>
                <w:rFonts w:hint="eastAsia" w:hAnsi="宋体"/>
                <w:sz w:val="24"/>
              </w:rPr>
              <w:t>2</w:t>
            </w:r>
          </w:p>
        </w:tc>
        <w:tc>
          <w:tcPr>
            <w:tcW w:w="1886" w:type="dxa"/>
            <w:vAlign w:val="center"/>
          </w:tcPr>
          <w:p>
            <w:pPr>
              <w:jc w:val="center"/>
              <w:rPr>
                <w:rFonts w:hAnsi="宋体"/>
                <w:sz w:val="24"/>
              </w:rPr>
            </w:pPr>
            <w:r>
              <w:rPr>
                <w:rFonts w:hint="eastAsia" w:hAnsi="宋体"/>
                <w:sz w:val="24"/>
              </w:rPr>
              <w:t>交货期</w:t>
            </w:r>
          </w:p>
        </w:tc>
        <w:tc>
          <w:tcPr>
            <w:tcW w:w="6305" w:type="dxa"/>
            <w:gridSpan w:val="2"/>
            <w:vAlign w:val="center"/>
          </w:tcPr>
          <w:p>
            <w:pPr>
              <w:rPr>
                <w:rFonts w:hAnsi="宋体"/>
                <w:sz w:val="24"/>
              </w:rPr>
            </w:pPr>
          </w:p>
        </w:tc>
      </w:tr>
      <w:tr>
        <w:tblPrEx>
          <w:tblLayout w:type="fixed"/>
        </w:tblPrEx>
        <w:trPr>
          <w:trHeight w:val="835" w:hRule="atLeast"/>
          <w:jc w:val="center"/>
        </w:trPr>
        <w:tc>
          <w:tcPr>
            <w:tcW w:w="737" w:type="dxa"/>
            <w:vAlign w:val="center"/>
          </w:tcPr>
          <w:p>
            <w:pPr>
              <w:jc w:val="center"/>
              <w:rPr>
                <w:rFonts w:hAnsi="宋体"/>
                <w:sz w:val="24"/>
              </w:rPr>
            </w:pPr>
            <w:r>
              <w:rPr>
                <w:rFonts w:hint="eastAsia" w:hAnsi="宋体"/>
                <w:sz w:val="24"/>
              </w:rPr>
              <w:t>3</w:t>
            </w:r>
          </w:p>
        </w:tc>
        <w:tc>
          <w:tcPr>
            <w:tcW w:w="1886" w:type="dxa"/>
            <w:vAlign w:val="center"/>
          </w:tcPr>
          <w:p>
            <w:pPr>
              <w:jc w:val="center"/>
              <w:rPr>
                <w:rFonts w:hAnsi="宋体"/>
                <w:sz w:val="24"/>
              </w:rPr>
            </w:pPr>
            <w:r>
              <w:rPr>
                <w:rFonts w:hint="eastAsia" w:hAnsi="宋体"/>
                <w:sz w:val="24"/>
              </w:rPr>
              <w:t>质量标准</w:t>
            </w:r>
          </w:p>
        </w:tc>
        <w:tc>
          <w:tcPr>
            <w:tcW w:w="6305" w:type="dxa"/>
            <w:gridSpan w:val="2"/>
            <w:vAlign w:val="center"/>
          </w:tcPr>
          <w:p>
            <w:pPr>
              <w:rPr>
                <w:rFonts w:hAnsi="宋体"/>
                <w:sz w:val="24"/>
              </w:rPr>
            </w:pPr>
          </w:p>
        </w:tc>
      </w:tr>
      <w:tr>
        <w:tblPrEx>
          <w:tblLayout w:type="fixed"/>
        </w:tblPrEx>
        <w:trPr>
          <w:trHeight w:val="835" w:hRule="atLeast"/>
          <w:jc w:val="center"/>
        </w:trPr>
        <w:tc>
          <w:tcPr>
            <w:tcW w:w="737" w:type="dxa"/>
            <w:vAlign w:val="center"/>
          </w:tcPr>
          <w:p>
            <w:pPr>
              <w:jc w:val="center"/>
              <w:rPr>
                <w:rFonts w:hAnsi="宋体"/>
                <w:sz w:val="24"/>
              </w:rPr>
            </w:pPr>
            <w:r>
              <w:rPr>
                <w:rFonts w:hint="eastAsia" w:hAnsi="宋体"/>
                <w:sz w:val="24"/>
              </w:rPr>
              <w:t>4</w:t>
            </w:r>
          </w:p>
        </w:tc>
        <w:tc>
          <w:tcPr>
            <w:tcW w:w="1886" w:type="dxa"/>
            <w:vAlign w:val="center"/>
          </w:tcPr>
          <w:p>
            <w:pPr>
              <w:jc w:val="center"/>
              <w:rPr>
                <w:rFonts w:hAnsi="宋体"/>
                <w:sz w:val="24"/>
              </w:rPr>
            </w:pPr>
            <w:r>
              <w:rPr>
                <w:rFonts w:hint="eastAsia" w:hAnsi="宋体"/>
                <w:sz w:val="24"/>
              </w:rPr>
              <w:t>保修期限</w:t>
            </w:r>
          </w:p>
        </w:tc>
        <w:tc>
          <w:tcPr>
            <w:tcW w:w="6305" w:type="dxa"/>
            <w:gridSpan w:val="2"/>
            <w:vAlign w:val="center"/>
          </w:tcPr>
          <w:p>
            <w:pPr>
              <w:rPr>
                <w:rFonts w:hAnsi="宋体"/>
                <w:sz w:val="24"/>
              </w:rPr>
            </w:pPr>
          </w:p>
        </w:tc>
      </w:tr>
      <w:tr>
        <w:tblPrEx>
          <w:tblLayout w:type="fixed"/>
        </w:tblPrEx>
        <w:trPr>
          <w:trHeight w:val="491" w:hRule="atLeast"/>
          <w:jc w:val="center"/>
        </w:trPr>
        <w:tc>
          <w:tcPr>
            <w:tcW w:w="737" w:type="dxa"/>
            <w:vMerge w:val="restart"/>
            <w:vAlign w:val="center"/>
          </w:tcPr>
          <w:p>
            <w:pPr>
              <w:jc w:val="center"/>
              <w:rPr>
                <w:rFonts w:hAnsi="宋体"/>
                <w:sz w:val="24"/>
              </w:rPr>
            </w:pPr>
            <w:r>
              <w:rPr>
                <w:rFonts w:hint="eastAsia" w:hAnsi="宋体"/>
                <w:sz w:val="24"/>
              </w:rPr>
              <w:t>5</w:t>
            </w:r>
          </w:p>
        </w:tc>
        <w:tc>
          <w:tcPr>
            <w:tcW w:w="1886" w:type="dxa"/>
            <w:vMerge w:val="restart"/>
            <w:vAlign w:val="center"/>
          </w:tcPr>
          <w:p>
            <w:pPr>
              <w:jc w:val="center"/>
              <w:rPr>
                <w:rFonts w:hAnsi="宋体"/>
                <w:sz w:val="24"/>
              </w:rPr>
            </w:pPr>
            <w:r>
              <w:rPr>
                <w:rFonts w:hint="eastAsia" w:hAnsi="宋体"/>
                <w:sz w:val="24"/>
              </w:rPr>
              <w:t>拟委派的项目负责人</w:t>
            </w:r>
          </w:p>
        </w:tc>
        <w:tc>
          <w:tcPr>
            <w:tcW w:w="1701" w:type="dxa"/>
            <w:vAlign w:val="center"/>
          </w:tcPr>
          <w:p>
            <w:pPr>
              <w:rPr>
                <w:rFonts w:hAnsi="宋体"/>
                <w:sz w:val="24"/>
              </w:rPr>
            </w:pPr>
            <w:r>
              <w:rPr>
                <w:rFonts w:hint="eastAsia" w:hAnsi="宋体"/>
                <w:sz w:val="24"/>
              </w:rPr>
              <w:t>姓名</w:t>
            </w:r>
          </w:p>
        </w:tc>
        <w:tc>
          <w:tcPr>
            <w:tcW w:w="4604" w:type="dxa"/>
            <w:vAlign w:val="center"/>
          </w:tcPr>
          <w:p>
            <w:pPr>
              <w:rPr>
                <w:rFonts w:hAnsi="宋体"/>
                <w:sz w:val="24"/>
              </w:rPr>
            </w:pPr>
          </w:p>
        </w:tc>
      </w:tr>
      <w:tr>
        <w:tblPrEx>
          <w:tblLayout w:type="fixed"/>
        </w:tblPrEx>
        <w:trPr>
          <w:trHeight w:val="491" w:hRule="atLeast"/>
          <w:jc w:val="center"/>
        </w:trPr>
        <w:tc>
          <w:tcPr>
            <w:tcW w:w="737" w:type="dxa"/>
            <w:vMerge w:val="continue"/>
            <w:vAlign w:val="center"/>
          </w:tcPr>
          <w:p>
            <w:pPr>
              <w:rPr>
                <w:rFonts w:hAnsi="宋体"/>
                <w:sz w:val="24"/>
              </w:rPr>
            </w:pPr>
          </w:p>
        </w:tc>
        <w:tc>
          <w:tcPr>
            <w:tcW w:w="1886" w:type="dxa"/>
            <w:vMerge w:val="continue"/>
            <w:vAlign w:val="center"/>
          </w:tcPr>
          <w:p>
            <w:pPr>
              <w:rPr>
                <w:rFonts w:hAnsi="宋体"/>
                <w:sz w:val="24"/>
              </w:rPr>
            </w:pPr>
          </w:p>
        </w:tc>
        <w:tc>
          <w:tcPr>
            <w:tcW w:w="1701" w:type="dxa"/>
            <w:vAlign w:val="center"/>
          </w:tcPr>
          <w:p>
            <w:pPr>
              <w:rPr>
                <w:rFonts w:hAnsi="宋体"/>
                <w:sz w:val="24"/>
              </w:rPr>
            </w:pPr>
            <w:r>
              <w:rPr>
                <w:rFonts w:hint="eastAsia" w:hAnsi="宋体"/>
                <w:sz w:val="24"/>
              </w:rPr>
              <w:t>技术职称</w:t>
            </w:r>
          </w:p>
        </w:tc>
        <w:tc>
          <w:tcPr>
            <w:tcW w:w="4604" w:type="dxa"/>
            <w:vAlign w:val="center"/>
          </w:tcPr>
          <w:p>
            <w:pPr>
              <w:rPr>
                <w:rFonts w:hAnsi="宋体"/>
                <w:sz w:val="24"/>
              </w:rPr>
            </w:pPr>
          </w:p>
        </w:tc>
      </w:tr>
      <w:tr>
        <w:tblPrEx>
          <w:tblLayout w:type="fixed"/>
        </w:tblPrEx>
        <w:trPr>
          <w:trHeight w:val="491" w:hRule="atLeast"/>
          <w:jc w:val="center"/>
        </w:trPr>
        <w:tc>
          <w:tcPr>
            <w:tcW w:w="737" w:type="dxa"/>
            <w:vMerge w:val="continue"/>
            <w:vAlign w:val="center"/>
          </w:tcPr>
          <w:p>
            <w:pPr>
              <w:rPr>
                <w:rFonts w:hAnsi="宋体"/>
                <w:sz w:val="24"/>
              </w:rPr>
            </w:pPr>
          </w:p>
        </w:tc>
        <w:tc>
          <w:tcPr>
            <w:tcW w:w="1886" w:type="dxa"/>
            <w:vMerge w:val="continue"/>
            <w:vAlign w:val="center"/>
          </w:tcPr>
          <w:p>
            <w:pPr>
              <w:rPr>
                <w:rFonts w:hAnsi="宋体"/>
                <w:sz w:val="24"/>
              </w:rPr>
            </w:pPr>
          </w:p>
        </w:tc>
        <w:tc>
          <w:tcPr>
            <w:tcW w:w="1701" w:type="dxa"/>
            <w:vAlign w:val="center"/>
          </w:tcPr>
          <w:p>
            <w:pPr>
              <w:rPr>
                <w:rFonts w:hAnsi="宋体"/>
                <w:sz w:val="24"/>
              </w:rPr>
            </w:pPr>
            <w:r>
              <w:rPr>
                <w:rFonts w:hint="eastAsia" w:hAnsi="宋体"/>
                <w:sz w:val="24"/>
              </w:rPr>
              <w:t>联系电话</w:t>
            </w:r>
          </w:p>
        </w:tc>
        <w:tc>
          <w:tcPr>
            <w:tcW w:w="4604" w:type="dxa"/>
            <w:vAlign w:val="center"/>
          </w:tcPr>
          <w:p>
            <w:pPr>
              <w:rPr>
                <w:rFonts w:hAnsi="宋体"/>
                <w:sz w:val="24"/>
              </w:rPr>
            </w:pPr>
          </w:p>
        </w:tc>
      </w:tr>
      <w:bookmarkEnd w:id="6"/>
    </w:tbl>
    <w:p>
      <w:pPr>
        <w:rPr>
          <w:rFonts w:hAnsi="宋体"/>
        </w:rPr>
      </w:pPr>
    </w:p>
    <w:p>
      <w:pPr>
        <w:spacing w:before="156" w:beforeLines="50" w:after="156" w:afterLines="50" w:line="360" w:lineRule="auto"/>
        <w:rPr>
          <w:rFonts w:hAnsi="宋体"/>
        </w:rPr>
      </w:pPr>
      <w:r>
        <w:rPr>
          <w:rFonts w:hint="eastAsia" w:hAnsi="宋体"/>
        </w:rPr>
        <w:t>注：（1）投标总价为人民币报价。</w:t>
      </w:r>
    </w:p>
    <w:p>
      <w:pPr>
        <w:tabs>
          <w:tab w:val="left" w:pos="8364"/>
        </w:tabs>
        <w:spacing w:before="156" w:beforeLines="50" w:after="156" w:afterLines="50" w:line="360" w:lineRule="auto"/>
        <w:ind w:firstLine="420" w:firstLineChars="200"/>
        <w:rPr>
          <w:rFonts w:hAnsi="宋体"/>
        </w:rPr>
      </w:pPr>
      <w:r>
        <w:rPr>
          <w:rFonts w:hint="eastAsia" w:hAnsi="宋体"/>
        </w:rPr>
        <w:t>（2）投标总价是所有需采购人支付的本次项目采购的金额总数，应包括竞选文件要求的全部内容，投标人完成本项目（如果中标）所必须的</w:t>
      </w:r>
      <w:r>
        <w:rPr>
          <w:rFonts w:hint="eastAsia" w:hAnsi="宋体"/>
          <w:bCs/>
        </w:rPr>
        <w:t>所有成本费用和投标人应承担的一切税费</w:t>
      </w:r>
      <w:r>
        <w:rPr>
          <w:rFonts w:hint="eastAsia" w:hAnsi="宋体"/>
        </w:rPr>
        <w:t>，包括但不限于全部人工费、材料、设备、工具、机具、安装运输、规费、措施费、合理利润、管理费、税费等及清理现场的费用、合同实施过程中应预见和不可预见的费用等等。</w:t>
      </w:r>
    </w:p>
    <w:p>
      <w:pPr>
        <w:tabs>
          <w:tab w:val="left" w:pos="8364"/>
        </w:tabs>
        <w:spacing w:before="156" w:beforeLines="50" w:after="156" w:afterLines="50" w:line="360" w:lineRule="auto"/>
        <w:rPr>
          <w:rFonts w:hAnsi="宋体"/>
        </w:rPr>
      </w:pPr>
      <w:r>
        <w:rPr>
          <w:rFonts w:hint="eastAsia" w:hAnsi="宋体"/>
        </w:rPr>
        <w:t>（3）若用小写表示的金额和用大写表示的金额不一致，以大写表示的金额为准。</w:t>
      </w:r>
    </w:p>
    <w:p>
      <w:pPr>
        <w:spacing w:before="156" w:beforeLines="50" w:after="156" w:afterLines="50" w:line="360" w:lineRule="auto"/>
        <w:rPr>
          <w:rFonts w:hAnsi="宋体"/>
          <w:szCs w:val="21"/>
        </w:rPr>
      </w:pPr>
      <w:r>
        <w:rPr>
          <w:rFonts w:hint="eastAsia" w:hAnsi="宋体"/>
          <w:szCs w:val="21"/>
        </w:rPr>
        <w:t>投标人名称（盖章）：</w:t>
      </w:r>
    </w:p>
    <w:p>
      <w:pPr>
        <w:spacing w:before="156" w:beforeLines="50" w:after="156" w:afterLines="50" w:line="360" w:lineRule="auto"/>
        <w:rPr>
          <w:rFonts w:hAnsi="宋体"/>
          <w:szCs w:val="21"/>
        </w:rPr>
      </w:pPr>
    </w:p>
    <w:p>
      <w:pPr>
        <w:widowControl/>
        <w:jc w:val="left"/>
        <w:rPr>
          <w:rFonts w:hAnsi="宋体"/>
          <w:szCs w:val="21"/>
        </w:rPr>
      </w:pPr>
      <w:r>
        <w:rPr>
          <w:rFonts w:hint="eastAsia" w:hAnsi="宋体"/>
          <w:szCs w:val="21"/>
        </w:rPr>
        <w:t>日期：</w:t>
      </w:r>
    </w:p>
    <w:p>
      <w:pPr>
        <w:widowControl/>
        <w:jc w:val="left"/>
        <w:rPr>
          <w:rFonts w:hAnsi="宋体"/>
          <w:szCs w:val="21"/>
        </w:rPr>
      </w:pPr>
    </w:p>
    <w:p>
      <w:pPr>
        <w:widowControl/>
        <w:jc w:val="left"/>
        <w:rPr>
          <w:rFonts w:hAnsi="宋体"/>
          <w:szCs w:val="21"/>
        </w:rPr>
      </w:pPr>
      <w:r>
        <w:rPr>
          <w:rFonts w:hAnsi="宋体"/>
          <w:szCs w:val="21"/>
        </w:rPr>
        <w:br w:type="page"/>
      </w:r>
    </w:p>
    <w:p>
      <w:pPr>
        <w:widowControl/>
        <w:jc w:val="left"/>
        <w:rPr>
          <w:rFonts w:ascii="宋体" w:hAnsi="宋体" w:cs="宋体"/>
          <w:kern w:val="0"/>
          <w:sz w:val="24"/>
        </w:rPr>
      </w:pPr>
      <w:r>
        <w:rPr>
          <w:rFonts w:hint="eastAsia" w:ascii="宋体" w:hAnsi="宋体"/>
          <w:sz w:val="32"/>
        </w:rPr>
        <w:t>附件</w:t>
      </w:r>
      <w:r>
        <w:rPr>
          <w:rFonts w:ascii="宋体" w:hAnsi="宋体"/>
          <w:sz w:val="32"/>
        </w:rPr>
        <w:t>3</w:t>
      </w:r>
    </w:p>
    <w:tbl>
      <w:tblPr>
        <w:tblStyle w:val="44"/>
        <w:tblW w:w="9356" w:type="dxa"/>
        <w:tblInd w:w="-34" w:type="dxa"/>
        <w:tblLayout w:type="fixed"/>
        <w:tblCellMar>
          <w:top w:w="0" w:type="dxa"/>
          <w:left w:w="108" w:type="dxa"/>
          <w:bottom w:w="0" w:type="dxa"/>
          <w:right w:w="108" w:type="dxa"/>
        </w:tblCellMar>
      </w:tblPr>
      <w:tblGrid>
        <w:gridCol w:w="981"/>
        <w:gridCol w:w="91"/>
        <w:gridCol w:w="346"/>
        <w:gridCol w:w="189"/>
        <w:gridCol w:w="1585"/>
        <w:gridCol w:w="1060"/>
        <w:gridCol w:w="740"/>
        <w:gridCol w:w="1180"/>
        <w:gridCol w:w="440"/>
        <w:gridCol w:w="236"/>
        <w:gridCol w:w="723"/>
        <w:gridCol w:w="1785"/>
      </w:tblGrid>
      <w:tr>
        <w:tblPrEx>
          <w:tblLayout w:type="fixed"/>
        </w:tblPrEx>
        <w:trPr>
          <w:trHeight w:val="444" w:hRule="atLeast"/>
        </w:trPr>
        <w:tc>
          <w:tcPr>
            <w:tcW w:w="9356" w:type="dxa"/>
            <w:gridSpan w:val="12"/>
            <w:tcBorders>
              <w:top w:val="nil"/>
              <w:left w:val="nil"/>
              <w:bottom w:val="nil"/>
              <w:right w:val="nil"/>
            </w:tcBorders>
            <w:shd w:val="clear" w:color="auto" w:fill="auto"/>
            <w:vAlign w:val="center"/>
          </w:tcPr>
          <w:p>
            <w:pPr>
              <w:widowControl/>
              <w:ind w:firstLine="3080" w:firstLineChars="700"/>
              <w:rPr>
                <w:rFonts w:ascii="黑体" w:hAnsi="黑体" w:eastAsia="黑体" w:cs="宋体"/>
                <w:kern w:val="0"/>
                <w:sz w:val="44"/>
                <w:szCs w:val="44"/>
              </w:rPr>
            </w:pPr>
            <w:bookmarkStart w:id="7" w:name="_Hlk33473319"/>
            <w:r>
              <w:rPr>
                <w:rFonts w:hint="eastAsia" w:ascii="黑体" w:hAnsi="黑体" w:eastAsia="黑体" w:cs="宋体"/>
                <w:kern w:val="0"/>
                <w:sz w:val="44"/>
                <w:szCs w:val="44"/>
              </w:rPr>
              <w:t>供应商调查表</w:t>
            </w:r>
          </w:p>
        </w:tc>
      </w:tr>
      <w:tr>
        <w:tblPrEx>
          <w:tblLayout w:type="fixed"/>
        </w:tblPrEx>
        <w:trPr>
          <w:trHeight w:val="399" w:hRule="atLeast"/>
        </w:trPr>
        <w:tc>
          <w:tcPr>
            <w:tcW w:w="9356" w:type="dxa"/>
            <w:gridSpan w:val="12"/>
            <w:tcBorders>
              <w:top w:val="nil"/>
              <w:left w:val="nil"/>
              <w:bottom w:val="single" w:color="auto" w:sz="8" w:space="0"/>
              <w:right w:val="nil"/>
            </w:tcBorders>
            <w:shd w:val="clear" w:color="auto" w:fill="auto"/>
            <w:vAlign w:val="center"/>
          </w:tcPr>
          <w:p>
            <w:pPr>
              <w:widowControl/>
              <w:ind w:firstLine="200"/>
              <w:rPr>
                <w:rFonts w:ascii="宋体" w:hAnsi="宋体" w:cs="宋体"/>
                <w:kern w:val="0"/>
                <w:sz w:val="28"/>
                <w:szCs w:val="28"/>
              </w:rPr>
            </w:pPr>
            <w:r>
              <w:rPr>
                <w:rFonts w:hint="eastAsia" w:ascii="宋体" w:hAnsi="宋体" w:cs="宋体"/>
                <w:kern w:val="0"/>
                <w:sz w:val="28"/>
                <w:szCs w:val="28"/>
              </w:rPr>
              <w:t>项目名称：</w:t>
            </w:r>
            <w:r>
              <w:rPr>
                <w:rFonts w:hint="eastAsia" w:hAnsi="宋体"/>
                <w:sz w:val="24"/>
                <w:szCs w:val="22"/>
                <w:lang w:val="zh-CN"/>
              </w:rPr>
              <w:t>印象文化公司贵宾接待电瓶车项目</w:t>
            </w:r>
          </w:p>
        </w:tc>
      </w:tr>
      <w:tr>
        <w:tblPrEx>
          <w:tblLayout w:type="fixed"/>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 xml:space="preserve">供应商名称 </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法人代表</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详细地址</w:t>
            </w:r>
          </w:p>
        </w:tc>
        <w:tc>
          <w:tcPr>
            <w:tcW w:w="4754"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邮    编</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PrEx>
        <w:trPr>
          <w:trHeight w:val="876"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成立日期</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营业执照号码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发证机构</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PrEx>
        <w:trPr>
          <w:trHeight w:val="399" w:hRule="atLeast"/>
        </w:trPr>
        <w:tc>
          <w:tcPr>
            <w:tcW w:w="1418"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固定电话号码</w:t>
            </w:r>
          </w:p>
        </w:tc>
        <w:tc>
          <w:tcPr>
            <w:tcW w:w="1774"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060"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传真号码</w:t>
            </w: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399"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注册资金</w:t>
            </w:r>
          </w:p>
        </w:tc>
        <w:tc>
          <w:tcPr>
            <w:tcW w:w="1785"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ind w:firstLine="200"/>
              <w:jc w:val="center"/>
              <w:rPr>
                <w:rFonts w:ascii="宋体" w:hAnsi="宋体" w:cs="宋体"/>
                <w:kern w:val="0"/>
                <w:sz w:val="24"/>
              </w:rPr>
            </w:pPr>
          </w:p>
        </w:tc>
      </w:tr>
      <w:tr>
        <w:tblPrEx>
          <w:tblLayout w:type="fixed"/>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公司类型</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机构性质</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项目联系人</w:t>
            </w:r>
          </w:p>
        </w:tc>
        <w:tc>
          <w:tcPr>
            <w:tcW w:w="3385"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c>
          <w:tcPr>
            <w:tcW w:w="16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联系电话</w:t>
            </w:r>
          </w:p>
        </w:tc>
        <w:tc>
          <w:tcPr>
            <w:tcW w:w="2744" w:type="dxa"/>
            <w:gridSpan w:val="3"/>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left"/>
              <w:rPr>
                <w:rFonts w:ascii="宋体" w:hAnsi="宋体" w:cs="宋体"/>
                <w:b/>
                <w:bCs/>
                <w:kern w:val="0"/>
                <w:sz w:val="24"/>
              </w:rPr>
            </w:pPr>
          </w:p>
        </w:tc>
      </w:tr>
      <w:tr>
        <w:tblPrEx>
          <w:tblLayout w:type="fixed"/>
        </w:tblPrEx>
        <w:trPr>
          <w:trHeight w:val="399"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经营范围</w:t>
            </w:r>
          </w:p>
        </w:tc>
        <w:tc>
          <w:tcPr>
            <w:tcW w:w="7749" w:type="dxa"/>
            <w:gridSpan w:val="8"/>
            <w:tcBorders>
              <w:top w:val="single" w:color="auto" w:sz="8" w:space="0"/>
              <w:left w:val="single" w:color="auto" w:sz="8" w:space="0"/>
              <w:bottom w:val="single" w:color="auto" w:sz="8" w:space="0"/>
              <w:right w:val="single" w:color="auto" w:sz="8" w:space="0"/>
            </w:tcBorders>
            <w:shd w:val="clear" w:color="auto" w:fill="auto"/>
            <w:vAlign w:val="center"/>
          </w:tcPr>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p>
            <w:pPr>
              <w:widowControl/>
              <w:rPr>
                <w:rFonts w:ascii="宋体" w:hAnsi="宋体" w:cs="宋体"/>
                <w:b/>
                <w:bCs/>
                <w:kern w:val="0"/>
                <w:sz w:val="24"/>
              </w:rPr>
            </w:pPr>
          </w:p>
        </w:tc>
      </w:tr>
      <w:tr>
        <w:tblPrEx>
          <w:tblLayout w:type="fixed"/>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资质证书（认证项目）名称</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发证机关</w:t>
            </w:r>
          </w:p>
        </w:tc>
      </w:tr>
      <w:tr>
        <w:tblPrEx>
          <w:tblLayout w:type="fixed"/>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91" w:type="dxa"/>
            <w:gridSpan w:val="7"/>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PrEx>
        <w:trPr>
          <w:trHeight w:val="397" w:hRule="atLeast"/>
        </w:trPr>
        <w:tc>
          <w:tcPr>
            <w:tcW w:w="1607"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主要服务行业</w:t>
            </w:r>
          </w:p>
        </w:tc>
        <w:tc>
          <w:tcPr>
            <w:tcW w:w="2645"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1920" w:type="dxa"/>
            <w:gridSpan w:val="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主要客户</w:t>
            </w:r>
          </w:p>
        </w:tc>
        <w:tc>
          <w:tcPr>
            <w:tcW w:w="3184" w:type="dxa"/>
            <w:gridSpan w:val="4"/>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PrEx>
        <w:trPr>
          <w:trHeight w:val="397" w:hRule="atLeast"/>
        </w:trPr>
        <w:tc>
          <w:tcPr>
            <w:tcW w:w="9356" w:type="dxa"/>
            <w:gridSpan w:val="12"/>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近三年类似业绩</w:t>
            </w:r>
          </w:p>
        </w:tc>
      </w:tr>
      <w:tr>
        <w:tblPrEx>
          <w:tblLayout w:type="fixed"/>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序号</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服务单位</w:t>
            </w: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项目内容</w:t>
            </w:r>
          </w:p>
        </w:tc>
      </w:tr>
      <w:tr>
        <w:tblPrEx>
          <w:tblLayout w:type="fixed"/>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1</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2</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r>
      <w:tr>
        <w:tblPrEx>
          <w:tblLayout w:type="fixed"/>
        </w:tblPrEx>
        <w:trPr>
          <w:trHeight w:val="397" w:hRule="atLeast"/>
        </w:trPr>
        <w:tc>
          <w:tcPr>
            <w:tcW w:w="981" w:type="dxa"/>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kern w:val="0"/>
                <w:sz w:val="24"/>
              </w:rPr>
            </w:pPr>
            <w:r>
              <w:rPr>
                <w:rFonts w:hint="eastAsia" w:ascii="宋体" w:hAnsi="宋体" w:cs="宋体"/>
                <w:kern w:val="0"/>
                <w:sz w:val="24"/>
              </w:rPr>
              <w:t>3</w:t>
            </w:r>
          </w:p>
        </w:tc>
        <w:tc>
          <w:tcPr>
            <w:tcW w:w="3271" w:type="dxa"/>
            <w:gridSpan w:val="5"/>
            <w:tcBorders>
              <w:top w:val="single" w:color="auto" w:sz="8" w:space="0"/>
              <w:left w:val="single" w:color="auto" w:sz="8" w:space="0"/>
              <w:bottom w:val="single" w:color="auto" w:sz="8" w:space="0"/>
              <w:right w:val="single" w:color="auto" w:sz="8" w:space="0"/>
            </w:tcBorders>
            <w:shd w:val="clear" w:color="auto" w:fill="auto"/>
            <w:vAlign w:val="center"/>
          </w:tcPr>
          <w:p>
            <w:pPr>
              <w:widowControl/>
              <w:jc w:val="center"/>
              <w:rPr>
                <w:rFonts w:ascii="宋体" w:hAnsi="宋体" w:cs="宋体"/>
                <w:b/>
                <w:bCs/>
                <w:kern w:val="0"/>
                <w:sz w:val="24"/>
              </w:rPr>
            </w:pPr>
          </w:p>
        </w:tc>
        <w:tc>
          <w:tcPr>
            <w:tcW w:w="5104" w:type="dxa"/>
            <w:gridSpan w:val="6"/>
            <w:tcBorders>
              <w:top w:val="single" w:color="auto" w:sz="8" w:space="0"/>
              <w:left w:val="single" w:color="auto" w:sz="8" w:space="0"/>
              <w:bottom w:val="single" w:color="auto" w:sz="8" w:space="0"/>
              <w:right w:val="single" w:color="auto" w:sz="8" w:space="0"/>
            </w:tcBorders>
            <w:shd w:val="clear" w:color="auto" w:fill="auto"/>
          </w:tcPr>
          <w:p>
            <w:pPr>
              <w:widowControl/>
              <w:jc w:val="center"/>
              <w:rPr>
                <w:b/>
                <w:bCs/>
                <w:kern w:val="0"/>
                <w:sz w:val="24"/>
              </w:rPr>
            </w:pPr>
          </w:p>
        </w:tc>
      </w:tr>
      <w:tr>
        <w:tblPrEx>
          <w:tblLayout w:type="fixed"/>
        </w:tblPrEx>
        <w:trPr>
          <w:trHeight w:val="399" w:hRule="atLeast"/>
        </w:trPr>
        <w:tc>
          <w:tcPr>
            <w:tcW w:w="1072" w:type="dxa"/>
            <w:gridSpan w:val="2"/>
            <w:tcBorders>
              <w:top w:val="single" w:color="auto" w:sz="8" w:space="0"/>
              <w:left w:val="nil"/>
              <w:bottom w:val="nil"/>
              <w:right w:val="nil"/>
            </w:tcBorders>
            <w:shd w:val="clear" w:color="auto" w:fill="auto"/>
            <w:vAlign w:val="center"/>
          </w:tcPr>
          <w:p>
            <w:pPr>
              <w:widowControl/>
              <w:ind w:firstLine="200"/>
              <w:jc w:val="left"/>
              <w:rPr>
                <w:rFonts w:cs="宋体"/>
                <w:kern w:val="0"/>
                <w:szCs w:val="21"/>
              </w:rPr>
            </w:pPr>
          </w:p>
        </w:tc>
        <w:tc>
          <w:tcPr>
            <w:tcW w:w="535" w:type="dxa"/>
            <w:gridSpan w:val="2"/>
            <w:tcBorders>
              <w:top w:val="single" w:color="auto" w:sz="8" w:space="0"/>
              <w:left w:val="nil"/>
              <w:bottom w:val="nil"/>
              <w:right w:val="nil"/>
            </w:tcBorders>
            <w:shd w:val="clear" w:color="auto" w:fill="auto"/>
            <w:vAlign w:val="center"/>
          </w:tcPr>
          <w:p>
            <w:pPr>
              <w:widowControl/>
              <w:ind w:firstLine="200"/>
              <w:jc w:val="left"/>
              <w:rPr>
                <w:rFonts w:cs="宋体"/>
                <w:kern w:val="0"/>
                <w:szCs w:val="21"/>
              </w:rPr>
            </w:pPr>
          </w:p>
        </w:tc>
        <w:tc>
          <w:tcPr>
            <w:tcW w:w="1585" w:type="dxa"/>
            <w:tcBorders>
              <w:top w:val="single" w:color="auto" w:sz="8" w:space="0"/>
              <w:left w:val="nil"/>
              <w:bottom w:val="nil"/>
              <w:right w:val="nil"/>
            </w:tcBorders>
            <w:shd w:val="clear" w:color="auto" w:fill="auto"/>
            <w:vAlign w:val="center"/>
          </w:tcPr>
          <w:p>
            <w:pPr>
              <w:widowControl/>
              <w:ind w:firstLine="200"/>
              <w:jc w:val="left"/>
              <w:rPr>
                <w:rFonts w:cs="宋体"/>
                <w:kern w:val="0"/>
                <w:szCs w:val="21"/>
              </w:rPr>
            </w:pPr>
          </w:p>
        </w:tc>
        <w:tc>
          <w:tcPr>
            <w:tcW w:w="1060" w:type="dxa"/>
            <w:tcBorders>
              <w:top w:val="single" w:color="auto" w:sz="8" w:space="0"/>
              <w:left w:val="nil"/>
              <w:bottom w:val="nil"/>
              <w:right w:val="nil"/>
            </w:tcBorders>
            <w:shd w:val="clear" w:color="auto" w:fill="auto"/>
            <w:vAlign w:val="center"/>
          </w:tcPr>
          <w:p>
            <w:pPr>
              <w:widowControl/>
              <w:ind w:firstLine="200"/>
              <w:jc w:val="left"/>
              <w:rPr>
                <w:rFonts w:cs="宋体"/>
                <w:kern w:val="0"/>
                <w:szCs w:val="21"/>
              </w:rPr>
            </w:pPr>
          </w:p>
        </w:tc>
        <w:tc>
          <w:tcPr>
            <w:tcW w:w="740" w:type="dxa"/>
            <w:tcBorders>
              <w:top w:val="single" w:color="auto" w:sz="8" w:space="0"/>
              <w:left w:val="nil"/>
              <w:bottom w:val="nil"/>
              <w:right w:val="nil"/>
            </w:tcBorders>
            <w:shd w:val="clear" w:color="auto" w:fill="auto"/>
            <w:vAlign w:val="center"/>
          </w:tcPr>
          <w:p>
            <w:pPr>
              <w:widowControl/>
              <w:ind w:firstLine="200"/>
              <w:jc w:val="left"/>
              <w:rPr>
                <w:rFonts w:cs="宋体"/>
                <w:kern w:val="0"/>
                <w:szCs w:val="21"/>
              </w:rPr>
            </w:pPr>
          </w:p>
        </w:tc>
        <w:tc>
          <w:tcPr>
            <w:tcW w:w="1180" w:type="dxa"/>
            <w:tcBorders>
              <w:top w:val="single" w:color="auto" w:sz="8" w:space="0"/>
              <w:left w:val="nil"/>
              <w:bottom w:val="nil"/>
              <w:right w:val="nil"/>
            </w:tcBorders>
            <w:shd w:val="clear" w:color="auto" w:fill="auto"/>
            <w:vAlign w:val="center"/>
          </w:tcPr>
          <w:p>
            <w:pPr>
              <w:widowControl/>
              <w:ind w:firstLine="200"/>
              <w:jc w:val="left"/>
              <w:rPr>
                <w:rFonts w:cs="宋体"/>
                <w:kern w:val="0"/>
                <w:szCs w:val="21"/>
              </w:rPr>
            </w:pPr>
          </w:p>
        </w:tc>
        <w:tc>
          <w:tcPr>
            <w:tcW w:w="440" w:type="dxa"/>
            <w:tcBorders>
              <w:top w:val="single" w:color="auto" w:sz="8" w:space="0"/>
              <w:left w:val="nil"/>
              <w:bottom w:val="nil"/>
              <w:right w:val="nil"/>
            </w:tcBorders>
            <w:shd w:val="clear" w:color="auto" w:fill="auto"/>
            <w:vAlign w:val="center"/>
          </w:tcPr>
          <w:p>
            <w:pPr>
              <w:widowControl/>
              <w:ind w:firstLine="200"/>
              <w:jc w:val="left"/>
              <w:rPr>
                <w:rFonts w:cs="宋体"/>
                <w:kern w:val="0"/>
                <w:szCs w:val="21"/>
              </w:rPr>
            </w:pPr>
          </w:p>
        </w:tc>
        <w:tc>
          <w:tcPr>
            <w:tcW w:w="236" w:type="dxa"/>
            <w:tcBorders>
              <w:top w:val="single" w:color="auto" w:sz="8" w:space="0"/>
              <w:left w:val="nil"/>
              <w:bottom w:val="nil"/>
              <w:right w:val="nil"/>
            </w:tcBorders>
            <w:shd w:val="clear" w:color="auto" w:fill="auto"/>
            <w:vAlign w:val="center"/>
          </w:tcPr>
          <w:p>
            <w:pPr>
              <w:widowControl/>
              <w:ind w:firstLine="200"/>
              <w:jc w:val="left"/>
              <w:rPr>
                <w:rFonts w:cs="宋体"/>
                <w:kern w:val="0"/>
                <w:szCs w:val="21"/>
              </w:rPr>
            </w:pPr>
          </w:p>
        </w:tc>
        <w:tc>
          <w:tcPr>
            <w:tcW w:w="723" w:type="dxa"/>
            <w:tcBorders>
              <w:top w:val="single" w:color="auto" w:sz="8" w:space="0"/>
              <w:left w:val="nil"/>
              <w:bottom w:val="nil"/>
              <w:right w:val="nil"/>
            </w:tcBorders>
            <w:shd w:val="clear" w:color="auto" w:fill="auto"/>
            <w:vAlign w:val="center"/>
          </w:tcPr>
          <w:p>
            <w:pPr>
              <w:widowControl/>
              <w:ind w:firstLine="200"/>
              <w:jc w:val="left"/>
              <w:rPr>
                <w:rFonts w:cs="宋体"/>
                <w:kern w:val="0"/>
                <w:szCs w:val="21"/>
              </w:rPr>
            </w:pPr>
          </w:p>
        </w:tc>
        <w:tc>
          <w:tcPr>
            <w:tcW w:w="1785" w:type="dxa"/>
            <w:tcBorders>
              <w:top w:val="single" w:color="auto" w:sz="8" w:space="0"/>
              <w:left w:val="nil"/>
              <w:bottom w:val="nil"/>
              <w:right w:val="nil"/>
            </w:tcBorders>
            <w:shd w:val="clear" w:color="auto" w:fill="auto"/>
            <w:vAlign w:val="center"/>
          </w:tcPr>
          <w:p>
            <w:pPr>
              <w:widowControl/>
              <w:ind w:firstLine="200"/>
              <w:jc w:val="left"/>
              <w:rPr>
                <w:rFonts w:cs="宋体"/>
                <w:kern w:val="0"/>
                <w:szCs w:val="21"/>
              </w:rPr>
            </w:pPr>
          </w:p>
        </w:tc>
      </w:tr>
      <w:tr>
        <w:tblPrEx>
          <w:tblLayout w:type="fixed"/>
        </w:tblPrEx>
        <w:trPr>
          <w:trHeight w:val="399" w:hRule="atLeast"/>
        </w:trPr>
        <w:tc>
          <w:tcPr>
            <w:tcW w:w="9356" w:type="dxa"/>
            <w:gridSpan w:val="12"/>
            <w:tcBorders>
              <w:top w:val="nil"/>
              <w:left w:val="nil"/>
              <w:bottom w:val="nil"/>
              <w:right w:val="nil"/>
            </w:tcBorders>
            <w:shd w:val="clear" w:color="auto" w:fill="auto"/>
            <w:vAlign w:val="center"/>
          </w:tcPr>
          <w:p>
            <w:pPr>
              <w:spacing w:line="400" w:lineRule="exact"/>
              <w:ind w:firstLine="200"/>
              <w:rPr>
                <w:sz w:val="28"/>
                <w:szCs w:val="28"/>
              </w:rPr>
            </w:pPr>
          </w:p>
          <w:p>
            <w:pPr>
              <w:spacing w:line="400" w:lineRule="exact"/>
              <w:rPr>
                <w:sz w:val="28"/>
                <w:szCs w:val="28"/>
              </w:rPr>
            </w:pPr>
            <w:r>
              <w:rPr>
                <w:rFonts w:hint="eastAsia"/>
                <w:sz w:val="28"/>
                <w:szCs w:val="28"/>
              </w:rPr>
              <w:t>报名单位（盖章）：</w:t>
            </w:r>
          </w:p>
        </w:tc>
      </w:tr>
    </w:tbl>
    <w:p>
      <w:pPr>
        <w:spacing w:line="400" w:lineRule="exact"/>
        <w:ind w:left="560" w:hanging="560" w:hangingChars="200"/>
        <w:rPr>
          <w:sz w:val="28"/>
          <w:szCs w:val="28"/>
        </w:rPr>
      </w:pPr>
    </w:p>
    <w:p>
      <w:pPr>
        <w:spacing w:line="400" w:lineRule="exact"/>
        <w:ind w:left="560" w:hanging="560" w:hangingChars="200"/>
        <w:rPr>
          <w:sz w:val="28"/>
          <w:szCs w:val="28"/>
        </w:rPr>
      </w:pPr>
      <w:r>
        <w:rPr>
          <w:rFonts w:hint="eastAsia"/>
          <w:sz w:val="28"/>
          <w:szCs w:val="28"/>
        </w:rPr>
        <w:t>日期：2021年月日</w:t>
      </w:r>
    </w:p>
    <w:bookmarkEnd w:id="7"/>
    <w:p>
      <w:pPr>
        <w:spacing w:line="400" w:lineRule="exact"/>
        <w:ind w:left="560" w:hanging="560" w:hangingChars="200"/>
        <w:rPr>
          <w:rFonts w:ascii="宋体" w:hAnsi="宋体"/>
          <w:sz w:val="32"/>
          <w:szCs w:val="22"/>
        </w:rPr>
      </w:pPr>
      <w:r>
        <w:rPr>
          <w:sz w:val="28"/>
          <w:szCs w:val="28"/>
        </w:rPr>
        <w:br w:type="page"/>
      </w:r>
      <w:r>
        <w:rPr>
          <w:rFonts w:hint="eastAsia" w:ascii="宋体" w:hAnsi="宋体"/>
          <w:sz w:val="32"/>
          <w:szCs w:val="22"/>
        </w:rPr>
        <w:t>附件4</w:t>
      </w:r>
    </w:p>
    <w:p>
      <w:pPr>
        <w:spacing w:line="500" w:lineRule="exact"/>
        <w:jc w:val="center"/>
        <w:rPr>
          <w:rFonts w:eastAsia="黑体"/>
          <w:b/>
          <w:bCs/>
          <w:sz w:val="36"/>
        </w:rPr>
      </w:pPr>
      <w:r>
        <w:rPr>
          <w:rFonts w:hint="eastAsia" w:eastAsia="黑体"/>
          <w:b/>
          <w:bCs/>
          <w:sz w:val="36"/>
        </w:rPr>
        <w:t>法定代表人身份证明书</w:t>
      </w:r>
    </w:p>
    <w:p>
      <w:pPr>
        <w:spacing w:line="500" w:lineRule="exact"/>
        <w:rPr>
          <w:b/>
          <w:bCs/>
          <w:szCs w:val="21"/>
        </w:rPr>
      </w:pPr>
    </w:p>
    <w:p>
      <w:pPr>
        <w:spacing w:line="500" w:lineRule="exact"/>
        <w:ind w:firstLine="1120" w:firstLineChars="400"/>
        <w:rPr>
          <w:rFonts w:ascii="宋体" w:hAnsi="宋体" w:cs="宋体"/>
          <w:sz w:val="28"/>
        </w:rPr>
      </w:pPr>
      <w:bookmarkStart w:id="8" w:name="_Hlk33473365"/>
      <w:r>
        <w:rPr>
          <w:rFonts w:hint="eastAsia" w:ascii="宋体" w:hAnsi="宋体" w:cs="宋体"/>
          <w:sz w:val="28"/>
        </w:rPr>
        <w:t>在我单位任职务，是我单位法定代表人，身份证号为，特此证明。</w:t>
      </w:r>
    </w:p>
    <w:p>
      <w:pPr>
        <w:spacing w:line="500" w:lineRule="exact"/>
        <w:ind w:firstLine="627" w:firstLineChars="224"/>
        <w:rPr>
          <w:rFonts w:ascii="宋体" w:hAnsi="宋体" w:cs="宋体"/>
          <w:sz w:val="28"/>
        </w:rPr>
      </w:pPr>
    </w:p>
    <w:p>
      <w:pPr>
        <w:spacing w:line="500" w:lineRule="exact"/>
        <w:jc w:val="left"/>
        <w:rPr>
          <w:rFonts w:ascii="宋体" w:hAnsi="宋体" w:cs="宋体"/>
          <w:sz w:val="28"/>
        </w:rPr>
      </w:pPr>
      <w:r>
        <w:rPr>
          <w:rFonts w:hint="eastAsia" w:ascii="宋体" w:hAnsi="宋体" w:cs="宋体"/>
          <w:sz w:val="28"/>
        </w:rPr>
        <w:t>（单位盖章）</w:t>
      </w:r>
    </w:p>
    <w:p>
      <w:pPr>
        <w:spacing w:line="500" w:lineRule="exact"/>
        <w:ind w:firstLine="627" w:firstLineChars="224"/>
        <w:rPr>
          <w:rFonts w:hAnsi="宋体" w:cs="宋体"/>
          <w:sz w:val="28"/>
          <w:szCs w:val="28"/>
        </w:rPr>
      </w:pPr>
    </w:p>
    <w:p>
      <w:pPr>
        <w:spacing w:line="500" w:lineRule="exact"/>
        <w:rPr>
          <w:rFonts w:ascii="宋体" w:hAnsi="宋体" w:cs="宋体"/>
          <w:sz w:val="28"/>
        </w:rPr>
      </w:pPr>
      <w:r>
        <w:rPr>
          <w:rFonts w:hint="eastAsia" w:hAnsi="宋体" w:cs="宋体"/>
          <w:sz w:val="28"/>
          <w:szCs w:val="28"/>
        </w:rPr>
        <w:t>日期：2021年月日</w:t>
      </w:r>
    </w:p>
    <w:p>
      <w:pPr>
        <w:spacing w:line="500" w:lineRule="exact"/>
        <w:rPr>
          <w:rFonts w:ascii="宋体" w:hAnsi="宋体" w:cs="宋体"/>
          <w:sz w:val="28"/>
        </w:rPr>
      </w:pPr>
      <w:r>
        <w:rPr>
          <w:rFonts w:hint="eastAsia" w:ascii="宋体" w:hAnsi="宋体" w:cs="宋体"/>
          <w:sz w:val="28"/>
        </w:rPr>
        <w:t xml:space="preserve">单位通信地址：                                </w:t>
      </w:r>
    </w:p>
    <w:p>
      <w:pPr>
        <w:spacing w:line="500" w:lineRule="exact"/>
        <w:rPr>
          <w:rFonts w:ascii="宋体" w:hAnsi="宋体" w:cs="宋体"/>
          <w:sz w:val="28"/>
        </w:rPr>
      </w:pPr>
    </w:p>
    <w:p>
      <w:pPr>
        <w:spacing w:line="500" w:lineRule="exact"/>
        <w:rPr>
          <w:rFonts w:ascii="宋体" w:hAnsi="宋体" w:cs="宋体"/>
          <w:sz w:val="28"/>
        </w:rPr>
      </w:pPr>
      <w:r>
        <w:rPr>
          <w:rFonts w:hint="eastAsia" w:ascii="宋体" w:hAnsi="宋体" w:cs="宋体"/>
          <w:sz w:val="28"/>
        </w:rPr>
        <w:t xml:space="preserve">邮政编码：                 单位联系电话：   </w:t>
      </w:r>
    </w:p>
    <w:p/>
    <w:p>
      <w:pPr>
        <w:spacing w:line="360" w:lineRule="auto"/>
        <w:rPr>
          <w:rFonts w:ascii="宋体" w:hAnsi="宋体" w:cs="Arial"/>
          <w:color w:val="000000"/>
          <w:sz w:val="28"/>
          <w:szCs w:val="28"/>
        </w:rPr>
      </w:pPr>
      <w:r>
        <w:rPr>
          <w:rFonts w:hint="eastAsia" w:ascii="宋体" w:hAnsi="宋体" w:cs="Arial"/>
          <w:color w:val="000000"/>
          <w:sz w:val="28"/>
          <w:szCs w:val="28"/>
        </w:rPr>
        <w:t>附：法人代表身份证正反面或其他身份证明材料复印件</w:t>
      </w:r>
    </w:p>
    <w:bookmarkEnd w:id="8"/>
    <w:p>
      <w:pPr>
        <w:spacing w:line="360" w:lineRule="auto"/>
        <w:rPr>
          <w:rFonts w:ascii="宋体" w:hAnsi="宋体" w:cs="Arial"/>
          <w:color w:val="000000"/>
          <w:sz w:val="28"/>
          <w:szCs w:val="28"/>
        </w:rPr>
      </w:pPr>
    </w:p>
    <w:p>
      <w:pPr>
        <w:spacing w:line="360" w:lineRule="auto"/>
        <w:rPr>
          <w:rFonts w:ascii="宋体" w:hAnsi="宋体"/>
          <w:sz w:val="32"/>
          <w:szCs w:val="22"/>
        </w:rPr>
      </w:pPr>
      <w:r>
        <w:rPr>
          <w:rFonts w:hint="eastAsia" w:ascii="宋体" w:hAnsi="宋体" w:cs="Arial"/>
          <w:color w:val="000000"/>
          <w:sz w:val="28"/>
          <w:szCs w:val="28"/>
        </w:rPr>
        <w:br w:type="page"/>
      </w:r>
      <w:r>
        <w:rPr>
          <w:rFonts w:hint="eastAsia" w:ascii="宋体" w:hAnsi="宋体"/>
          <w:sz w:val="32"/>
          <w:szCs w:val="22"/>
        </w:rPr>
        <w:t>附件5</w:t>
      </w:r>
    </w:p>
    <w:p>
      <w:pPr>
        <w:spacing w:line="500" w:lineRule="exact"/>
        <w:ind w:firstLine="2160" w:firstLineChars="600"/>
        <w:rPr>
          <w:rFonts w:eastAsia="黑体"/>
          <w:b/>
          <w:bCs/>
          <w:sz w:val="36"/>
        </w:rPr>
      </w:pPr>
      <w:r>
        <w:rPr>
          <w:rFonts w:hint="eastAsia" w:eastAsia="黑体"/>
          <w:b/>
          <w:bCs/>
          <w:sz w:val="36"/>
        </w:rPr>
        <w:t>法定代表人授权委托证明书</w:t>
      </w:r>
    </w:p>
    <w:p>
      <w:pPr>
        <w:pStyle w:val="47"/>
        <w:spacing w:line="360" w:lineRule="auto"/>
        <w:ind w:firstLine="424" w:firstLineChars="177"/>
        <w:rPr>
          <w:rFonts w:hAnsi="宋体"/>
          <w:bCs/>
          <w:sz w:val="24"/>
          <w:szCs w:val="24"/>
        </w:rPr>
      </w:pPr>
    </w:p>
    <w:p>
      <w:pPr>
        <w:pStyle w:val="47"/>
        <w:spacing w:line="360" w:lineRule="auto"/>
        <w:ind w:firstLine="480" w:firstLineChars="200"/>
        <w:rPr>
          <w:rFonts w:hAnsi="宋体"/>
          <w:sz w:val="24"/>
          <w:szCs w:val="24"/>
        </w:rPr>
      </w:pPr>
      <w:r>
        <w:rPr>
          <w:rFonts w:hint="eastAsia" w:hAnsi="宋体"/>
          <w:bCs/>
          <w:sz w:val="24"/>
          <w:szCs w:val="24"/>
        </w:rPr>
        <w:t>兹授权（委托代理人姓名）为我方委托代理人，其权限是：</w:t>
      </w:r>
      <w:r>
        <w:rPr>
          <w:rFonts w:hint="eastAsia" w:hAnsi="宋体"/>
          <w:sz w:val="24"/>
          <w:szCs w:val="24"/>
        </w:rPr>
        <w:t>办理                       （采购单位名称）组织的“                （项目名称）”的投标和合同执行，以我方的名义处理一切与之有关的事宜。</w:t>
      </w:r>
    </w:p>
    <w:p>
      <w:pPr>
        <w:pStyle w:val="47"/>
        <w:spacing w:line="360" w:lineRule="auto"/>
        <w:ind w:firstLine="480" w:firstLineChars="200"/>
        <w:rPr>
          <w:rFonts w:hAnsi="宋体"/>
          <w:bCs/>
          <w:sz w:val="24"/>
          <w:szCs w:val="24"/>
        </w:rPr>
      </w:pPr>
      <w:r>
        <w:rPr>
          <w:rFonts w:hint="eastAsia" w:hAnsi="宋体"/>
          <w:sz w:val="24"/>
          <w:szCs w:val="24"/>
          <w:lang w:val="en-GB"/>
        </w:rPr>
        <w:t>本</w:t>
      </w:r>
      <w:r>
        <w:rPr>
          <w:rFonts w:hint="eastAsia" w:hAnsi="宋体"/>
          <w:sz w:val="24"/>
          <w:szCs w:val="24"/>
        </w:rPr>
        <w:t>授权书</w:t>
      </w:r>
      <w:r>
        <w:rPr>
          <w:rFonts w:hint="eastAsia" w:hAnsi="宋体"/>
          <w:sz w:val="24"/>
          <w:szCs w:val="24"/>
          <w:lang w:val="en-GB"/>
        </w:rPr>
        <w:t>自</w:t>
      </w:r>
      <w:r>
        <w:rPr>
          <w:rFonts w:hint="eastAsia" w:hAnsi="宋体"/>
          <w:sz w:val="24"/>
          <w:szCs w:val="24"/>
        </w:rPr>
        <w:t>年月日</w:t>
      </w:r>
      <w:r>
        <w:rPr>
          <w:rFonts w:hint="eastAsia" w:hAnsi="宋体"/>
          <w:sz w:val="24"/>
          <w:szCs w:val="24"/>
          <w:lang w:val="en-GB"/>
        </w:rPr>
        <w:t>签章之日起生效，特此声明。</w:t>
      </w:r>
    </w:p>
    <w:p>
      <w:pPr>
        <w:pStyle w:val="47"/>
        <w:spacing w:line="360" w:lineRule="auto"/>
        <w:ind w:firstLine="480" w:firstLineChars="200"/>
        <w:rPr>
          <w:rFonts w:hAnsi="宋体"/>
          <w:sz w:val="24"/>
          <w:szCs w:val="24"/>
          <w:u w:val="single"/>
        </w:rPr>
      </w:pPr>
      <w:r>
        <w:rPr>
          <w:rFonts w:hint="eastAsia" w:hAnsi="宋体"/>
          <w:sz w:val="24"/>
          <w:szCs w:val="24"/>
        </w:rPr>
        <w:t>附：代理人性别：   年龄：   职务：</w:t>
      </w:r>
    </w:p>
    <w:p>
      <w:pPr>
        <w:pStyle w:val="47"/>
        <w:spacing w:line="360" w:lineRule="auto"/>
        <w:ind w:firstLine="480" w:firstLineChars="200"/>
        <w:rPr>
          <w:rFonts w:hAnsi="宋体"/>
          <w:sz w:val="24"/>
          <w:szCs w:val="24"/>
          <w:u w:val="single"/>
        </w:rPr>
      </w:pPr>
      <w:r>
        <w:rPr>
          <w:rFonts w:hint="eastAsia" w:hAnsi="宋体"/>
          <w:sz w:val="24"/>
          <w:szCs w:val="24"/>
        </w:rPr>
        <w:t>　　身份证号码：</w:t>
      </w:r>
    </w:p>
    <w:p>
      <w:pPr>
        <w:pStyle w:val="47"/>
        <w:spacing w:line="360" w:lineRule="auto"/>
        <w:ind w:firstLine="480" w:firstLineChars="200"/>
        <w:rPr>
          <w:rFonts w:hAnsi="宋体"/>
          <w:sz w:val="24"/>
          <w:szCs w:val="24"/>
          <w:u w:val="single"/>
        </w:rPr>
      </w:pPr>
      <w:r>
        <w:rPr>
          <w:rFonts w:hint="eastAsia" w:hAnsi="宋体"/>
          <w:sz w:val="24"/>
          <w:szCs w:val="24"/>
        </w:rPr>
        <w:t>　　（营业执照等）注册号码：</w:t>
      </w:r>
    </w:p>
    <w:p>
      <w:pPr>
        <w:pStyle w:val="47"/>
        <w:spacing w:line="360" w:lineRule="auto"/>
        <w:ind w:firstLine="480" w:firstLineChars="200"/>
        <w:rPr>
          <w:rFonts w:hAnsi="宋体"/>
          <w:sz w:val="24"/>
          <w:szCs w:val="24"/>
          <w:u w:val="single"/>
        </w:rPr>
      </w:pPr>
      <w:r>
        <w:rPr>
          <w:rFonts w:hint="eastAsia" w:hAnsi="宋体"/>
          <w:sz w:val="24"/>
          <w:szCs w:val="24"/>
        </w:rPr>
        <w:t>　　企业类型：</w:t>
      </w:r>
    </w:p>
    <w:p>
      <w:pPr>
        <w:pStyle w:val="47"/>
        <w:spacing w:line="360" w:lineRule="auto"/>
        <w:ind w:firstLine="480" w:firstLineChars="200"/>
        <w:rPr>
          <w:rFonts w:hAnsi="宋体"/>
          <w:sz w:val="24"/>
          <w:szCs w:val="24"/>
          <w:u w:val="single"/>
        </w:rPr>
      </w:pPr>
      <w:r>
        <w:rPr>
          <w:rFonts w:hint="eastAsia" w:hAnsi="宋体"/>
          <w:sz w:val="24"/>
          <w:szCs w:val="24"/>
        </w:rPr>
        <w:t>　　经营范围：</w:t>
      </w:r>
    </w:p>
    <w:p>
      <w:pPr>
        <w:pStyle w:val="47"/>
        <w:spacing w:line="360" w:lineRule="auto"/>
        <w:rPr>
          <w:rFonts w:hAnsi="宋体"/>
          <w:sz w:val="24"/>
          <w:szCs w:val="24"/>
        </w:rPr>
      </w:pPr>
      <w:r>
        <w:rPr>
          <w:rFonts w:hint="eastAsia" w:hAnsi="宋体"/>
          <w:sz w:val="24"/>
          <w:szCs w:val="24"/>
        </w:rPr>
        <w:t>附：被授权人有效身份证正反面或其他身份证明材料复印　　　　　　　</w:t>
      </w:r>
    </w:p>
    <w:p>
      <w:pPr>
        <w:pStyle w:val="48"/>
        <w:spacing w:line="360" w:lineRule="auto"/>
        <w:jc w:val="both"/>
        <w:rPr>
          <w:rFonts w:hAnsi="宋体"/>
          <w:sz w:val="24"/>
          <w:szCs w:val="24"/>
        </w:rPr>
      </w:pPr>
    </w:p>
    <w:p>
      <w:pPr>
        <w:pStyle w:val="48"/>
        <w:spacing w:line="360" w:lineRule="auto"/>
        <w:jc w:val="both"/>
        <w:rPr>
          <w:rFonts w:hAnsi="宋体" w:eastAsia="宋体" w:cs="宋体"/>
          <w:sz w:val="28"/>
        </w:rPr>
      </w:pPr>
    </w:p>
    <w:p>
      <w:pPr>
        <w:pStyle w:val="48"/>
        <w:spacing w:line="360" w:lineRule="auto"/>
        <w:jc w:val="both"/>
        <w:rPr>
          <w:rFonts w:hAnsi="宋体" w:eastAsia="宋体" w:cs="宋体"/>
          <w:sz w:val="28"/>
        </w:rPr>
      </w:pPr>
    </w:p>
    <w:p>
      <w:pPr>
        <w:pStyle w:val="48"/>
        <w:spacing w:line="360" w:lineRule="auto"/>
        <w:jc w:val="both"/>
        <w:rPr>
          <w:rFonts w:hAnsi="宋体" w:eastAsia="宋体" w:cs="宋体"/>
          <w:sz w:val="28"/>
        </w:rPr>
      </w:pPr>
    </w:p>
    <w:p>
      <w:pPr>
        <w:pStyle w:val="48"/>
        <w:spacing w:line="360" w:lineRule="auto"/>
        <w:jc w:val="both"/>
        <w:rPr>
          <w:rFonts w:hAnsi="宋体" w:eastAsia="宋体" w:cs="宋体"/>
          <w:sz w:val="28"/>
        </w:rPr>
      </w:pPr>
    </w:p>
    <w:p>
      <w:pPr>
        <w:pStyle w:val="48"/>
        <w:spacing w:line="360" w:lineRule="auto"/>
        <w:jc w:val="both"/>
        <w:rPr>
          <w:rFonts w:hAnsi="宋体" w:eastAsia="宋体" w:cs="宋体"/>
          <w:sz w:val="28"/>
        </w:rPr>
      </w:pPr>
    </w:p>
    <w:p>
      <w:pPr>
        <w:pStyle w:val="48"/>
        <w:spacing w:line="360" w:lineRule="auto"/>
        <w:jc w:val="both"/>
        <w:rPr>
          <w:rFonts w:hAnsi="宋体" w:eastAsia="宋体" w:cs="宋体"/>
          <w:sz w:val="24"/>
          <w:szCs w:val="24"/>
        </w:rPr>
      </w:pPr>
      <w:r>
        <w:rPr>
          <w:rFonts w:hint="eastAsia" w:hAnsi="宋体" w:eastAsia="宋体" w:cs="宋体"/>
          <w:sz w:val="24"/>
          <w:szCs w:val="24"/>
        </w:rPr>
        <w:t>（单位盖章）：</w:t>
      </w:r>
    </w:p>
    <w:p>
      <w:pPr>
        <w:pStyle w:val="48"/>
        <w:spacing w:line="360" w:lineRule="auto"/>
        <w:jc w:val="both"/>
        <w:rPr>
          <w:rFonts w:hAnsi="宋体" w:eastAsia="宋体" w:cs="宋体"/>
          <w:sz w:val="24"/>
          <w:szCs w:val="24"/>
        </w:rPr>
      </w:pPr>
    </w:p>
    <w:p>
      <w:pPr>
        <w:pStyle w:val="48"/>
        <w:spacing w:line="360" w:lineRule="auto"/>
        <w:jc w:val="both"/>
        <w:rPr>
          <w:rFonts w:hAnsi="宋体" w:eastAsia="宋体" w:cs="宋体"/>
          <w:sz w:val="24"/>
          <w:szCs w:val="24"/>
        </w:rPr>
      </w:pPr>
      <w:bookmarkStart w:id="9" w:name="_Hlk33473384"/>
      <w:r>
        <w:rPr>
          <w:rFonts w:hint="eastAsia" w:hAnsi="宋体" w:eastAsia="宋体" w:cs="宋体"/>
          <w:sz w:val="24"/>
          <w:szCs w:val="24"/>
        </w:rPr>
        <w:t>法定代表人（签字或盖章）：</w:t>
      </w:r>
    </w:p>
    <w:p>
      <w:pPr>
        <w:pStyle w:val="48"/>
        <w:spacing w:line="360" w:lineRule="auto"/>
        <w:jc w:val="both"/>
        <w:rPr>
          <w:rFonts w:hAnsi="宋体" w:eastAsia="宋体" w:cs="宋体"/>
          <w:sz w:val="24"/>
          <w:szCs w:val="24"/>
        </w:rPr>
      </w:pPr>
      <w:r>
        <w:rPr>
          <w:rFonts w:hint="eastAsia" w:hAnsi="宋体" w:eastAsia="宋体" w:cs="宋体"/>
          <w:sz w:val="24"/>
          <w:szCs w:val="24"/>
        </w:rPr>
        <w:t>被授权人（签字或盖章）：</w:t>
      </w:r>
    </w:p>
    <w:p>
      <w:pPr>
        <w:pStyle w:val="48"/>
        <w:spacing w:line="360" w:lineRule="auto"/>
        <w:jc w:val="both"/>
        <w:rPr>
          <w:rFonts w:hAnsi="宋体" w:eastAsia="宋体" w:cs="宋体"/>
          <w:sz w:val="24"/>
          <w:szCs w:val="24"/>
        </w:rPr>
      </w:pPr>
      <w:r>
        <w:rPr>
          <w:rFonts w:hint="eastAsia" w:hAnsi="宋体" w:eastAsia="宋体" w:cs="宋体"/>
          <w:sz w:val="24"/>
          <w:szCs w:val="24"/>
        </w:rPr>
        <w:t>日期： 2021年   月   日</w:t>
      </w:r>
    </w:p>
    <w:p>
      <w:pPr>
        <w:rPr>
          <w:sz w:val="24"/>
        </w:rPr>
      </w:pPr>
      <w:r>
        <w:rPr>
          <w:rFonts w:hint="eastAsia" w:hAnsi="宋体" w:cs="宋体"/>
          <w:sz w:val="24"/>
          <w:lang w:val="zh-CN"/>
        </w:rPr>
        <w:t>说明：法定代表人亲自办理投标事宜的，无需提交本证明书。</w:t>
      </w:r>
    </w:p>
    <w:bookmarkEnd w:id="9"/>
    <w:p>
      <w:pPr>
        <w:spacing w:line="360" w:lineRule="auto"/>
        <w:rPr>
          <w:sz w:val="28"/>
          <w:szCs w:val="28"/>
        </w:rPr>
      </w:pPr>
    </w:p>
    <w:p>
      <w:pPr>
        <w:widowControl/>
        <w:jc w:val="left"/>
        <w:rPr>
          <w:rFonts w:ascii="宋体" w:hAnsi="宋体"/>
          <w:sz w:val="32"/>
        </w:rPr>
      </w:pPr>
      <w:r>
        <w:rPr>
          <w:rFonts w:ascii="仿宋" w:hAnsi="仿宋" w:eastAsia="仿宋" w:cs="仿宋"/>
          <w:szCs w:val="21"/>
        </w:rPr>
        <w:br w:type="page"/>
      </w:r>
    </w:p>
    <w:p>
      <w:pPr>
        <w:rPr>
          <w:rFonts w:hAnsi="宋体"/>
          <w:sz w:val="30"/>
          <w:szCs w:val="30"/>
        </w:rPr>
      </w:pPr>
      <w:r>
        <w:rPr>
          <w:rFonts w:hint="eastAsia" w:ascii="宋体" w:hAnsi="宋体" w:cs="Arial"/>
          <w:color w:val="000000"/>
          <w:sz w:val="30"/>
          <w:szCs w:val="30"/>
        </w:rPr>
        <w:t>附件6</w:t>
      </w:r>
    </w:p>
    <w:p>
      <w:pPr>
        <w:ind w:firstLine="2880" w:firstLineChars="800"/>
        <w:rPr>
          <w:rFonts w:ascii="宋体" w:hAnsi="宋体" w:cs="宋体"/>
          <w:b/>
          <w:bCs/>
          <w:sz w:val="36"/>
          <w:szCs w:val="36"/>
        </w:rPr>
      </w:pPr>
      <w:r>
        <w:rPr>
          <w:rFonts w:hint="eastAsia" w:ascii="宋体" w:hAnsi="宋体" w:cs="宋体"/>
          <w:b/>
          <w:bCs/>
          <w:sz w:val="36"/>
          <w:szCs w:val="36"/>
        </w:rPr>
        <w:t>投标人资格审查表</w:t>
      </w:r>
    </w:p>
    <w:p>
      <w:pPr>
        <w:ind w:firstLine="2880" w:firstLineChars="800"/>
        <w:rPr>
          <w:rFonts w:ascii="宋体" w:hAnsi="宋体" w:cs="宋体"/>
          <w:b/>
          <w:bCs/>
          <w:sz w:val="36"/>
          <w:szCs w:val="36"/>
        </w:rPr>
      </w:pPr>
    </w:p>
    <w:p>
      <w:pPr>
        <w:spacing w:line="360" w:lineRule="auto"/>
        <w:rPr>
          <w:rFonts w:ascii="宋体" w:hAnsi="宋体"/>
          <w:bCs/>
          <w:szCs w:val="21"/>
        </w:rPr>
      </w:pPr>
      <w:r>
        <w:rPr>
          <w:rFonts w:hint="eastAsia" w:ascii="宋体" w:hAnsi="宋体"/>
          <w:bCs/>
          <w:szCs w:val="21"/>
        </w:rPr>
        <w:t>项目名称：</w:t>
      </w:r>
      <w:r>
        <w:rPr>
          <w:rFonts w:hint="eastAsia" w:hAnsi="宋体"/>
          <w:sz w:val="24"/>
          <w:szCs w:val="22"/>
          <w:lang w:val="zh-CN"/>
        </w:rPr>
        <w:t>印象文化公司贵宾接待电瓶车项目</w:t>
      </w:r>
    </w:p>
    <w:tbl>
      <w:tblPr>
        <w:tblStyle w:val="44"/>
        <w:tblW w:w="8924"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85"/>
        <w:gridCol w:w="7252"/>
        <w:gridCol w:w="987"/>
      </w:tblGrid>
      <w:tr>
        <w:tblPrEx>
          <w:tblLayout w:type="fixed"/>
        </w:tblPrEx>
        <w:trPr>
          <w:trHeight w:val="740" w:hRule="atLeast"/>
          <w:jc w:val="center"/>
        </w:trPr>
        <w:tc>
          <w:tcPr>
            <w:tcW w:w="685" w:type="dxa"/>
            <w:vAlign w:val="center"/>
          </w:tcPr>
          <w:p>
            <w:pPr>
              <w:rPr>
                <w:rFonts w:ascii="宋体" w:hAnsi="宋体"/>
                <w:b/>
                <w:szCs w:val="21"/>
              </w:rPr>
            </w:pPr>
            <w:r>
              <w:rPr>
                <w:rFonts w:hint="eastAsia" w:ascii="宋体" w:hAnsi="宋体" w:cs="宋体"/>
                <w:b/>
                <w:bCs/>
                <w:szCs w:val="21"/>
              </w:rPr>
              <w:t>序号</w:t>
            </w:r>
          </w:p>
        </w:tc>
        <w:tc>
          <w:tcPr>
            <w:tcW w:w="7252" w:type="dxa"/>
            <w:vAlign w:val="center"/>
          </w:tcPr>
          <w:p>
            <w:pPr>
              <w:ind w:firstLine="422"/>
              <w:jc w:val="center"/>
              <w:rPr>
                <w:rFonts w:ascii="宋体" w:hAnsi="宋体"/>
                <w:b/>
                <w:sz w:val="22"/>
                <w:szCs w:val="21"/>
              </w:rPr>
            </w:pPr>
            <w:r>
              <w:rPr>
                <w:rFonts w:hint="eastAsia" w:ascii="宋体" w:hAnsi="宋体" w:cs="宋体"/>
                <w:b/>
                <w:bCs/>
                <w:szCs w:val="21"/>
              </w:rPr>
              <w:t>评审内容</w:t>
            </w:r>
          </w:p>
        </w:tc>
        <w:tc>
          <w:tcPr>
            <w:tcW w:w="987" w:type="dxa"/>
            <w:vAlign w:val="center"/>
          </w:tcPr>
          <w:p>
            <w:pPr>
              <w:rPr>
                <w:rFonts w:ascii="宋体" w:hAnsi="宋体"/>
                <w:b/>
                <w:szCs w:val="21"/>
              </w:rPr>
            </w:pPr>
            <w:r>
              <w:rPr>
                <w:rFonts w:hint="eastAsia" w:ascii="宋体" w:hAnsi="宋体" w:cs="宋体"/>
                <w:b/>
                <w:bCs/>
                <w:szCs w:val="21"/>
              </w:rPr>
              <w:t>备注</w:t>
            </w:r>
          </w:p>
        </w:tc>
      </w:tr>
      <w:tr>
        <w:tblPrEx>
          <w:tblLayout w:type="fixed"/>
        </w:tblPrEx>
        <w:trPr>
          <w:trHeight w:val="740" w:hRule="atLeast"/>
          <w:jc w:val="center"/>
        </w:trPr>
        <w:tc>
          <w:tcPr>
            <w:tcW w:w="685" w:type="dxa"/>
            <w:shd w:val="clear" w:color="auto" w:fill="auto"/>
            <w:vAlign w:val="center"/>
          </w:tcPr>
          <w:p>
            <w:pPr>
              <w:rPr>
                <w:rFonts w:ascii="宋体" w:hAnsi="宋体"/>
                <w:bCs/>
                <w:szCs w:val="21"/>
              </w:rPr>
            </w:pPr>
            <w:r>
              <w:rPr>
                <w:rFonts w:hint="eastAsia" w:ascii="宋体" w:hAnsi="宋体" w:cs="宋体"/>
                <w:szCs w:val="21"/>
              </w:rPr>
              <w:t>1</w:t>
            </w:r>
          </w:p>
        </w:tc>
        <w:tc>
          <w:tcPr>
            <w:tcW w:w="7252" w:type="dxa"/>
            <w:shd w:val="clear" w:color="auto" w:fill="auto"/>
            <w:vAlign w:val="center"/>
          </w:tcPr>
          <w:p>
            <w:pPr>
              <w:rPr>
                <w:rFonts w:ascii="宋体" w:hAnsi="宋体"/>
                <w:szCs w:val="21"/>
              </w:rPr>
            </w:pPr>
            <w:r>
              <w:rPr>
                <w:rFonts w:hint="eastAsia" w:ascii="宋体" w:hAnsi="宋体"/>
                <w:szCs w:val="21"/>
              </w:rPr>
              <w:t>具备有效的工商营业执照、企业法人组织机构代码证书、税务登记证书（或三证合一）（复印件盖章）</w:t>
            </w:r>
          </w:p>
        </w:tc>
        <w:tc>
          <w:tcPr>
            <w:tcW w:w="987" w:type="dxa"/>
            <w:vAlign w:val="center"/>
          </w:tcPr>
          <w:p>
            <w:pPr>
              <w:spacing w:line="360" w:lineRule="auto"/>
              <w:rPr>
                <w:rFonts w:ascii="宋体" w:hAnsi="宋体"/>
                <w:b/>
                <w:szCs w:val="21"/>
              </w:rPr>
            </w:pPr>
          </w:p>
        </w:tc>
      </w:tr>
      <w:tr>
        <w:tblPrEx>
          <w:tblLayout w:type="fixed"/>
        </w:tblPrEx>
        <w:trPr>
          <w:trHeight w:val="740" w:hRule="atLeast"/>
          <w:jc w:val="center"/>
        </w:trPr>
        <w:tc>
          <w:tcPr>
            <w:tcW w:w="685" w:type="dxa"/>
            <w:shd w:val="clear" w:color="auto" w:fill="auto"/>
            <w:vAlign w:val="center"/>
          </w:tcPr>
          <w:p>
            <w:pPr>
              <w:rPr>
                <w:rFonts w:ascii="宋体" w:hAnsi="宋体" w:cs="宋体"/>
                <w:szCs w:val="21"/>
              </w:rPr>
            </w:pPr>
            <w:r>
              <w:rPr>
                <w:rFonts w:ascii="宋体" w:hAnsi="宋体" w:cs="宋体"/>
                <w:szCs w:val="21"/>
              </w:rPr>
              <w:t>2</w:t>
            </w:r>
          </w:p>
        </w:tc>
        <w:tc>
          <w:tcPr>
            <w:tcW w:w="7252" w:type="dxa"/>
            <w:shd w:val="clear" w:color="auto" w:fill="auto"/>
            <w:vAlign w:val="center"/>
          </w:tcPr>
          <w:p>
            <w:pPr>
              <w:rPr>
                <w:rFonts w:ascii="宋体" w:hAnsi="宋体" w:cs="宋体"/>
                <w:szCs w:val="21"/>
              </w:rPr>
            </w:pPr>
            <w:r>
              <w:rPr>
                <w:rFonts w:hint="eastAsia" w:ascii="宋体" w:hAnsi="宋体" w:cs="宋体"/>
                <w:szCs w:val="21"/>
              </w:rPr>
              <w:t>法定代表人证明书原件或法定代表人授权委托书原件</w:t>
            </w:r>
          </w:p>
        </w:tc>
        <w:tc>
          <w:tcPr>
            <w:tcW w:w="987" w:type="dxa"/>
            <w:vAlign w:val="center"/>
          </w:tcPr>
          <w:p>
            <w:pPr>
              <w:rPr>
                <w:rFonts w:ascii="宋体" w:hAnsi="宋体" w:cs="宋体"/>
                <w:szCs w:val="21"/>
              </w:rPr>
            </w:pPr>
          </w:p>
        </w:tc>
      </w:tr>
      <w:tr>
        <w:tblPrEx>
          <w:tblLayout w:type="fixed"/>
        </w:tblPrEx>
        <w:trPr>
          <w:trHeight w:val="740" w:hRule="atLeast"/>
          <w:jc w:val="center"/>
        </w:trPr>
        <w:tc>
          <w:tcPr>
            <w:tcW w:w="685" w:type="dxa"/>
            <w:shd w:val="clear" w:color="auto" w:fill="auto"/>
            <w:vAlign w:val="center"/>
          </w:tcPr>
          <w:p>
            <w:pPr>
              <w:rPr>
                <w:rFonts w:ascii="宋体" w:hAnsi="宋体" w:cs="宋体"/>
                <w:szCs w:val="21"/>
              </w:rPr>
            </w:pPr>
            <w:r>
              <w:rPr>
                <w:rFonts w:hint="eastAsia" w:ascii="宋体" w:hAnsi="宋体" w:cs="宋体"/>
                <w:szCs w:val="21"/>
              </w:rPr>
              <w:t>3</w:t>
            </w:r>
          </w:p>
        </w:tc>
        <w:tc>
          <w:tcPr>
            <w:tcW w:w="7252" w:type="dxa"/>
            <w:shd w:val="clear" w:color="auto" w:fill="auto"/>
            <w:vAlign w:val="center"/>
          </w:tcPr>
          <w:p>
            <w:pPr>
              <w:tabs>
                <w:tab w:val="left" w:pos="0"/>
              </w:tabs>
              <w:rPr>
                <w:rFonts w:ascii="宋体" w:hAnsi="宋体" w:cs="宋体"/>
                <w:szCs w:val="21"/>
              </w:rPr>
            </w:pPr>
            <w:r>
              <w:rPr>
                <w:rFonts w:hint="eastAsia" w:ascii="宋体" w:hAnsi="宋体" w:cs="宋体"/>
                <w:szCs w:val="21"/>
              </w:rPr>
              <w:t>投标人资格证明</w:t>
            </w:r>
            <w:r>
              <w:rPr>
                <w:rFonts w:ascii="宋体" w:hAnsi="宋体" w:cs="宋体"/>
                <w:szCs w:val="21"/>
              </w:rPr>
              <w:t>文件</w:t>
            </w:r>
          </w:p>
        </w:tc>
        <w:tc>
          <w:tcPr>
            <w:tcW w:w="987" w:type="dxa"/>
            <w:vAlign w:val="center"/>
          </w:tcPr>
          <w:p>
            <w:pPr>
              <w:rPr>
                <w:rFonts w:ascii="宋体" w:hAnsi="宋体" w:cs="宋体"/>
                <w:szCs w:val="21"/>
              </w:rPr>
            </w:pPr>
          </w:p>
        </w:tc>
      </w:tr>
      <w:tr>
        <w:tblPrEx>
          <w:tblLayout w:type="fixed"/>
        </w:tblPrEx>
        <w:trPr>
          <w:trHeight w:val="740" w:hRule="atLeast"/>
          <w:jc w:val="center"/>
        </w:trPr>
        <w:tc>
          <w:tcPr>
            <w:tcW w:w="685" w:type="dxa"/>
            <w:vAlign w:val="center"/>
          </w:tcPr>
          <w:p>
            <w:pPr>
              <w:rPr>
                <w:rFonts w:ascii="宋体" w:hAnsi="宋体"/>
                <w:bCs/>
                <w:szCs w:val="21"/>
              </w:rPr>
            </w:pPr>
          </w:p>
        </w:tc>
        <w:tc>
          <w:tcPr>
            <w:tcW w:w="7252"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987" w:type="dxa"/>
            <w:vAlign w:val="center"/>
          </w:tcPr>
          <w:p>
            <w:pPr>
              <w:spacing w:line="360" w:lineRule="auto"/>
              <w:rPr>
                <w:rFonts w:ascii="宋体" w:hAnsi="宋体"/>
                <w:b/>
                <w:szCs w:val="21"/>
              </w:rPr>
            </w:pPr>
          </w:p>
        </w:tc>
      </w:tr>
    </w:tbl>
    <w:p>
      <w:pPr>
        <w:spacing w:before="156" w:beforeLines="50" w:after="156" w:afterLines="50" w:line="360" w:lineRule="auto"/>
        <w:rPr>
          <w:rFonts w:ascii="宋体" w:hAnsi="宋体"/>
          <w:szCs w:val="21"/>
        </w:rPr>
      </w:pPr>
      <w:r>
        <w:rPr>
          <w:rFonts w:hint="eastAsia" w:ascii="宋体" w:hAnsi="宋体"/>
          <w:szCs w:val="21"/>
        </w:rPr>
        <w:t>注：</w:t>
      </w:r>
    </w:p>
    <w:p>
      <w:pPr>
        <w:numPr>
          <w:ilvl w:val="0"/>
          <w:numId w:val="2"/>
        </w:numPr>
        <w:adjustRightInd w:val="0"/>
        <w:snapToGrid w:val="0"/>
        <w:spacing w:before="156" w:beforeLines="50" w:after="156" w:afterLines="50" w:line="360" w:lineRule="auto"/>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2"/>
        </w:numPr>
        <w:adjustRightInd w:val="0"/>
        <w:snapToGrid w:val="0"/>
        <w:spacing w:before="156" w:beforeLines="50" w:after="156" w:afterLines="50" w:line="360" w:lineRule="auto"/>
        <w:rPr>
          <w:rFonts w:ascii="宋体" w:hAnsi="宋体"/>
          <w:szCs w:val="21"/>
        </w:rPr>
      </w:pPr>
      <w:r>
        <w:rPr>
          <w:rFonts w:hint="eastAsia" w:ascii="宋体" w:hAnsi="宋体"/>
          <w:szCs w:val="21"/>
        </w:rPr>
        <w:t>经评标委员会审核后，出现一个“×”的结论为“不通过”，即按废标处理。</w:t>
      </w:r>
    </w:p>
    <w:p>
      <w:pPr>
        <w:numPr>
          <w:ilvl w:val="0"/>
          <w:numId w:val="2"/>
        </w:numPr>
        <w:adjustRightInd w:val="0"/>
        <w:snapToGrid w:val="0"/>
        <w:spacing w:before="156" w:beforeLines="50" w:after="156" w:afterLines="50" w:line="360" w:lineRule="auto"/>
        <w:rPr>
          <w:rFonts w:ascii="宋体" w:hAnsi="宋体"/>
          <w:szCs w:val="21"/>
        </w:rPr>
      </w:pPr>
      <w:r>
        <w:rPr>
          <w:rFonts w:hint="eastAsia" w:ascii="宋体" w:hAnsi="宋体"/>
          <w:szCs w:val="21"/>
        </w:rPr>
        <w:t>表中全部条件满足为“通过”，同意进入下一阶段评审。</w:t>
      </w:r>
    </w:p>
    <w:p>
      <w:pPr>
        <w:numPr>
          <w:ilvl w:val="0"/>
          <w:numId w:val="2"/>
        </w:numPr>
        <w:adjustRightInd w:val="0"/>
        <w:snapToGrid w:val="0"/>
        <w:spacing w:before="156" w:beforeLines="50" w:after="156" w:afterLines="50" w:line="360" w:lineRule="auto"/>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spacing w:before="156" w:beforeLines="50" w:after="156" w:afterLines="50" w:line="360" w:lineRule="auto"/>
        <w:ind w:left="420"/>
        <w:rPr>
          <w:rFonts w:ascii="宋体" w:hAnsi="宋体"/>
          <w:bCs/>
          <w:szCs w:val="21"/>
        </w:rPr>
      </w:pPr>
      <w:r>
        <w:rPr>
          <w:rFonts w:hint="eastAsia" w:ascii="宋体" w:hAnsi="宋体"/>
          <w:bCs/>
          <w:szCs w:val="21"/>
        </w:rPr>
        <w:t xml:space="preserve">评委签名：    </w:t>
      </w:r>
    </w:p>
    <w:p>
      <w:pPr>
        <w:spacing w:before="156" w:beforeLines="50" w:after="156" w:afterLines="50" w:line="360" w:lineRule="auto"/>
        <w:ind w:left="420"/>
        <w:rPr>
          <w:rFonts w:ascii="宋体" w:hAnsi="宋体"/>
          <w:szCs w:val="21"/>
        </w:rPr>
      </w:pPr>
      <w:r>
        <w:rPr>
          <w:rFonts w:hint="eastAsia" w:ascii="宋体" w:hAnsi="宋体"/>
          <w:bCs/>
          <w:szCs w:val="21"/>
        </w:rPr>
        <w:t>日 期：</w:t>
      </w:r>
      <w:r>
        <w:rPr>
          <w:rFonts w:hint="eastAsia" w:ascii="宋体" w:hAnsi="宋体"/>
          <w:szCs w:val="21"/>
        </w:rPr>
        <w:t xml:space="preserve">    年   月   日</w:t>
      </w:r>
    </w:p>
    <w:p>
      <w:pPr>
        <w:spacing w:before="156" w:beforeLines="50" w:after="156" w:afterLines="50" w:line="360" w:lineRule="auto"/>
        <w:ind w:left="420"/>
        <w:rPr>
          <w:rFonts w:ascii="宋体" w:hAnsi="宋体"/>
          <w:szCs w:val="21"/>
        </w:rPr>
      </w:pPr>
    </w:p>
    <w:p>
      <w:pPr>
        <w:widowControl/>
        <w:jc w:val="left"/>
        <w:rPr>
          <w:rFonts w:ascii="宋体" w:hAnsi="宋体"/>
          <w:szCs w:val="21"/>
        </w:rPr>
      </w:pPr>
      <w:r>
        <w:rPr>
          <w:rFonts w:ascii="宋体" w:hAnsi="宋体"/>
          <w:szCs w:val="21"/>
        </w:rPr>
        <w:br w:type="page"/>
      </w:r>
    </w:p>
    <w:p>
      <w:pPr>
        <w:spacing w:line="400" w:lineRule="exact"/>
        <w:rPr>
          <w:rFonts w:hAnsi="宋体"/>
          <w:szCs w:val="21"/>
        </w:rPr>
      </w:pPr>
      <w:r>
        <w:rPr>
          <w:rFonts w:hint="eastAsia" w:ascii="宋体" w:hAnsi="宋体" w:cs="Arial"/>
          <w:color w:val="000000"/>
          <w:sz w:val="30"/>
          <w:szCs w:val="30"/>
        </w:rPr>
        <w:t>附件7</w:t>
      </w:r>
    </w:p>
    <w:p>
      <w:pPr>
        <w:jc w:val="center"/>
        <w:rPr>
          <w:rFonts w:ascii="宋体" w:hAnsi="宋体" w:cs="宋体"/>
          <w:b/>
          <w:bCs/>
          <w:sz w:val="24"/>
        </w:rPr>
      </w:pPr>
      <w:r>
        <w:rPr>
          <w:rFonts w:hint="eastAsia" w:ascii="宋体" w:hAnsi="宋体" w:cs="宋体"/>
          <w:b/>
          <w:bCs/>
          <w:sz w:val="36"/>
          <w:szCs w:val="36"/>
        </w:rPr>
        <w:t>投标文件有效性审查表</w:t>
      </w:r>
    </w:p>
    <w:p>
      <w:pPr>
        <w:rPr>
          <w:rFonts w:ascii="宋体" w:hAnsi="宋体"/>
          <w:bCs/>
          <w:szCs w:val="21"/>
        </w:rPr>
      </w:pPr>
    </w:p>
    <w:p>
      <w:pPr>
        <w:spacing w:line="360" w:lineRule="auto"/>
        <w:rPr>
          <w:rFonts w:ascii="宋体" w:hAnsi="宋体"/>
          <w:bCs/>
          <w:szCs w:val="21"/>
        </w:rPr>
      </w:pPr>
      <w:r>
        <w:rPr>
          <w:rFonts w:hint="eastAsia" w:ascii="宋体" w:hAnsi="宋体"/>
          <w:bCs/>
          <w:szCs w:val="21"/>
        </w:rPr>
        <w:t>项目名称：</w:t>
      </w:r>
      <w:r>
        <w:rPr>
          <w:rFonts w:hint="eastAsia" w:hAnsi="宋体"/>
          <w:sz w:val="24"/>
          <w:szCs w:val="22"/>
          <w:lang w:val="zh-CN"/>
        </w:rPr>
        <w:t>印象文化公司贵宾接待电瓶车项目</w:t>
      </w:r>
    </w:p>
    <w:tbl>
      <w:tblPr>
        <w:tblStyle w:val="44"/>
        <w:tblW w:w="8060" w:type="dxa"/>
        <w:jc w:val="center"/>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52"/>
        <w:gridCol w:w="6225"/>
        <w:gridCol w:w="1183"/>
      </w:tblGrid>
      <w:tr>
        <w:tblPrEx>
          <w:tblLayout w:type="fixed"/>
        </w:tblPrEx>
        <w:trPr>
          <w:trHeight w:val="544" w:hRule="atLeast"/>
          <w:jc w:val="center"/>
        </w:trPr>
        <w:tc>
          <w:tcPr>
            <w:tcW w:w="652" w:type="dxa"/>
            <w:vAlign w:val="center"/>
          </w:tcPr>
          <w:p>
            <w:pPr>
              <w:rPr>
                <w:rFonts w:ascii="宋体" w:hAnsi="宋体"/>
                <w:b/>
                <w:szCs w:val="21"/>
              </w:rPr>
            </w:pPr>
            <w:r>
              <w:rPr>
                <w:rFonts w:hint="eastAsia" w:ascii="宋体" w:hAnsi="宋体" w:cs="宋体"/>
                <w:b/>
                <w:bCs/>
                <w:szCs w:val="21"/>
              </w:rPr>
              <w:t>序号</w:t>
            </w:r>
          </w:p>
        </w:tc>
        <w:tc>
          <w:tcPr>
            <w:tcW w:w="6225" w:type="dxa"/>
            <w:vAlign w:val="center"/>
          </w:tcPr>
          <w:p>
            <w:pPr>
              <w:jc w:val="center"/>
              <w:rPr>
                <w:rFonts w:ascii="宋体" w:hAnsi="宋体"/>
                <w:b/>
                <w:szCs w:val="21"/>
              </w:rPr>
            </w:pPr>
            <w:r>
              <w:rPr>
                <w:rFonts w:hint="eastAsia" w:ascii="宋体" w:hAnsi="宋体" w:cs="宋体"/>
                <w:b/>
                <w:bCs/>
                <w:szCs w:val="21"/>
              </w:rPr>
              <w:t>评审内容</w:t>
            </w:r>
          </w:p>
        </w:tc>
        <w:tc>
          <w:tcPr>
            <w:tcW w:w="1183" w:type="dxa"/>
            <w:vAlign w:val="center"/>
          </w:tcPr>
          <w:p>
            <w:pPr>
              <w:rPr>
                <w:rFonts w:ascii="宋体" w:hAnsi="宋体"/>
                <w:b/>
                <w:szCs w:val="21"/>
              </w:rPr>
            </w:pPr>
            <w:r>
              <w:rPr>
                <w:rFonts w:hint="eastAsia" w:ascii="宋体" w:hAnsi="宋体" w:cs="宋体"/>
                <w:b/>
                <w:bCs/>
                <w:szCs w:val="21"/>
              </w:rPr>
              <w:t>投标人</w:t>
            </w:r>
          </w:p>
        </w:tc>
      </w:tr>
      <w:tr>
        <w:tblPrEx>
          <w:tblLayout w:type="fixed"/>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1</w:t>
            </w:r>
          </w:p>
        </w:tc>
        <w:tc>
          <w:tcPr>
            <w:tcW w:w="6225" w:type="dxa"/>
            <w:shd w:val="clear" w:color="auto" w:fill="auto"/>
            <w:vAlign w:val="center"/>
          </w:tcPr>
          <w:p>
            <w:pPr>
              <w:rPr>
                <w:rFonts w:ascii="宋体" w:hAnsi="宋体"/>
                <w:szCs w:val="21"/>
              </w:rPr>
            </w:pPr>
            <w:r>
              <w:rPr>
                <w:rFonts w:hint="eastAsia" w:ascii="宋体" w:hAnsi="宋体"/>
                <w:szCs w:val="21"/>
              </w:rPr>
              <w:t>投标文件按竞选文件的规定密封、盖章和签署；</w:t>
            </w:r>
          </w:p>
        </w:tc>
        <w:tc>
          <w:tcPr>
            <w:tcW w:w="1183" w:type="dxa"/>
            <w:vAlign w:val="center"/>
          </w:tcPr>
          <w:p>
            <w:pPr>
              <w:spacing w:line="360" w:lineRule="auto"/>
              <w:rPr>
                <w:rFonts w:ascii="宋体" w:hAnsi="宋体"/>
                <w:b/>
                <w:szCs w:val="21"/>
              </w:rPr>
            </w:pPr>
          </w:p>
        </w:tc>
      </w:tr>
      <w:tr>
        <w:tblPrEx>
          <w:tblLayout w:type="fixed"/>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2</w:t>
            </w:r>
          </w:p>
        </w:tc>
        <w:tc>
          <w:tcPr>
            <w:tcW w:w="6225" w:type="dxa"/>
            <w:shd w:val="clear" w:color="auto" w:fill="auto"/>
            <w:vAlign w:val="center"/>
          </w:tcPr>
          <w:p>
            <w:pPr>
              <w:rPr>
                <w:rFonts w:ascii="宋体" w:hAnsi="宋体"/>
                <w:szCs w:val="21"/>
              </w:rPr>
            </w:pPr>
            <w:r>
              <w:rPr>
                <w:rFonts w:hint="eastAsia" w:ascii="宋体" w:hAnsi="宋体"/>
                <w:szCs w:val="21"/>
              </w:rPr>
              <w:t>投标文件按竞选文件规定的格式填写，无存在内容不全或关键字迹模糊、无法辩认；</w:t>
            </w:r>
          </w:p>
        </w:tc>
        <w:tc>
          <w:tcPr>
            <w:tcW w:w="1183" w:type="dxa"/>
            <w:vAlign w:val="center"/>
          </w:tcPr>
          <w:p>
            <w:pPr>
              <w:spacing w:line="360" w:lineRule="auto"/>
              <w:rPr>
                <w:rFonts w:ascii="宋体" w:hAnsi="宋体"/>
                <w:b/>
                <w:szCs w:val="21"/>
              </w:rPr>
            </w:pPr>
          </w:p>
        </w:tc>
      </w:tr>
      <w:tr>
        <w:tblPrEx>
          <w:tblLayout w:type="fixed"/>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3</w:t>
            </w:r>
          </w:p>
        </w:tc>
        <w:tc>
          <w:tcPr>
            <w:tcW w:w="6225" w:type="dxa"/>
            <w:shd w:val="clear" w:color="auto" w:fill="auto"/>
            <w:vAlign w:val="center"/>
          </w:tcPr>
          <w:p>
            <w:pPr>
              <w:rPr>
                <w:rFonts w:ascii="宋体" w:hAnsi="宋体"/>
                <w:szCs w:val="21"/>
              </w:rPr>
            </w:pPr>
            <w:r>
              <w:rPr>
                <w:rFonts w:hint="eastAsia" w:ascii="宋体" w:hAnsi="宋体" w:cs="宋体"/>
                <w:szCs w:val="21"/>
              </w:rPr>
              <w:t>对同一竞选项目出现两个或以上的投标报价，且没声明哪个有效；</w:t>
            </w:r>
          </w:p>
        </w:tc>
        <w:tc>
          <w:tcPr>
            <w:tcW w:w="1183" w:type="dxa"/>
            <w:vAlign w:val="center"/>
          </w:tcPr>
          <w:p>
            <w:pPr>
              <w:spacing w:line="360" w:lineRule="auto"/>
              <w:rPr>
                <w:rFonts w:ascii="宋体" w:hAnsi="宋体"/>
                <w:b/>
                <w:szCs w:val="21"/>
              </w:rPr>
            </w:pPr>
          </w:p>
        </w:tc>
      </w:tr>
      <w:tr>
        <w:tblPrEx>
          <w:tblLayout w:type="fixed"/>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4</w:t>
            </w:r>
          </w:p>
        </w:tc>
        <w:tc>
          <w:tcPr>
            <w:tcW w:w="6225" w:type="dxa"/>
            <w:shd w:val="clear" w:color="auto" w:fill="auto"/>
            <w:vAlign w:val="center"/>
          </w:tcPr>
          <w:p>
            <w:pPr>
              <w:rPr>
                <w:rFonts w:ascii="宋体" w:hAnsi="宋体"/>
                <w:szCs w:val="21"/>
              </w:rPr>
            </w:pPr>
            <w:r>
              <w:rPr>
                <w:rFonts w:hint="eastAsia" w:ascii="宋体" w:hAnsi="宋体" w:cs="宋体"/>
                <w:szCs w:val="21"/>
              </w:rPr>
              <w:t>投标总报价低于企业自身成本；</w:t>
            </w:r>
          </w:p>
        </w:tc>
        <w:tc>
          <w:tcPr>
            <w:tcW w:w="1183" w:type="dxa"/>
            <w:vAlign w:val="center"/>
          </w:tcPr>
          <w:p>
            <w:pPr>
              <w:tabs>
                <w:tab w:val="left" w:pos="553"/>
              </w:tabs>
              <w:spacing w:line="360" w:lineRule="auto"/>
              <w:rPr>
                <w:rFonts w:ascii="宋体" w:hAnsi="宋体"/>
                <w:b/>
                <w:szCs w:val="21"/>
              </w:rPr>
            </w:pPr>
          </w:p>
        </w:tc>
      </w:tr>
      <w:tr>
        <w:tblPrEx>
          <w:tblLayout w:type="fixed"/>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5</w:t>
            </w:r>
          </w:p>
        </w:tc>
        <w:tc>
          <w:tcPr>
            <w:tcW w:w="6225" w:type="dxa"/>
            <w:shd w:val="clear" w:color="auto" w:fill="auto"/>
            <w:vAlign w:val="center"/>
          </w:tcPr>
          <w:p>
            <w:pPr>
              <w:rPr>
                <w:rFonts w:ascii="宋体" w:hAnsi="宋体"/>
                <w:szCs w:val="21"/>
              </w:rPr>
            </w:pPr>
            <w:r>
              <w:rPr>
                <w:rFonts w:hint="eastAsia" w:ascii="宋体" w:hAnsi="宋体" w:cs="宋体"/>
                <w:szCs w:val="21"/>
              </w:rPr>
              <w:t>投标报价未超过</w:t>
            </w:r>
            <w:r>
              <w:rPr>
                <w:rFonts w:hint="eastAsia" w:ascii="宋体" w:hAnsi="宋体"/>
                <w:szCs w:val="21"/>
              </w:rPr>
              <w:t>采购限价</w:t>
            </w:r>
            <w:r>
              <w:rPr>
                <w:rFonts w:hint="eastAsia" w:ascii="宋体" w:hAnsi="宋体" w:cs="宋体"/>
                <w:szCs w:val="21"/>
              </w:rPr>
              <w:t>；</w:t>
            </w:r>
          </w:p>
        </w:tc>
        <w:tc>
          <w:tcPr>
            <w:tcW w:w="1183" w:type="dxa"/>
            <w:vAlign w:val="center"/>
          </w:tcPr>
          <w:p>
            <w:pPr>
              <w:spacing w:line="360" w:lineRule="auto"/>
              <w:rPr>
                <w:rFonts w:ascii="宋体" w:hAnsi="宋体"/>
                <w:b/>
                <w:szCs w:val="21"/>
              </w:rPr>
            </w:pPr>
          </w:p>
        </w:tc>
      </w:tr>
      <w:tr>
        <w:tblPrEx>
          <w:tblLayout w:type="fixed"/>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6</w:t>
            </w:r>
          </w:p>
        </w:tc>
        <w:tc>
          <w:tcPr>
            <w:tcW w:w="6225" w:type="dxa"/>
            <w:shd w:val="clear" w:color="auto" w:fill="auto"/>
            <w:vAlign w:val="center"/>
          </w:tcPr>
          <w:p>
            <w:pPr>
              <w:rPr>
                <w:szCs w:val="21"/>
              </w:rPr>
            </w:pPr>
            <w:r>
              <w:rPr>
                <w:rFonts w:hint="eastAsia" w:ascii="宋体" w:hAnsi="宋体" w:cs="宋体"/>
                <w:szCs w:val="21"/>
              </w:rPr>
              <w:t>交货期满足竞选文件要求的；</w:t>
            </w:r>
          </w:p>
        </w:tc>
        <w:tc>
          <w:tcPr>
            <w:tcW w:w="1183" w:type="dxa"/>
            <w:vAlign w:val="center"/>
          </w:tcPr>
          <w:p>
            <w:pPr>
              <w:spacing w:line="360" w:lineRule="auto"/>
              <w:rPr>
                <w:rFonts w:ascii="宋体" w:hAnsi="宋体"/>
                <w:b/>
                <w:szCs w:val="21"/>
              </w:rPr>
            </w:pPr>
          </w:p>
        </w:tc>
      </w:tr>
      <w:tr>
        <w:tblPrEx>
          <w:tblLayout w:type="fixed"/>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7</w:t>
            </w:r>
          </w:p>
        </w:tc>
        <w:tc>
          <w:tcPr>
            <w:tcW w:w="6225" w:type="dxa"/>
            <w:shd w:val="clear" w:color="auto" w:fill="auto"/>
            <w:vAlign w:val="center"/>
          </w:tcPr>
          <w:p>
            <w:pPr>
              <w:rPr>
                <w:szCs w:val="21"/>
              </w:rPr>
            </w:pPr>
            <w:r>
              <w:rPr>
                <w:rFonts w:hint="eastAsia" w:ascii="宋体" w:hAnsi="宋体" w:cs="宋体"/>
                <w:szCs w:val="21"/>
              </w:rPr>
              <w:t>响应竞选文件中已明确必须要作实质性响应的内容；</w:t>
            </w:r>
          </w:p>
        </w:tc>
        <w:tc>
          <w:tcPr>
            <w:tcW w:w="1183" w:type="dxa"/>
            <w:vAlign w:val="center"/>
          </w:tcPr>
          <w:p>
            <w:pPr>
              <w:spacing w:line="360" w:lineRule="auto"/>
              <w:rPr>
                <w:rFonts w:ascii="宋体" w:hAnsi="宋体"/>
                <w:b/>
                <w:szCs w:val="21"/>
              </w:rPr>
            </w:pPr>
          </w:p>
        </w:tc>
      </w:tr>
      <w:tr>
        <w:tblPrEx>
          <w:tblLayout w:type="fixed"/>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8</w:t>
            </w:r>
          </w:p>
        </w:tc>
        <w:tc>
          <w:tcPr>
            <w:tcW w:w="6225" w:type="dxa"/>
            <w:shd w:val="clear" w:color="auto" w:fill="auto"/>
            <w:vAlign w:val="center"/>
          </w:tcPr>
          <w:p>
            <w:pPr>
              <w:rPr>
                <w:szCs w:val="21"/>
              </w:rPr>
            </w:pPr>
            <w:r>
              <w:rPr>
                <w:rFonts w:hint="eastAsia" w:ascii="宋体" w:hAnsi="宋体" w:cs="宋体"/>
                <w:szCs w:val="21"/>
              </w:rPr>
              <w:t>投标文件附没有采购人不能接受的条件；</w:t>
            </w:r>
          </w:p>
        </w:tc>
        <w:tc>
          <w:tcPr>
            <w:tcW w:w="1183" w:type="dxa"/>
            <w:vAlign w:val="center"/>
          </w:tcPr>
          <w:p>
            <w:pPr>
              <w:spacing w:line="360" w:lineRule="auto"/>
              <w:rPr>
                <w:rFonts w:ascii="宋体" w:hAnsi="宋体"/>
                <w:b/>
                <w:szCs w:val="21"/>
              </w:rPr>
            </w:pPr>
          </w:p>
        </w:tc>
      </w:tr>
      <w:tr>
        <w:tblPrEx>
          <w:tblLayout w:type="fixed"/>
        </w:tblPrEx>
        <w:trPr>
          <w:trHeight w:val="544" w:hRule="atLeast"/>
          <w:jc w:val="center"/>
        </w:trPr>
        <w:tc>
          <w:tcPr>
            <w:tcW w:w="652" w:type="dxa"/>
            <w:shd w:val="clear" w:color="auto" w:fill="auto"/>
            <w:vAlign w:val="center"/>
          </w:tcPr>
          <w:p>
            <w:pPr>
              <w:rPr>
                <w:rFonts w:ascii="宋体" w:hAnsi="宋体"/>
                <w:bCs/>
                <w:szCs w:val="21"/>
              </w:rPr>
            </w:pPr>
            <w:r>
              <w:rPr>
                <w:rFonts w:hint="eastAsia" w:ascii="宋体" w:hAnsi="宋体" w:cs="宋体"/>
                <w:szCs w:val="21"/>
              </w:rPr>
              <w:t>9</w:t>
            </w:r>
          </w:p>
        </w:tc>
        <w:tc>
          <w:tcPr>
            <w:tcW w:w="6225" w:type="dxa"/>
            <w:shd w:val="clear" w:color="auto" w:fill="auto"/>
            <w:vAlign w:val="center"/>
          </w:tcPr>
          <w:p>
            <w:pPr>
              <w:rPr>
                <w:szCs w:val="21"/>
              </w:rPr>
            </w:pPr>
            <w:r>
              <w:rPr>
                <w:rFonts w:hint="eastAsia" w:ascii="宋体" w:hAnsi="宋体" w:cs="宋体"/>
                <w:szCs w:val="21"/>
              </w:rPr>
              <w:t>符合竞选文件中规定的其他实质性要求。</w:t>
            </w:r>
          </w:p>
        </w:tc>
        <w:tc>
          <w:tcPr>
            <w:tcW w:w="1183" w:type="dxa"/>
            <w:vAlign w:val="center"/>
          </w:tcPr>
          <w:p>
            <w:pPr>
              <w:spacing w:line="360" w:lineRule="auto"/>
              <w:rPr>
                <w:rFonts w:ascii="宋体" w:hAnsi="宋体"/>
                <w:b/>
                <w:szCs w:val="21"/>
              </w:rPr>
            </w:pPr>
          </w:p>
        </w:tc>
      </w:tr>
      <w:tr>
        <w:tblPrEx>
          <w:tblLayout w:type="fixed"/>
        </w:tblPrEx>
        <w:trPr>
          <w:trHeight w:val="544" w:hRule="atLeast"/>
          <w:jc w:val="center"/>
        </w:trPr>
        <w:tc>
          <w:tcPr>
            <w:tcW w:w="652" w:type="dxa"/>
            <w:vAlign w:val="center"/>
          </w:tcPr>
          <w:p>
            <w:pPr>
              <w:rPr>
                <w:rFonts w:ascii="宋体" w:hAnsi="宋体"/>
                <w:bCs/>
                <w:szCs w:val="21"/>
              </w:rPr>
            </w:pPr>
          </w:p>
        </w:tc>
        <w:tc>
          <w:tcPr>
            <w:tcW w:w="6225" w:type="dxa"/>
            <w:vAlign w:val="center"/>
          </w:tcPr>
          <w:p>
            <w:pPr>
              <w:rPr>
                <w:rFonts w:ascii="宋体" w:hAnsi="宋体"/>
                <w:szCs w:val="21"/>
              </w:rPr>
            </w:pPr>
            <w:r>
              <w:rPr>
                <w:rFonts w:hint="eastAsia" w:ascii="宋体" w:hAnsi="宋体" w:cs="宋体"/>
                <w:b/>
                <w:bCs/>
                <w:szCs w:val="21"/>
              </w:rPr>
              <w:t>评审结论（</w:t>
            </w:r>
            <w:r>
              <w:rPr>
                <w:rFonts w:hint="eastAsia" w:ascii="宋体" w:hAnsi="宋体"/>
                <w:szCs w:val="21"/>
              </w:rPr>
              <w:t>通过/不通过</w:t>
            </w:r>
            <w:r>
              <w:rPr>
                <w:rFonts w:hint="eastAsia" w:ascii="宋体" w:hAnsi="宋体" w:cs="宋体"/>
                <w:b/>
                <w:bCs/>
                <w:szCs w:val="21"/>
              </w:rPr>
              <w:t>）</w:t>
            </w:r>
          </w:p>
        </w:tc>
        <w:tc>
          <w:tcPr>
            <w:tcW w:w="1183" w:type="dxa"/>
            <w:vAlign w:val="center"/>
          </w:tcPr>
          <w:p>
            <w:pPr>
              <w:spacing w:line="360" w:lineRule="auto"/>
              <w:rPr>
                <w:rFonts w:ascii="宋体" w:hAnsi="宋体"/>
                <w:b/>
                <w:szCs w:val="21"/>
              </w:rPr>
            </w:pPr>
          </w:p>
        </w:tc>
      </w:tr>
    </w:tbl>
    <w:p>
      <w:pPr>
        <w:spacing w:line="400" w:lineRule="exact"/>
        <w:rPr>
          <w:rFonts w:ascii="宋体" w:hAnsi="宋体"/>
          <w:szCs w:val="21"/>
        </w:rPr>
      </w:pPr>
      <w:r>
        <w:rPr>
          <w:rFonts w:hint="eastAsia" w:ascii="宋体" w:hAnsi="宋体"/>
          <w:szCs w:val="21"/>
        </w:rPr>
        <w:t>注：</w:t>
      </w:r>
    </w:p>
    <w:p>
      <w:pPr>
        <w:numPr>
          <w:ilvl w:val="0"/>
          <w:numId w:val="3"/>
        </w:numPr>
        <w:adjustRightInd w:val="0"/>
        <w:snapToGrid w:val="0"/>
        <w:spacing w:before="156" w:beforeLines="50" w:after="156" w:afterLines="50" w:line="360" w:lineRule="auto"/>
        <w:rPr>
          <w:rFonts w:ascii="宋体" w:hAnsi="宋体"/>
          <w:szCs w:val="21"/>
        </w:rPr>
      </w:pPr>
      <w:r>
        <w:rPr>
          <w:rFonts w:hint="eastAsia" w:ascii="宋体" w:hAnsi="宋体"/>
          <w:szCs w:val="21"/>
        </w:rPr>
        <w:t>投标人分栏中填写“√”表示该项符合竞选文件要求，“×”表示该项不符合竞选文件要求，“○”表示无该项内容；</w:t>
      </w:r>
    </w:p>
    <w:p>
      <w:pPr>
        <w:numPr>
          <w:ilvl w:val="0"/>
          <w:numId w:val="3"/>
        </w:numPr>
        <w:adjustRightInd w:val="0"/>
        <w:snapToGrid w:val="0"/>
        <w:spacing w:before="156" w:beforeLines="50" w:after="156" w:afterLines="50" w:line="360" w:lineRule="auto"/>
        <w:rPr>
          <w:rFonts w:ascii="宋体" w:hAnsi="宋体"/>
          <w:szCs w:val="21"/>
        </w:rPr>
      </w:pPr>
      <w:r>
        <w:rPr>
          <w:rFonts w:hint="eastAsia" w:ascii="宋体" w:hAnsi="宋体"/>
          <w:szCs w:val="21"/>
        </w:rPr>
        <w:t>经评标委员会审核后，出现一个“×”的结论为“不通过”，即按废标处理。</w:t>
      </w:r>
    </w:p>
    <w:p>
      <w:pPr>
        <w:numPr>
          <w:ilvl w:val="0"/>
          <w:numId w:val="3"/>
        </w:numPr>
        <w:adjustRightInd w:val="0"/>
        <w:snapToGrid w:val="0"/>
        <w:spacing w:before="156" w:beforeLines="50" w:after="156" w:afterLines="50" w:line="360" w:lineRule="auto"/>
        <w:rPr>
          <w:rFonts w:ascii="宋体" w:hAnsi="宋体"/>
          <w:szCs w:val="21"/>
        </w:rPr>
      </w:pPr>
      <w:r>
        <w:rPr>
          <w:rFonts w:hint="eastAsia" w:ascii="宋体" w:hAnsi="宋体"/>
          <w:szCs w:val="21"/>
        </w:rPr>
        <w:t>表中全部条件满足为“通过”，同意进入下一阶段评审。</w:t>
      </w:r>
    </w:p>
    <w:p>
      <w:pPr>
        <w:numPr>
          <w:ilvl w:val="0"/>
          <w:numId w:val="3"/>
        </w:numPr>
        <w:adjustRightInd w:val="0"/>
        <w:snapToGrid w:val="0"/>
        <w:spacing w:before="156" w:beforeLines="50" w:after="156" w:afterLines="50" w:line="360" w:lineRule="auto"/>
        <w:rPr>
          <w:rFonts w:ascii="宋体" w:hAnsi="宋体"/>
          <w:szCs w:val="21"/>
        </w:rPr>
      </w:pPr>
      <w:r>
        <w:rPr>
          <w:rFonts w:hint="eastAsia"/>
          <w:szCs w:val="21"/>
        </w:rPr>
        <w:t>如对本表中某种情形的</w:t>
      </w:r>
      <w:r>
        <w:rPr>
          <w:rFonts w:hint="eastAsia" w:ascii="宋体" w:hAnsi="宋体"/>
          <w:szCs w:val="21"/>
        </w:rPr>
        <w:t>评委意见不一致时，</w:t>
      </w:r>
      <w:r>
        <w:rPr>
          <w:rFonts w:hint="eastAsia"/>
          <w:szCs w:val="21"/>
        </w:rPr>
        <w:t>以评标委员会过半数成员的意见作为评标委员会对该情形的认定结论。</w:t>
      </w:r>
    </w:p>
    <w:p>
      <w:pPr>
        <w:spacing w:before="156" w:beforeLines="50" w:after="156" w:afterLines="50" w:line="360" w:lineRule="auto"/>
        <w:rPr>
          <w:rFonts w:ascii="宋体" w:hAnsi="宋体"/>
          <w:bCs/>
          <w:szCs w:val="21"/>
        </w:rPr>
      </w:pPr>
      <w:r>
        <w:rPr>
          <w:rFonts w:hint="eastAsia" w:ascii="宋体" w:hAnsi="宋体"/>
          <w:bCs/>
          <w:szCs w:val="21"/>
        </w:rPr>
        <w:t xml:space="preserve">评委签名：                                                                                </w:t>
      </w:r>
    </w:p>
    <w:p>
      <w:pPr>
        <w:spacing w:before="156" w:beforeLines="50" w:after="156" w:afterLines="50" w:line="360" w:lineRule="auto"/>
        <w:rPr>
          <w:rFonts w:ascii="宋体" w:hAnsi="宋体"/>
          <w:szCs w:val="21"/>
        </w:rPr>
      </w:pPr>
      <w:r>
        <w:rPr>
          <w:rFonts w:hint="eastAsia" w:ascii="宋体" w:hAnsi="宋体"/>
          <w:bCs/>
          <w:szCs w:val="21"/>
        </w:rPr>
        <w:t>日 期：</w:t>
      </w:r>
      <w:r>
        <w:rPr>
          <w:rFonts w:hint="eastAsia" w:ascii="宋体" w:hAnsi="宋体"/>
          <w:szCs w:val="21"/>
        </w:rPr>
        <w:t xml:space="preserve">    年   月   日</w:t>
      </w:r>
    </w:p>
    <w:p>
      <w:pPr>
        <w:widowControl/>
        <w:jc w:val="left"/>
        <w:rPr>
          <w:rFonts w:ascii="宋体" w:hAnsi="宋体"/>
          <w:sz w:val="32"/>
        </w:rPr>
      </w:pPr>
      <w:r>
        <w:rPr>
          <w:sz w:val="28"/>
          <w:szCs w:val="28"/>
        </w:rPr>
        <w:br w:type="page"/>
      </w:r>
      <w:r>
        <w:rPr>
          <w:rFonts w:ascii="宋体" w:hAnsi="宋体"/>
          <w:sz w:val="32"/>
        </w:rPr>
        <w:t>附件</w:t>
      </w:r>
      <w:r>
        <w:rPr>
          <w:rFonts w:hint="eastAsia" w:ascii="宋体" w:hAnsi="宋体"/>
          <w:sz w:val="32"/>
        </w:rPr>
        <w:t>8</w:t>
      </w:r>
    </w:p>
    <w:p>
      <w:pPr>
        <w:tabs>
          <w:tab w:val="left" w:pos="0"/>
        </w:tabs>
        <w:spacing w:line="360" w:lineRule="auto"/>
        <w:rPr>
          <w:rFonts w:ascii="仿宋_GB2312" w:hAnsi="仿宋" w:eastAsia="仿宋_GB2312"/>
          <w:b/>
          <w:color w:val="000000"/>
          <w:sz w:val="32"/>
          <w:szCs w:val="32"/>
        </w:rPr>
      </w:pPr>
      <w:r>
        <w:rPr>
          <w:rFonts w:ascii="宋体" w:hAnsi="宋体"/>
          <w:sz w:val="36"/>
          <w:szCs w:val="36"/>
        </w:rPr>
        <w:t xml:space="preserve"> 评分明细表</w:t>
      </w:r>
    </w:p>
    <w:p>
      <w:pPr>
        <w:tabs>
          <w:tab w:val="left" w:pos="0"/>
        </w:tabs>
        <w:spacing w:line="360" w:lineRule="auto"/>
        <w:rPr>
          <w:rFonts w:hAnsi="宋体"/>
          <w:sz w:val="24"/>
          <w:szCs w:val="22"/>
          <w:lang w:val="zh-CN"/>
        </w:rPr>
      </w:pPr>
      <w:r>
        <w:rPr>
          <w:rFonts w:ascii="仿宋_GB2312" w:hAnsi="仿宋" w:eastAsia="仿宋_GB2312"/>
          <w:color w:val="000000"/>
          <w:sz w:val="24"/>
          <w:szCs w:val="24"/>
        </w:rPr>
        <w:t>项目名称</w:t>
      </w:r>
      <w:r>
        <w:rPr>
          <w:rFonts w:hint="eastAsia" w:ascii="仿宋_GB2312" w:hAnsi="仿宋" w:eastAsia="仿宋_GB2312"/>
          <w:color w:val="000000"/>
          <w:sz w:val="24"/>
          <w:szCs w:val="24"/>
        </w:rPr>
        <w:t>：</w:t>
      </w:r>
      <w:r>
        <w:rPr>
          <w:rFonts w:hint="eastAsia" w:hAnsi="宋体"/>
          <w:sz w:val="24"/>
          <w:szCs w:val="22"/>
          <w:lang w:val="zh-CN"/>
        </w:rPr>
        <w:t>印象文化公司贵宾接待电瓶车项目</w:t>
      </w:r>
    </w:p>
    <w:p>
      <w:pPr>
        <w:pStyle w:val="176"/>
        <w:keepNext w:val="0"/>
        <w:tabs>
          <w:tab w:val="left" w:pos="0"/>
        </w:tabs>
        <w:spacing w:after="0" w:line="360" w:lineRule="auto"/>
        <w:ind w:left="360"/>
        <w:rPr>
          <w:rFonts w:ascii="宋体" w:hAnsi="宋体"/>
          <w:b/>
          <w:szCs w:val="21"/>
        </w:rPr>
      </w:pPr>
      <w:r>
        <w:rPr>
          <w:rFonts w:hint="eastAsia" w:ascii="宋体" w:hAnsi="宋体"/>
          <w:b/>
          <w:szCs w:val="21"/>
        </w:rPr>
        <w:t>1、商务评分标准：（总分：20分）</w:t>
      </w:r>
    </w:p>
    <w:tbl>
      <w:tblPr>
        <w:tblStyle w:val="44"/>
        <w:tblW w:w="874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4"/>
        <w:gridCol w:w="721"/>
        <w:gridCol w:w="3508"/>
        <w:gridCol w:w="2729"/>
        <w:gridCol w:w="649"/>
      </w:tblGrid>
      <w:tr>
        <w:tblPrEx>
          <w:tblLayout w:type="fixed"/>
        </w:tblPrEx>
        <w:trPr>
          <w:trHeight w:val="329" w:hRule="atLeast"/>
          <w:jc w:val="center"/>
        </w:trPr>
        <w:tc>
          <w:tcPr>
            <w:tcW w:w="1134" w:type="dxa"/>
            <w:vAlign w:val="center"/>
          </w:tcPr>
          <w:p>
            <w:pPr>
              <w:jc w:val="center"/>
              <w:rPr>
                <w:rFonts w:hAnsi="宋体"/>
                <w:szCs w:val="21"/>
              </w:rPr>
            </w:pPr>
            <w:r>
              <w:rPr>
                <w:rFonts w:hint="eastAsia" w:hAnsi="宋体"/>
                <w:szCs w:val="21"/>
              </w:rPr>
              <w:t>评审内容</w:t>
            </w:r>
          </w:p>
        </w:tc>
        <w:tc>
          <w:tcPr>
            <w:tcW w:w="721" w:type="dxa"/>
            <w:vAlign w:val="center"/>
          </w:tcPr>
          <w:p>
            <w:pPr>
              <w:jc w:val="center"/>
              <w:rPr>
                <w:rFonts w:hAnsi="宋体"/>
                <w:szCs w:val="21"/>
              </w:rPr>
            </w:pPr>
            <w:r>
              <w:rPr>
                <w:rFonts w:hint="eastAsia" w:hAnsi="宋体"/>
                <w:szCs w:val="21"/>
              </w:rPr>
              <w:t>评分权重</w:t>
            </w:r>
          </w:p>
        </w:tc>
        <w:tc>
          <w:tcPr>
            <w:tcW w:w="3508" w:type="dxa"/>
            <w:vAlign w:val="center"/>
          </w:tcPr>
          <w:p>
            <w:pPr>
              <w:jc w:val="center"/>
              <w:rPr>
                <w:rFonts w:hAnsi="宋体"/>
                <w:szCs w:val="21"/>
              </w:rPr>
            </w:pPr>
            <w:r>
              <w:rPr>
                <w:rFonts w:hint="eastAsia" w:hAnsi="宋体"/>
                <w:szCs w:val="21"/>
              </w:rPr>
              <w:t>评价项目</w:t>
            </w:r>
          </w:p>
        </w:tc>
        <w:tc>
          <w:tcPr>
            <w:tcW w:w="2729" w:type="dxa"/>
            <w:vAlign w:val="center"/>
          </w:tcPr>
          <w:p>
            <w:pPr>
              <w:jc w:val="center"/>
              <w:rPr>
                <w:rFonts w:hAnsi="宋体"/>
                <w:szCs w:val="21"/>
              </w:rPr>
            </w:pPr>
            <w:r>
              <w:rPr>
                <w:rFonts w:hint="eastAsia" w:hAnsi="宋体"/>
                <w:szCs w:val="21"/>
              </w:rPr>
              <w:t>评分标准</w:t>
            </w:r>
          </w:p>
        </w:tc>
        <w:tc>
          <w:tcPr>
            <w:tcW w:w="649" w:type="dxa"/>
            <w:vAlign w:val="center"/>
          </w:tcPr>
          <w:p>
            <w:pPr>
              <w:jc w:val="center"/>
              <w:rPr>
                <w:rFonts w:hAnsi="宋体"/>
                <w:szCs w:val="21"/>
              </w:rPr>
            </w:pPr>
            <w:r>
              <w:rPr>
                <w:rFonts w:hint="eastAsia" w:hAnsi="宋体"/>
                <w:szCs w:val="21"/>
              </w:rPr>
              <w:t>实际得分</w:t>
            </w:r>
          </w:p>
        </w:tc>
      </w:tr>
      <w:tr>
        <w:tblPrEx>
          <w:tblLayout w:type="fixed"/>
        </w:tblPrEx>
        <w:trPr>
          <w:trHeight w:val="375" w:hRule="atLeast"/>
          <w:jc w:val="center"/>
        </w:trPr>
        <w:tc>
          <w:tcPr>
            <w:tcW w:w="1134" w:type="dxa"/>
            <w:vMerge w:val="restart"/>
            <w:vAlign w:val="center"/>
          </w:tcPr>
          <w:p>
            <w:pPr>
              <w:snapToGrid w:val="0"/>
              <w:jc w:val="center"/>
              <w:rPr>
                <w:rFonts w:hAnsi="宋体"/>
                <w:bCs/>
                <w:szCs w:val="21"/>
              </w:rPr>
            </w:pPr>
            <w:r>
              <w:rPr>
                <w:rFonts w:hint="eastAsia" w:hAnsi="宋体"/>
                <w:bCs/>
                <w:szCs w:val="21"/>
              </w:rPr>
              <w:t>财务状况</w:t>
            </w:r>
          </w:p>
          <w:p>
            <w:pPr>
              <w:snapToGrid w:val="0"/>
              <w:jc w:val="center"/>
              <w:rPr>
                <w:rFonts w:hAnsi="宋体"/>
                <w:bCs/>
                <w:szCs w:val="21"/>
              </w:rPr>
            </w:pPr>
            <w:r>
              <w:rPr>
                <w:rFonts w:hint="eastAsia" w:hAnsi="宋体"/>
                <w:bCs/>
                <w:szCs w:val="21"/>
              </w:rPr>
              <w:t>（1分）</w:t>
            </w:r>
          </w:p>
        </w:tc>
        <w:tc>
          <w:tcPr>
            <w:tcW w:w="721" w:type="dxa"/>
            <w:vMerge w:val="restart"/>
            <w:vAlign w:val="center"/>
          </w:tcPr>
          <w:p>
            <w:pPr>
              <w:snapToGrid w:val="0"/>
              <w:jc w:val="center"/>
              <w:rPr>
                <w:rFonts w:hAnsi="宋体"/>
                <w:bCs/>
                <w:szCs w:val="21"/>
              </w:rPr>
            </w:pPr>
            <w:r>
              <w:rPr>
                <w:rFonts w:hint="eastAsia" w:hAnsi="宋体"/>
                <w:bCs/>
                <w:szCs w:val="21"/>
              </w:rPr>
              <w:t>1分</w:t>
            </w:r>
          </w:p>
        </w:tc>
        <w:tc>
          <w:tcPr>
            <w:tcW w:w="3508" w:type="dxa"/>
            <w:vMerge w:val="restart"/>
            <w:vAlign w:val="center"/>
          </w:tcPr>
          <w:p>
            <w:pPr>
              <w:rPr>
                <w:rFonts w:hAnsi="宋体"/>
                <w:szCs w:val="21"/>
              </w:rPr>
            </w:pPr>
            <w:r>
              <w:rPr>
                <w:rFonts w:hint="eastAsia" w:hAnsi="宋体"/>
                <w:szCs w:val="21"/>
              </w:rPr>
              <w:t>提供2020年度经第三方审计的财务报表。</w:t>
            </w:r>
          </w:p>
        </w:tc>
        <w:tc>
          <w:tcPr>
            <w:tcW w:w="2729" w:type="dxa"/>
            <w:vAlign w:val="center"/>
          </w:tcPr>
          <w:p>
            <w:pPr>
              <w:rPr>
                <w:rFonts w:hAnsi="宋体"/>
                <w:szCs w:val="21"/>
              </w:rPr>
            </w:pPr>
            <w:r>
              <w:rPr>
                <w:rFonts w:hint="eastAsia" w:hAnsi="宋体"/>
                <w:szCs w:val="21"/>
              </w:rPr>
              <w:t>有提供并有盈利的，得1分</w:t>
            </w:r>
          </w:p>
        </w:tc>
        <w:tc>
          <w:tcPr>
            <w:tcW w:w="649" w:type="dxa"/>
            <w:vMerge w:val="restart"/>
            <w:vAlign w:val="center"/>
          </w:tcPr>
          <w:p>
            <w:pPr>
              <w:jc w:val="center"/>
              <w:rPr>
                <w:rFonts w:hAnsi="宋体"/>
                <w:szCs w:val="21"/>
              </w:rPr>
            </w:pPr>
          </w:p>
        </w:tc>
      </w:tr>
      <w:tr>
        <w:tblPrEx>
          <w:tblLayout w:type="fixed"/>
        </w:tblPrEx>
        <w:trPr>
          <w:trHeight w:val="306" w:hRule="atLeast"/>
          <w:jc w:val="center"/>
        </w:trPr>
        <w:tc>
          <w:tcPr>
            <w:tcW w:w="1134" w:type="dxa"/>
            <w:vMerge w:val="continue"/>
            <w:vAlign w:val="center"/>
          </w:tcPr>
          <w:p>
            <w:pPr>
              <w:snapToGrid w:val="0"/>
              <w:jc w:val="center"/>
              <w:rPr>
                <w:rFonts w:hAnsi="宋体"/>
                <w:bCs/>
                <w:szCs w:val="21"/>
              </w:rPr>
            </w:pPr>
          </w:p>
        </w:tc>
        <w:tc>
          <w:tcPr>
            <w:tcW w:w="721" w:type="dxa"/>
            <w:vMerge w:val="continue"/>
            <w:vAlign w:val="center"/>
          </w:tcPr>
          <w:p>
            <w:pPr>
              <w:snapToGrid w:val="0"/>
              <w:jc w:val="center"/>
              <w:rPr>
                <w:rFonts w:hAnsi="宋体"/>
                <w:bCs/>
                <w:szCs w:val="21"/>
              </w:rPr>
            </w:pPr>
          </w:p>
        </w:tc>
        <w:tc>
          <w:tcPr>
            <w:tcW w:w="3508" w:type="dxa"/>
            <w:vMerge w:val="continue"/>
            <w:vAlign w:val="center"/>
          </w:tcPr>
          <w:p>
            <w:pPr>
              <w:rPr>
                <w:rFonts w:hAnsi="宋体"/>
                <w:szCs w:val="21"/>
              </w:rPr>
            </w:pPr>
          </w:p>
        </w:tc>
        <w:tc>
          <w:tcPr>
            <w:tcW w:w="2729" w:type="dxa"/>
            <w:vAlign w:val="center"/>
          </w:tcPr>
          <w:p>
            <w:pPr>
              <w:rPr>
                <w:rFonts w:hAnsi="宋体"/>
                <w:szCs w:val="21"/>
              </w:rPr>
            </w:pPr>
            <w:r>
              <w:rPr>
                <w:rFonts w:hint="eastAsia" w:hAnsi="宋体"/>
                <w:szCs w:val="21"/>
              </w:rPr>
              <w:t>未盈利或亏损的，得0.2分</w:t>
            </w:r>
          </w:p>
        </w:tc>
        <w:tc>
          <w:tcPr>
            <w:tcW w:w="649" w:type="dxa"/>
            <w:vMerge w:val="continue"/>
            <w:vAlign w:val="center"/>
          </w:tcPr>
          <w:p>
            <w:pPr>
              <w:jc w:val="center"/>
              <w:rPr>
                <w:rFonts w:hAnsi="宋体"/>
                <w:szCs w:val="21"/>
              </w:rPr>
            </w:pPr>
          </w:p>
        </w:tc>
      </w:tr>
      <w:tr>
        <w:tblPrEx>
          <w:tblLayout w:type="fixed"/>
        </w:tblPrEx>
        <w:trPr>
          <w:trHeight w:val="375" w:hRule="atLeast"/>
          <w:jc w:val="center"/>
        </w:trPr>
        <w:tc>
          <w:tcPr>
            <w:tcW w:w="1134" w:type="dxa"/>
            <w:vMerge w:val="continue"/>
            <w:vAlign w:val="center"/>
          </w:tcPr>
          <w:p>
            <w:pPr>
              <w:snapToGrid w:val="0"/>
              <w:jc w:val="center"/>
              <w:rPr>
                <w:rFonts w:hAnsi="宋体"/>
                <w:bCs/>
                <w:szCs w:val="21"/>
              </w:rPr>
            </w:pPr>
          </w:p>
        </w:tc>
        <w:tc>
          <w:tcPr>
            <w:tcW w:w="721" w:type="dxa"/>
            <w:vMerge w:val="continue"/>
            <w:vAlign w:val="center"/>
          </w:tcPr>
          <w:p>
            <w:pPr>
              <w:snapToGrid w:val="0"/>
              <w:jc w:val="center"/>
              <w:rPr>
                <w:rFonts w:hAnsi="宋体"/>
                <w:bCs/>
                <w:szCs w:val="21"/>
              </w:rPr>
            </w:pPr>
          </w:p>
        </w:tc>
        <w:tc>
          <w:tcPr>
            <w:tcW w:w="3508" w:type="dxa"/>
            <w:vMerge w:val="continue"/>
            <w:vAlign w:val="center"/>
          </w:tcPr>
          <w:p>
            <w:pPr>
              <w:rPr>
                <w:rFonts w:hAnsi="宋体"/>
                <w:szCs w:val="21"/>
              </w:rPr>
            </w:pPr>
          </w:p>
        </w:tc>
        <w:tc>
          <w:tcPr>
            <w:tcW w:w="2729" w:type="dxa"/>
            <w:vAlign w:val="center"/>
          </w:tcPr>
          <w:p>
            <w:pPr>
              <w:rPr>
                <w:rFonts w:hAnsi="宋体"/>
                <w:szCs w:val="21"/>
              </w:rPr>
            </w:pPr>
            <w:r>
              <w:rPr>
                <w:rFonts w:hint="eastAsia" w:hAnsi="宋体"/>
                <w:szCs w:val="21"/>
              </w:rPr>
              <w:t>未提供的，得0分。</w:t>
            </w:r>
          </w:p>
        </w:tc>
        <w:tc>
          <w:tcPr>
            <w:tcW w:w="649" w:type="dxa"/>
            <w:vMerge w:val="continue"/>
            <w:vAlign w:val="center"/>
          </w:tcPr>
          <w:p>
            <w:pPr>
              <w:jc w:val="center"/>
              <w:rPr>
                <w:rFonts w:hAnsi="宋体"/>
                <w:szCs w:val="21"/>
              </w:rPr>
            </w:pPr>
          </w:p>
        </w:tc>
      </w:tr>
      <w:tr>
        <w:tblPrEx>
          <w:tblLayout w:type="fixed"/>
        </w:tblPrEx>
        <w:trPr>
          <w:trHeight w:val="375" w:hRule="atLeast"/>
          <w:jc w:val="center"/>
        </w:trPr>
        <w:tc>
          <w:tcPr>
            <w:tcW w:w="1134" w:type="dxa"/>
            <w:vMerge w:val="restart"/>
            <w:vAlign w:val="center"/>
          </w:tcPr>
          <w:p>
            <w:pPr>
              <w:snapToGrid w:val="0"/>
              <w:jc w:val="center"/>
              <w:rPr>
                <w:rFonts w:hAnsi="宋体"/>
                <w:bCs/>
                <w:szCs w:val="21"/>
              </w:rPr>
            </w:pPr>
            <w:r>
              <w:rPr>
                <w:rFonts w:hint="eastAsia" w:hAnsi="宋体"/>
                <w:bCs/>
                <w:szCs w:val="21"/>
              </w:rPr>
              <w:t>所投车辆生产企业的相关荣誉及实力（提供证书或证明材料）</w:t>
            </w:r>
          </w:p>
          <w:p>
            <w:pPr>
              <w:snapToGrid w:val="0"/>
              <w:jc w:val="center"/>
              <w:rPr>
                <w:rFonts w:hAnsi="宋体"/>
                <w:bCs/>
                <w:szCs w:val="21"/>
              </w:rPr>
            </w:pPr>
            <w:r>
              <w:rPr>
                <w:rFonts w:hint="eastAsia" w:hAnsi="宋体"/>
                <w:bCs/>
                <w:szCs w:val="21"/>
              </w:rPr>
              <w:t>（14分）</w:t>
            </w:r>
          </w:p>
        </w:tc>
        <w:tc>
          <w:tcPr>
            <w:tcW w:w="721" w:type="dxa"/>
            <w:vAlign w:val="center"/>
          </w:tcPr>
          <w:p>
            <w:pPr>
              <w:snapToGrid w:val="0"/>
              <w:jc w:val="center"/>
              <w:rPr>
                <w:rFonts w:hAnsi="宋体"/>
                <w:bCs/>
                <w:szCs w:val="21"/>
              </w:rPr>
            </w:pPr>
            <w:r>
              <w:rPr>
                <w:rFonts w:hint="eastAsia" w:hAnsi="宋体"/>
                <w:bCs/>
                <w:szCs w:val="21"/>
              </w:rPr>
              <w:t>2分</w:t>
            </w:r>
          </w:p>
        </w:tc>
        <w:tc>
          <w:tcPr>
            <w:tcW w:w="3508" w:type="dxa"/>
            <w:vAlign w:val="center"/>
          </w:tcPr>
          <w:p>
            <w:pPr>
              <w:rPr>
                <w:rFonts w:hAnsi="宋体"/>
                <w:szCs w:val="21"/>
              </w:rPr>
            </w:pPr>
            <w:r>
              <w:rPr>
                <w:rFonts w:hint="eastAsia" w:hAnsi="宋体"/>
                <w:szCs w:val="21"/>
              </w:rPr>
              <w:t>电瓶车生产企业获得特种设备生产许可证</w:t>
            </w:r>
          </w:p>
        </w:tc>
        <w:tc>
          <w:tcPr>
            <w:tcW w:w="2729" w:type="dxa"/>
            <w:vAlign w:val="center"/>
          </w:tcPr>
          <w:p>
            <w:pPr>
              <w:rPr>
                <w:rFonts w:hAnsi="宋体"/>
                <w:szCs w:val="21"/>
              </w:rPr>
            </w:pPr>
            <w:r>
              <w:rPr>
                <w:rFonts w:hint="eastAsia" w:hAnsi="宋体"/>
                <w:szCs w:val="21"/>
              </w:rPr>
              <w:t>2分</w:t>
            </w:r>
          </w:p>
        </w:tc>
        <w:tc>
          <w:tcPr>
            <w:tcW w:w="649" w:type="dxa"/>
            <w:vAlign w:val="center"/>
          </w:tcPr>
          <w:p>
            <w:pPr>
              <w:jc w:val="center"/>
              <w:rPr>
                <w:rFonts w:hAnsi="宋体"/>
                <w:szCs w:val="21"/>
              </w:rPr>
            </w:pPr>
          </w:p>
        </w:tc>
      </w:tr>
      <w:tr>
        <w:tblPrEx>
          <w:tblLayout w:type="fixed"/>
        </w:tblPrEx>
        <w:trPr>
          <w:trHeight w:val="379" w:hRule="atLeast"/>
          <w:jc w:val="center"/>
        </w:trPr>
        <w:tc>
          <w:tcPr>
            <w:tcW w:w="1134" w:type="dxa"/>
            <w:vMerge w:val="continue"/>
            <w:vAlign w:val="center"/>
          </w:tcPr>
          <w:p>
            <w:pPr>
              <w:snapToGrid w:val="0"/>
              <w:jc w:val="center"/>
              <w:rPr>
                <w:rFonts w:hAnsi="宋体"/>
                <w:bCs/>
                <w:szCs w:val="21"/>
              </w:rPr>
            </w:pPr>
          </w:p>
        </w:tc>
        <w:tc>
          <w:tcPr>
            <w:tcW w:w="721" w:type="dxa"/>
            <w:vMerge w:val="restart"/>
            <w:vAlign w:val="center"/>
          </w:tcPr>
          <w:p>
            <w:pPr>
              <w:snapToGrid w:val="0"/>
              <w:jc w:val="center"/>
              <w:rPr>
                <w:rFonts w:hAnsi="宋体"/>
                <w:bCs/>
                <w:szCs w:val="21"/>
              </w:rPr>
            </w:pPr>
            <w:r>
              <w:rPr>
                <w:rFonts w:hint="eastAsia" w:hAnsi="宋体"/>
                <w:bCs/>
                <w:szCs w:val="21"/>
              </w:rPr>
              <w:t>1分</w:t>
            </w:r>
          </w:p>
        </w:tc>
        <w:tc>
          <w:tcPr>
            <w:tcW w:w="3508" w:type="dxa"/>
            <w:vMerge w:val="restart"/>
            <w:vAlign w:val="center"/>
          </w:tcPr>
          <w:p>
            <w:pPr>
              <w:spacing w:line="240" w:lineRule="exact"/>
              <w:rPr>
                <w:rFonts w:hAnsi="Courier New" w:cs="宋体"/>
                <w:szCs w:val="21"/>
              </w:rPr>
            </w:pPr>
            <w:r>
              <w:rPr>
                <w:rFonts w:hint="eastAsia" w:hAnsi="宋体"/>
                <w:szCs w:val="21"/>
              </w:rPr>
              <w:t>获得ISO 9001：2008质量管理体系认证证书。</w:t>
            </w:r>
          </w:p>
        </w:tc>
        <w:tc>
          <w:tcPr>
            <w:tcW w:w="2729" w:type="dxa"/>
            <w:vAlign w:val="center"/>
          </w:tcPr>
          <w:p>
            <w:pPr>
              <w:spacing w:line="240" w:lineRule="exact"/>
              <w:rPr>
                <w:rFonts w:hAnsi="Courier New" w:cs="宋体"/>
                <w:szCs w:val="21"/>
              </w:rPr>
            </w:pPr>
            <w:r>
              <w:rPr>
                <w:rFonts w:hint="eastAsia" w:hAnsi="Courier New" w:cs="宋体"/>
                <w:szCs w:val="21"/>
              </w:rPr>
              <w:t>有提供的，</w:t>
            </w:r>
            <w:r>
              <w:rPr>
                <w:rFonts w:hAnsi="Courier New" w:cs="宋体"/>
                <w:szCs w:val="21"/>
              </w:rPr>
              <w:t>得</w:t>
            </w:r>
            <w:r>
              <w:rPr>
                <w:rFonts w:hint="eastAsia" w:hAnsi="Courier New" w:cs="宋体"/>
                <w:szCs w:val="21"/>
              </w:rPr>
              <w:t>1分</w:t>
            </w:r>
          </w:p>
        </w:tc>
        <w:tc>
          <w:tcPr>
            <w:tcW w:w="649" w:type="dxa"/>
            <w:vMerge w:val="restart"/>
            <w:vAlign w:val="center"/>
          </w:tcPr>
          <w:p>
            <w:pPr>
              <w:spacing w:line="240" w:lineRule="exact"/>
              <w:jc w:val="center"/>
              <w:rPr>
                <w:rFonts w:hAnsi="Courier New" w:cs="宋体"/>
                <w:szCs w:val="21"/>
              </w:rPr>
            </w:pPr>
          </w:p>
        </w:tc>
      </w:tr>
      <w:tr>
        <w:tblPrEx>
          <w:tblLayout w:type="fixed"/>
        </w:tblPrEx>
        <w:trPr>
          <w:trHeight w:val="717" w:hRule="atLeast"/>
          <w:jc w:val="center"/>
        </w:trPr>
        <w:tc>
          <w:tcPr>
            <w:tcW w:w="1134" w:type="dxa"/>
            <w:vMerge w:val="continue"/>
            <w:vAlign w:val="center"/>
          </w:tcPr>
          <w:p>
            <w:pPr>
              <w:snapToGrid w:val="0"/>
              <w:jc w:val="center"/>
              <w:rPr>
                <w:rFonts w:hAnsi="宋体"/>
                <w:bCs/>
                <w:szCs w:val="21"/>
              </w:rPr>
            </w:pPr>
          </w:p>
        </w:tc>
        <w:tc>
          <w:tcPr>
            <w:tcW w:w="721" w:type="dxa"/>
            <w:vMerge w:val="continue"/>
            <w:vAlign w:val="center"/>
          </w:tcPr>
          <w:p>
            <w:pPr>
              <w:snapToGrid w:val="0"/>
              <w:jc w:val="center"/>
              <w:rPr>
                <w:rFonts w:hAnsi="宋体"/>
                <w:bCs/>
                <w:szCs w:val="21"/>
              </w:rPr>
            </w:pPr>
          </w:p>
        </w:tc>
        <w:tc>
          <w:tcPr>
            <w:tcW w:w="3508" w:type="dxa"/>
            <w:vMerge w:val="continue"/>
            <w:vAlign w:val="center"/>
          </w:tcPr>
          <w:p>
            <w:pPr>
              <w:spacing w:line="240" w:lineRule="exact"/>
              <w:rPr>
                <w:rFonts w:hAnsi="宋体"/>
                <w:szCs w:val="21"/>
              </w:rPr>
            </w:pPr>
          </w:p>
        </w:tc>
        <w:tc>
          <w:tcPr>
            <w:tcW w:w="2729" w:type="dxa"/>
            <w:vAlign w:val="center"/>
          </w:tcPr>
          <w:p>
            <w:pPr>
              <w:spacing w:line="240" w:lineRule="exact"/>
              <w:rPr>
                <w:rFonts w:hAnsi="Courier New" w:cs="宋体"/>
                <w:szCs w:val="21"/>
              </w:rPr>
            </w:pPr>
            <w:r>
              <w:rPr>
                <w:rFonts w:hint="eastAsia" w:hAnsi="Courier New" w:cs="宋体"/>
                <w:szCs w:val="21"/>
              </w:rPr>
              <w:t>未提供的，</w:t>
            </w:r>
            <w:r>
              <w:rPr>
                <w:rFonts w:hAnsi="Courier New" w:cs="宋体"/>
                <w:szCs w:val="21"/>
              </w:rPr>
              <w:t>得</w:t>
            </w:r>
            <w:r>
              <w:rPr>
                <w:rFonts w:hint="eastAsia" w:hAnsi="Courier New" w:cs="宋体"/>
                <w:szCs w:val="21"/>
              </w:rPr>
              <w:t>0分</w:t>
            </w:r>
          </w:p>
        </w:tc>
        <w:tc>
          <w:tcPr>
            <w:tcW w:w="649" w:type="dxa"/>
            <w:vMerge w:val="continue"/>
            <w:vAlign w:val="center"/>
          </w:tcPr>
          <w:p>
            <w:pPr>
              <w:spacing w:line="240" w:lineRule="exact"/>
              <w:jc w:val="center"/>
              <w:rPr>
                <w:rFonts w:hAnsi="Courier New" w:cs="宋体"/>
                <w:szCs w:val="21"/>
              </w:rPr>
            </w:pPr>
          </w:p>
        </w:tc>
      </w:tr>
      <w:tr>
        <w:tblPrEx>
          <w:tblLayout w:type="fixed"/>
        </w:tblPrEx>
        <w:trPr>
          <w:trHeight w:val="415" w:hRule="atLeast"/>
          <w:jc w:val="center"/>
        </w:trPr>
        <w:tc>
          <w:tcPr>
            <w:tcW w:w="1134" w:type="dxa"/>
            <w:vMerge w:val="continue"/>
            <w:vAlign w:val="center"/>
          </w:tcPr>
          <w:p>
            <w:pPr>
              <w:snapToGrid w:val="0"/>
              <w:jc w:val="center"/>
              <w:rPr>
                <w:rFonts w:hAnsi="宋体"/>
                <w:bCs/>
                <w:szCs w:val="21"/>
              </w:rPr>
            </w:pPr>
          </w:p>
        </w:tc>
        <w:tc>
          <w:tcPr>
            <w:tcW w:w="721" w:type="dxa"/>
            <w:vMerge w:val="restart"/>
            <w:vAlign w:val="center"/>
          </w:tcPr>
          <w:p>
            <w:pPr>
              <w:snapToGrid w:val="0"/>
              <w:jc w:val="center"/>
              <w:rPr>
                <w:rFonts w:hAnsi="宋体"/>
                <w:bCs/>
                <w:szCs w:val="21"/>
              </w:rPr>
            </w:pPr>
            <w:r>
              <w:rPr>
                <w:rFonts w:hint="eastAsia" w:hAnsi="宋体"/>
                <w:bCs/>
                <w:szCs w:val="21"/>
              </w:rPr>
              <w:t>1分</w:t>
            </w:r>
          </w:p>
        </w:tc>
        <w:tc>
          <w:tcPr>
            <w:tcW w:w="3508" w:type="dxa"/>
            <w:vMerge w:val="restart"/>
            <w:vAlign w:val="center"/>
          </w:tcPr>
          <w:p>
            <w:pPr>
              <w:spacing w:line="240" w:lineRule="exact"/>
              <w:rPr>
                <w:rFonts w:hAnsi="宋体"/>
                <w:szCs w:val="21"/>
              </w:rPr>
            </w:pPr>
            <w:r>
              <w:rPr>
                <w:rFonts w:hint="eastAsia" w:hAnsi="宋体"/>
                <w:szCs w:val="21"/>
              </w:rPr>
              <w:t>获得ISO 14001：2004环境管理体系认证证书。</w:t>
            </w:r>
          </w:p>
        </w:tc>
        <w:tc>
          <w:tcPr>
            <w:tcW w:w="2729" w:type="dxa"/>
            <w:vAlign w:val="center"/>
          </w:tcPr>
          <w:p>
            <w:pPr>
              <w:spacing w:line="240" w:lineRule="exact"/>
              <w:rPr>
                <w:rFonts w:hAnsi="Courier New" w:cs="宋体"/>
                <w:szCs w:val="21"/>
              </w:rPr>
            </w:pPr>
            <w:r>
              <w:rPr>
                <w:rFonts w:hint="eastAsia" w:hAnsi="Courier New" w:cs="宋体"/>
                <w:szCs w:val="21"/>
              </w:rPr>
              <w:t>有提供的，</w:t>
            </w:r>
            <w:r>
              <w:rPr>
                <w:rFonts w:hAnsi="Courier New" w:cs="宋体"/>
                <w:szCs w:val="21"/>
              </w:rPr>
              <w:t>得</w:t>
            </w:r>
            <w:r>
              <w:rPr>
                <w:rFonts w:hint="eastAsia" w:hAnsi="Courier New" w:cs="宋体"/>
                <w:szCs w:val="21"/>
              </w:rPr>
              <w:t>1分</w:t>
            </w:r>
          </w:p>
        </w:tc>
        <w:tc>
          <w:tcPr>
            <w:tcW w:w="649" w:type="dxa"/>
            <w:vMerge w:val="restart"/>
            <w:vAlign w:val="center"/>
          </w:tcPr>
          <w:p>
            <w:pPr>
              <w:spacing w:line="240" w:lineRule="exact"/>
              <w:jc w:val="center"/>
              <w:rPr>
                <w:rFonts w:hAnsi="Courier New" w:cs="宋体"/>
                <w:szCs w:val="21"/>
              </w:rPr>
            </w:pPr>
          </w:p>
        </w:tc>
      </w:tr>
      <w:tr>
        <w:tblPrEx>
          <w:tblLayout w:type="fixed"/>
        </w:tblPrEx>
        <w:trPr>
          <w:trHeight w:val="379" w:hRule="atLeast"/>
          <w:jc w:val="center"/>
        </w:trPr>
        <w:tc>
          <w:tcPr>
            <w:tcW w:w="1134" w:type="dxa"/>
            <w:vMerge w:val="continue"/>
            <w:vAlign w:val="center"/>
          </w:tcPr>
          <w:p>
            <w:pPr>
              <w:snapToGrid w:val="0"/>
              <w:jc w:val="center"/>
              <w:rPr>
                <w:rFonts w:hAnsi="宋体"/>
                <w:bCs/>
                <w:szCs w:val="21"/>
              </w:rPr>
            </w:pPr>
          </w:p>
        </w:tc>
        <w:tc>
          <w:tcPr>
            <w:tcW w:w="721" w:type="dxa"/>
            <w:vMerge w:val="continue"/>
            <w:vAlign w:val="center"/>
          </w:tcPr>
          <w:p>
            <w:pPr>
              <w:snapToGrid w:val="0"/>
              <w:jc w:val="center"/>
              <w:rPr>
                <w:rFonts w:hAnsi="宋体"/>
                <w:bCs/>
                <w:szCs w:val="21"/>
              </w:rPr>
            </w:pPr>
          </w:p>
        </w:tc>
        <w:tc>
          <w:tcPr>
            <w:tcW w:w="3508" w:type="dxa"/>
            <w:vMerge w:val="continue"/>
            <w:vAlign w:val="center"/>
          </w:tcPr>
          <w:p>
            <w:pPr>
              <w:spacing w:line="240" w:lineRule="exact"/>
              <w:rPr>
                <w:rFonts w:hAnsi="宋体"/>
                <w:szCs w:val="21"/>
              </w:rPr>
            </w:pPr>
          </w:p>
        </w:tc>
        <w:tc>
          <w:tcPr>
            <w:tcW w:w="2729" w:type="dxa"/>
            <w:vAlign w:val="center"/>
          </w:tcPr>
          <w:p>
            <w:pPr>
              <w:spacing w:line="240" w:lineRule="exact"/>
              <w:rPr>
                <w:rFonts w:hAnsi="Courier New" w:cs="宋体"/>
                <w:szCs w:val="21"/>
              </w:rPr>
            </w:pPr>
            <w:r>
              <w:rPr>
                <w:rFonts w:hint="eastAsia" w:hAnsi="Courier New" w:cs="宋体"/>
                <w:szCs w:val="21"/>
              </w:rPr>
              <w:t>未提供的，</w:t>
            </w:r>
            <w:r>
              <w:rPr>
                <w:rFonts w:hAnsi="Courier New" w:cs="宋体"/>
                <w:szCs w:val="21"/>
              </w:rPr>
              <w:t>得</w:t>
            </w:r>
            <w:r>
              <w:rPr>
                <w:rFonts w:hint="eastAsia" w:hAnsi="Courier New" w:cs="宋体"/>
                <w:szCs w:val="21"/>
              </w:rPr>
              <w:t>0分</w:t>
            </w:r>
          </w:p>
        </w:tc>
        <w:tc>
          <w:tcPr>
            <w:tcW w:w="649" w:type="dxa"/>
            <w:vMerge w:val="continue"/>
            <w:vAlign w:val="center"/>
          </w:tcPr>
          <w:p>
            <w:pPr>
              <w:spacing w:line="240" w:lineRule="exact"/>
              <w:jc w:val="center"/>
              <w:rPr>
                <w:rFonts w:hAnsi="Courier New" w:cs="宋体"/>
                <w:szCs w:val="21"/>
              </w:rPr>
            </w:pPr>
          </w:p>
        </w:tc>
      </w:tr>
      <w:tr>
        <w:tblPrEx>
          <w:tblLayout w:type="fixed"/>
        </w:tblPrEx>
        <w:trPr>
          <w:trHeight w:val="372" w:hRule="atLeast"/>
          <w:jc w:val="center"/>
        </w:trPr>
        <w:tc>
          <w:tcPr>
            <w:tcW w:w="1134" w:type="dxa"/>
            <w:vMerge w:val="continue"/>
            <w:vAlign w:val="center"/>
          </w:tcPr>
          <w:p>
            <w:pPr>
              <w:snapToGrid w:val="0"/>
              <w:jc w:val="center"/>
              <w:rPr>
                <w:rFonts w:hAnsi="宋体"/>
                <w:bCs/>
                <w:szCs w:val="21"/>
              </w:rPr>
            </w:pPr>
          </w:p>
        </w:tc>
        <w:tc>
          <w:tcPr>
            <w:tcW w:w="721" w:type="dxa"/>
            <w:vMerge w:val="restart"/>
            <w:vAlign w:val="center"/>
          </w:tcPr>
          <w:p>
            <w:pPr>
              <w:snapToGrid w:val="0"/>
              <w:jc w:val="center"/>
              <w:rPr>
                <w:rFonts w:hAnsi="宋体"/>
                <w:bCs/>
                <w:szCs w:val="21"/>
              </w:rPr>
            </w:pPr>
            <w:r>
              <w:rPr>
                <w:rFonts w:hint="eastAsia" w:hAnsi="宋体"/>
                <w:bCs/>
                <w:szCs w:val="21"/>
              </w:rPr>
              <w:t>1分</w:t>
            </w:r>
          </w:p>
        </w:tc>
        <w:tc>
          <w:tcPr>
            <w:tcW w:w="3508" w:type="dxa"/>
            <w:vMerge w:val="restart"/>
            <w:vAlign w:val="center"/>
          </w:tcPr>
          <w:p>
            <w:pPr>
              <w:spacing w:line="240" w:lineRule="exact"/>
              <w:rPr>
                <w:rFonts w:hAnsi="宋体"/>
                <w:szCs w:val="21"/>
              </w:rPr>
            </w:pPr>
            <w:r>
              <w:rPr>
                <w:rFonts w:hint="eastAsia" w:hAnsi="宋体"/>
                <w:szCs w:val="21"/>
              </w:rPr>
              <w:t>获得国家推荐GB/T28001-2011 idt OHSAS18001:2007职业健康安全管理体系认证证书。</w:t>
            </w:r>
          </w:p>
        </w:tc>
        <w:tc>
          <w:tcPr>
            <w:tcW w:w="2729" w:type="dxa"/>
            <w:vAlign w:val="center"/>
          </w:tcPr>
          <w:p>
            <w:pPr>
              <w:spacing w:line="240" w:lineRule="exact"/>
              <w:rPr>
                <w:rFonts w:hAnsi="宋体"/>
                <w:szCs w:val="21"/>
              </w:rPr>
            </w:pPr>
            <w:r>
              <w:rPr>
                <w:rFonts w:hint="eastAsia" w:hAnsi="Courier New" w:cs="宋体"/>
                <w:szCs w:val="21"/>
              </w:rPr>
              <w:t>有提供的，</w:t>
            </w:r>
            <w:r>
              <w:rPr>
                <w:rFonts w:hAnsi="Courier New" w:cs="宋体"/>
                <w:szCs w:val="21"/>
              </w:rPr>
              <w:t>得</w:t>
            </w:r>
            <w:r>
              <w:rPr>
                <w:rFonts w:hint="eastAsia" w:hAnsi="Courier New" w:cs="宋体"/>
                <w:szCs w:val="21"/>
              </w:rPr>
              <w:t>1分</w:t>
            </w:r>
          </w:p>
        </w:tc>
        <w:tc>
          <w:tcPr>
            <w:tcW w:w="649" w:type="dxa"/>
            <w:vAlign w:val="center"/>
          </w:tcPr>
          <w:p>
            <w:pPr>
              <w:spacing w:line="240" w:lineRule="exact"/>
              <w:jc w:val="center"/>
              <w:rPr>
                <w:rFonts w:hAnsi="宋体"/>
                <w:szCs w:val="21"/>
              </w:rPr>
            </w:pPr>
          </w:p>
        </w:tc>
      </w:tr>
      <w:tr>
        <w:tblPrEx>
          <w:tblLayout w:type="fixed"/>
        </w:tblPrEx>
        <w:trPr>
          <w:trHeight w:val="372" w:hRule="atLeast"/>
          <w:jc w:val="center"/>
        </w:trPr>
        <w:tc>
          <w:tcPr>
            <w:tcW w:w="1134" w:type="dxa"/>
            <w:vMerge w:val="continue"/>
            <w:vAlign w:val="center"/>
          </w:tcPr>
          <w:p>
            <w:pPr>
              <w:snapToGrid w:val="0"/>
              <w:jc w:val="center"/>
              <w:rPr>
                <w:rFonts w:hAnsi="宋体"/>
                <w:bCs/>
                <w:szCs w:val="21"/>
              </w:rPr>
            </w:pPr>
          </w:p>
        </w:tc>
        <w:tc>
          <w:tcPr>
            <w:tcW w:w="721" w:type="dxa"/>
            <w:vMerge w:val="continue"/>
            <w:vAlign w:val="center"/>
          </w:tcPr>
          <w:p>
            <w:pPr>
              <w:snapToGrid w:val="0"/>
              <w:jc w:val="center"/>
              <w:rPr>
                <w:rFonts w:hAnsi="宋体"/>
                <w:bCs/>
                <w:szCs w:val="21"/>
              </w:rPr>
            </w:pPr>
          </w:p>
        </w:tc>
        <w:tc>
          <w:tcPr>
            <w:tcW w:w="3508" w:type="dxa"/>
            <w:vMerge w:val="continue"/>
            <w:vAlign w:val="center"/>
          </w:tcPr>
          <w:p>
            <w:pPr>
              <w:spacing w:line="240" w:lineRule="exact"/>
              <w:rPr>
                <w:rFonts w:hAnsi="宋体"/>
                <w:szCs w:val="21"/>
              </w:rPr>
            </w:pPr>
          </w:p>
        </w:tc>
        <w:tc>
          <w:tcPr>
            <w:tcW w:w="2729" w:type="dxa"/>
            <w:vAlign w:val="center"/>
          </w:tcPr>
          <w:p>
            <w:pPr>
              <w:spacing w:line="240" w:lineRule="exact"/>
              <w:rPr>
                <w:rFonts w:hAnsi="宋体"/>
                <w:szCs w:val="21"/>
              </w:rPr>
            </w:pPr>
            <w:r>
              <w:rPr>
                <w:rFonts w:hint="eastAsia" w:hAnsi="Courier New" w:cs="宋体"/>
                <w:szCs w:val="21"/>
              </w:rPr>
              <w:t>未提供的，</w:t>
            </w:r>
            <w:r>
              <w:rPr>
                <w:rFonts w:hAnsi="Courier New" w:cs="宋体"/>
                <w:szCs w:val="21"/>
              </w:rPr>
              <w:t>得</w:t>
            </w:r>
            <w:r>
              <w:rPr>
                <w:rFonts w:hint="eastAsia" w:hAnsi="Courier New" w:cs="宋体"/>
                <w:szCs w:val="21"/>
              </w:rPr>
              <w:t>0分</w:t>
            </w:r>
          </w:p>
        </w:tc>
        <w:tc>
          <w:tcPr>
            <w:tcW w:w="649" w:type="dxa"/>
            <w:vAlign w:val="center"/>
          </w:tcPr>
          <w:p>
            <w:pPr>
              <w:spacing w:line="240" w:lineRule="exact"/>
              <w:jc w:val="center"/>
              <w:rPr>
                <w:rFonts w:hAnsi="宋体"/>
                <w:szCs w:val="21"/>
              </w:rPr>
            </w:pPr>
          </w:p>
        </w:tc>
      </w:tr>
      <w:tr>
        <w:tblPrEx>
          <w:tblLayout w:type="fixed"/>
        </w:tblPrEx>
        <w:trPr>
          <w:trHeight w:val="372" w:hRule="atLeast"/>
          <w:jc w:val="center"/>
        </w:trPr>
        <w:tc>
          <w:tcPr>
            <w:tcW w:w="1134" w:type="dxa"/>
            <w:vMerge w:val="continue"/>
            <w:vAlign w:val="center"/>
          </w:tcPr>
          <w:p>
            <w:pPr>
              <w:snapToGrid w:val="0"/>
              <w:jc w:val="center"/>
              <w:rPr>
                <w:rFonts w:hAnsi="宋体"/>
                <w:bCs/>
                <w:szCs w:val="21"/>
              </w:rPr>
            </w:pPr>
          </w:p>
        </w:tc>
        <w:tc>
          <w:tcPr>
            <w:tcW w:w="721" w:type="dxa"/>
            <w:vMerge w:val="restart"/>
            <w:vAlign w:val="center"/>
          </w:tcPr>
          <w:p>
            <w:pPr>
              <w:snapToGrid w:val="0"/>
              <w:jc w:val="center"/>
              <w:rPr>
                <w:rFonts w:hAnsi="宋体"/>
                <w:bCs/>
                <w:szCs w:val="21"/>
              </w:rPr>
            </w:pPr>
            <w:r>
              <w:rPr>
                <w:rFonts w:hint="eastAsia" w:hAnsi="宋体"/>
                <w:bCs/>
                <w:szCs w:val="21"/>
              </w:rPr>
              <w:t>1分</w:t>
            </w:r>
          </w:p>
        </w:tc>
        <w:tc>
          <w:tcPr>
            <w:tcW w:w="3508" w:type="dxa"/>
            <w:vMerge w:val="restart"/>
            <w:vAlign w:val="center"/>
          </w:tcPr>
          <w:p>
            <w:pPr>
              <w:spacing w:line="240" w:lineRule="exact"/>
              <w:rPr>
                <w:rFonts w:hAnsi="宋体"/>
                <w:szCs w:val="21"/>
              </w:rPr>
            </w:pPr>
            <w:r>
              <w:rPr>
                <w:rFonts w:hint="eastAsia" w:hAnsi="宋体"/>
                <w:szCs w:val="21"/>
              </w:rPr>
              <w:t>获得测量体系认证证书</w:t>
            </w:r>
          </w:p>
        </w:tc>
        <w:tc>
          <w:tcPr>
            <w:tcW w:w="2729" w:type="dxa"/>
            <w:vAlign w:val="center"/>
          </w:tcPr>
          <w:p>
            <w:pPr>
              <w:spacing w:line="240" w:lineRule="exact"/>
              <w:rPr>
                <w:rFonts w:hAnsi="Courier New" w:cs="宋体"/>
                <w:szCs w:val="21"/>
              </w:rPr>
            </w:pPr>
            <w:r>
              <w:rPr>
                <w:rFonts w:hint="eastAsia" w:hAnsi="Courier New" w:cs="宋体"/>
                <w:szCs w:val="21"/>
              </w:rPr>
              <w:t>有提供的，</w:t>
            </w:r>
            <w:r>
              <w:rPr>
                <w:rFonts w:hAnsi="Courier New" w:cs="宋体"/>
                <w:szCs w:val="21"/>
              </w:rPr>
              <w:t>得</w:t>
            </w:r>
            <w:r>
              <w:rPr>
                <w:rFonts w:hint="eastAsia" w:hAnsi="Courier New" w:cs="宋体"/>
                <w:szCs w:val="21"/>
              </w:rPr>
              <w:t>1分</w:t>
            </w:r>
          </w:p>
        </w:tc>
        <w:tc>
          <w:tcPr>
            <w:tcW w:w="649" w:type="dxa"/>
            <w:vAlign w:val="center"/>
          </w:tcPr>
          <w:p>
            <w:pPr>
              <w:spacing w:line="240" w:lineRule="exact"/>
              <w:jc w:val="center"/>
              <w:rPr>
                <w:rFonts w:hAnsi="宋体"/>
                <w:szCs w:val="21"/>
              </w:rPr>
            </w:pPr>
          </w:p>
        </w:tc>
      </w:tr>
      <w:tr>
        <w:tblPrEx>
          <w:tblLayout w:type="fixed"/>
        </w:tblPrEx>
        <w:trPr>
          <w:trHeight w:val="372" w:hRule="atLeast"/>
          <w:jc w:val="center"/>
        </w:trPr>
        <w:tc>
          <w:tcPr>
            <w:tcW w:w="1134" w:type="dxa"/>
            <w:vMerge w:val="continue"/>
            <w:vAlign w:val="center"/>
          </w:tcPr>
          <w:p>
            <w:pPr>
              <w:snapToGrid w:val="0"/>
              <w:jc w:val="center"/>
              <w:rPr>
                <w:rFonts w:hAnsi="宋体"/>
                <w:bCs/>
                <w:szCs w:val="21"/>
              </w:rPr>
            </w:pPr>
          </w:p>
        </w:tc>
        <w:tc>
          <w:tcPr>
            <w:tcW w:w="721" w:type="dxa"/>
            <w:vMerge w:val="continue"/>
            <w:vAlign w:val="center"/>
          </w:tcPr>
          <w:p>
            <w:pPr>
              <w:snapToGrid w:val="0"/>
              <w:jc w:val="center"/>
              <w:rPr>
                <w:rFonts w:hAnsi="宋体"/>
                <w:bCs/>
                <w:szCs w:val="21"/>
              </w:rPr>
            </w:pPr>
          </w:p>
        </w:tc>
        <w:tc>
          <w:tcPr>
            <w:tcW w:w="3508" w:type="dxa"/>
            <w:vMerge w:val="continue"/>
            <w:vAlign w:val="center"/>
          </w:tcPr>
          <w:p>
            <w:pPr>
              <w:spacing w:line="240" w:lineRule="exact"/>
              <w:rPr>
                <w:rFonts w:hAnsi="宋体"/>
                <w:szCs w:val="21"/>
              </w:rPr>
            </w:pPr>
          </w:p>
        </w:tc>
        <w:tc>
          <w:tcPr>
            <w:tcW w:w="2729" w:type="dxa"/>
            <w:vAlign w:val="center"/>
          </w:tcPr>
          <w:p>
            <w:pPr>
              <w:spacing w:line="240" w:lineRule="exact"/>
              <w:rPr>
                <w:rFonts w:hAnsi="Courier New" w:cs="宋体"/>
                <w:szCs w:val="21"/>
              </w:rPr>
            </w:pPr>
            <w:r>
              <w:rPr>
                <w:rFonts w:hint="eastAsia" w:hAnsi="Courier New" w:cs="宋体"/>
                <w:szCs w:val="21"/>
              </w:rPr>
              <w:t>未提供的，</w:t>
            </w:r>
            <w:r>
              <w:rPr>
                <w:rFonts w:hAnsi="Courier New" w:cs="宋体"/>
                <w:szCs w:val="21"/>
              </w:rPr>
              <w:t>得</w:t>
            </w:r>
            <w:r>
              <w:rPr>
                <w:rFonts w:hint="eastAsia" w:hAnsi="Courier New" w:cs="宋体"/>
                <w:szCs w:val="21"/>
              </w:rPr>
              <w:t>0分</w:t>
            </w:r>
          </w:p>
        </w:tc>
        <w:tc>
          <w:tcPr>
            <w:tcW w:w="649" w:type="dxa"/>
            <w:vAlign w:val="center"/>
          </w:tcPr>
          <w:p>
            <w:pPr>
              <w:spacing w:line="240" w:lineRule="exact"/>
              <w:jc w:val="center"/>
              <w:rPr>
                <w:rFonts w:hAnsi="宋体"/>
                <w:szCs w:val="21"/>
              </w:rPr>
            </w:pPr>
          </w:p>
        </w:tc>
      </w:tr>
      <w:tr>
        <w:tblPrEx>
          <w:tblLayout w:type="fixed"/>
        </w:tblPrEx>
        <w:trPr>
          <w:trHeight w:val="372" w:hRule="atLeast"/>
          <w:jc w:val="center"/>
        </w:trPr>
        <w:tc>
          <w:tcPr>
            <w:tcW w:w="1134" w:type="dxa"/>
            <w:vMerge w:val="continue"/>
            <w:vAlign w:val="center"/>
          </w:tcPr>
          <w:p>
            <w:pPr>
              <w:snapToGrid w:val="0"/>
              <w:jc w:val="center"/>
              <w:rPr>
                <w:rFonts w:hAnsi="宋体"/>
                <w:bCs/>
                <w:szCs w:val="21"/>
              </w:rPr>
            </w:pPr>
          </w:p>
        </w:tc>
        <w:tc>
          <w:tcPr>
            <w:tcW w:w="721" w:type="dxa"/>
            <w:vMerge w:val="restart"/>
            <w:vAlign w:val="center"/>
          </w:tcPr>
          <w:p>
            <w:pPr>
              <w:snapToGrid w:val="0"/>
              <w:jc w:val="center"/>
              <w:rPr>
                <w:rFonts w:hAnsi="宋体"/>
                <w:bCs/>
                <w:szCs w:val="21"/>
              </w:rPr>
            </w:pPr>
            <w:r>
              <w:rPr>
                <w:rFonts w:hint="eastAsia" w:hAnsi="宋体"/>
                <w:bCs/>
                <w:szCs w:val="21"/>
              </w:rPr>
              <w:t>3分</w:t>
            </w:r>
          </w:p>
        </w:tc>
        <w:tc>
          <w:tcPr>
            <w:tcW w:w="3508" w:type="dxa"/>
            <w:vMerge w:val="restart"/>
            <w:vAlign w:val="center"/>
          </w:tcPr>
          <w:p>
            <w:pPr>
              <w:spacing w:line="240" w:lineRule="exact"/>
              <w:rPr>
                <w:rFonts w:hAnsi="宋体"/>
                <w:szCs w:val="21"/>
              </w:rPr>
            </w:pPr>
            <w:r>
              <w:rPr>
                <w:rFonts w:hint="eastAsia" w:hAnsi="宋体"/>
                <w:szCs w:val="21"/>
              </w:rPr>
              <w:t>生产企业成立时间：成立15年及以上得4分，15年以下10年及以上得3分；10年以下，5年及以上得1分；5年以下得0分。</w:t>
            </w:r>
          </w:p>
        </w:tc>
        <w:tc>
          <w:tcPr>
            <w:tcW w:w="2729" w:type="dxa"/>
            <w:vAlign w:val="center"/>
          </w:tcPr>
          <w:p>
            <w:pPr>
              <w:spacing w:line="240" w:lineRule="exact"/>
              <w:rPr>
                <w:rFonts w:hAnsi="Courier New" w:cs="宋体"/>
                <w:szCs w:val="21"/>
              </w:rPr>
            </w:pPr>
            <w:r>
              <w:rPr>
                <w:rFonts w:hint="eastAsia" w:hAnsi="宋体"/>
                <w:szCs w:val="21"/>
              </w:rPr>
              <w:t>成立15年及以上得3分</w:t>
            </w:r>
          </w:p>
        </w:tc>
        <w:tc>
          <w:tcPr>
            <w:tcW w:w="649" w:type="dxa"/>
            <w:vAlign w:val="center"/>
          </w:tcPr>
          <w:p>
            <w:pPr>
              <w:spacing w:line="240" w:lineRule="exact"/>
              <w:jc w:val="center"/>
              <w:rPr>
                <w:rFonts w:hAnsi="宋体"/>
                <w:szCs w:val="21"/>
              </w:rPr>
            </w:pPr>
          </w:p>
        </w:tc>
      </w:tr>
      <w:tr>
        <w:tblPrEx>
          <w:tblLayout w:type="fixed"/>
        </w:tblPrEx>
        <w:trPr>
          <w:trHeight w:val="372" w:hRule="atLeast"/>
          <w:jc w:val="center"/>
        </w:trPr>
        <w:tc>
          <w:tcPr>
            <w:tcW w:w="1134" w:type="dxa"/>
            <w:vMerge w:val="continue"/>
            <w:vAlign w:val="center"/>
          </w:tcPr>
          <w:p>
            <w:pPr>
              <w:snapToGrid w:val="0"/>
              <w:jc w:val="center"/>
              <w:rPr>
                <w:rFonts w:hAnsi="宋体"/>
                <w:bCs/>
                <w:szCs w:val="21"/>
              </w:rPr>
            </w:pPr>
          </w:p>
        </w:tc>
        <w:tc>
          <w:tcPr>
            <w:tcW w:w="721" w:type="dxa"/>
            <w:vMerge w:val="continue"/>
            <w:vAlign w:val="center"/>
          </w:tcPr>
          <w:p>
            <w:pPr>
              <w:snapToGrid w:val="0"/>
              <w:jc w:val="center"/>
              <w:rPr>
                <w:rFonts w:hAnsi="宋体"/>
                <w:bCs/>
                <w:szCs w:val="21"/>
              </w:rPr>
            </w:pPr>
          </w:p>
        </w:tc>
        <w:tc>
          <w:tcPr>
            <w:tcW w:w="3508" w:type="dxa"/>
            <w:vMerge w:val="continue"/>
            <w:vAlign w:val="center"/>
          </w:tcPr>
          <w:p>
            <w:pPr>
              <w:spacing w:line="240" w:lineRule="exact"/>
              <w:rPr>
                <w:rFonts w:hAnsi="宋体"/>
                <w:szCs w:val="21"/>
              </w:rPr>
            </w:pPr>
          </w:p>
        </w:tc>
        <w:tc>
          <w:tcPr>
            <w:tcW w:w="2729" w:type="dxa"/>
            <w:vAlign w:val="center"/>
          </w:tcPr>
          <w:p>
            <w:pPr>
              <w:spacing w:line="240" w:lineRule="exact"/>
              <w:rPr>
                <w:rFonts w:hAnsi="宋体"/>
                <w:szCs w:val="21"/>
              </w:rPr>
            </w:pPr>
            <w:r>
              <w:rPr>
                <w:rFonts w:hint="eastAsia" w:hAnsi="宋体"/>
                <w:szCs w:val="21"/>
              </w:rPr>
              <w:t>15年以下10年及以上得2分</w:t>
            </w:r>
          </w:p>
        </w:tc>
        <w:tc>
          <w:tcPr>
            <w:tcW w:w="649" w:type="dxa"/>
            <w:vAlign w:val="center"/>
          </w:tcPr>
          <w:p>
            <w:pPr>
              <w:spacing w:line="240" w:lineRule="exact"/>
              <w:jc w:val="center"/>
              <w:rPr>
                <w:rFonts w:hAnsi="宋体"/>
                <w:szCs w:val="21"/>
              </w:rPr>
            </w:pPr>
          </w:p>
        </w:tc>
      </w:tr>
      <w:tr>
        <w:tblPrEx>
          <w:tblLayout w:type="fixed"/>
        </w:tblPrEx>
        <w:trPr>
          <w:trHeight w:val="372" w:hRule="atLeast"/>
          <w:jc w:val="center"/>
        </w:trPr>
        <w:tc>
          <w:tcPr>
            <w:tcW w:w="1134" w:type="dxa"/>
            <w:vMerge w:val="continue"/>
            <w:vAlign w:val="center"/>
          </w:tcPr>
          <w:p>
            <w:pPr>
              <w:snapToGrid w:val="0"/>
              <w:jc w:val="center"/>
              <w:rPr>
                <w:rFonts w:hAnsi="宋体"/>
                <w:bCs/>
                <w:szCs w:val="21"/>
              </w:rPr>
            </w:pPr>
          </w:p>
        </w:tc>
        <w:tc>
          <w:tcPr>
            <w:tcW w:w="721" w:type="dxa"/>
            <w:vMerge w:val="continue"/>
            <w:vAlign w:val="center"/>
          </w:tcPr>
          <w:p>
            <w:pPr>
              <w:snapToGrid w:val="0"/>
              <w:jc w:val="center"/>
              <w:rPr>
                <w:rFonts w:hAnsi="宋体"/>
                <w:bCs/>
                <w:szCs w:val="21"/>
              </w:rPr>
            </w:pPr>
          </w:p>
        </w:tc>
        <w:tc>
          <w:tcPr>
            <w:tcW w:w="3508" w:type="dxa"/>
            <w:vMerge w:val="continue"/>
            <w:vAlign w:val="center"/>
          </w:tcPr>
          <w:p>
            <w:pPr>
              <w:spacing w:line="240" w:lineRule="exact"/>
              <w:rPr>
                <w:rFonts w:hAnsi="宋体"/>
                <w:szCs w:val="21"/>
              </w:rPr>
            </w:pPr>
          </w:p>
        </w:tc>
        <w:tc>
          <w:tcPr>
            <w:tcW w:w="2729" w:type="dxa"/>
            <w:vAlign w:val="center"/>
          </w:tcPr>
          <w:p>
            <w:pPr>
              <w:spacing w:line="240" w:lineRule="exact"/>
              <w:rPr>
                <w:rFonts w:hAnsi="宋体"/>
                <w:szCs w:val="21"/>
              </w:rPr>
            </w:pPr>
            <w:r>
              <w:rPr>
                <w:rFonts w:hint="eastAsia" w:hAnsi="宋体"/>
                <w:szCs w:val="21"/>
              </w:rPr>
              <w:t>10年以下，5年及以上得1分</w:t>
            </w:r>
          </w:p>
        </w:tc>
        <w:tc>
          <w:tcPr>
            <w:tcW w:w="649" w:type="dxa"/>
            <w:vAlign w:val="center"/>
          </w:tcPr>
          <w:p>
            <w:pPr>
              <w:spacing w:line="240" w:lineRule="exact"/>
              <w:jc w:val="center"/>
              <w:rPr>
                <w:rFonts w:hAnsi="宋体"/>
                <w:szCs w:val="21"/>
              </w:rPr>
            </w:pPr>
          </w:p>
        </w:tc>
      </w:tr>
      <w:tr>
        <w:tblPrEx>
          <w:tblLayout w:type="fixed"/>
        </w:tblPrEx>
        <w:trPr>
          <w:trHeight w:val="372" w:hRule="atLeast"/>
          <w:jc w:val="center"/>
        </w:trPr>
        <w:tc>
          <w:tcPr>
            <w:tcW w:w="1134" w:type="dxa"/>
            <w:vMerge w:val="continue"/>
            <w:vAlign w:val="center"/>
          </w:tcPr>
          <w:p>
            <w:pPr>
              <w:snapToGrid w:val="0"/>
              <w:jc w:val="center"/>
              <w:rPr>
                <w:rFonts w:hAnsi="宋体"/>
                <w:bCs/>
                <w:szCs w:val="21"/>
              </w:rPr>
            </w:pPr>
          </w:p>
        </w:tc>
        <w:tc>
          <w:tcPr>
            <w:tcW w:w="721" w:type="dxa"/>
            <w:vMerge w:val="continue"/>
            <w:vAlign w:val="center"/>
          </w:tcPr>
          <w:p>
            <w:pPr>
              <w:snapToGrid w:val="0"/>
              <w:jc w:val="center"/>
              <w:rPr>
                <w:rFonts w:hAnsi="宋体"/>
                <w:bCs/>
                <w:szCs w:val="21"/>
              </w:rPr>
            </w:pPr>
          </w:p>
        </w:tc>
        <w:tc>
          <w:tcPr>
            <w:tcW w:w="3508" w:type="dxa"/>
            <w:vMerge w:val="continue"/>
            <w:vAlign w:val="center"/>
          </w:tcPr>
          <w:p>
            <w:pPr>
              <w:spacing w:line="240" w:lineRule="exact"/>
              <w:rPr>
                <w:rFonts w:hAnsi="宋体"/>
                <w:szCs w:val="21"/>
              </w:rPr>
            </w:pPr>
          </w:p>
        </w:tc>
        <w:tc>
          <w:tcPr>
            <w:tcW w:w="2729" w:type="dxa"/>
            <w:vAlign w:val="center"/>
          </w:tcPr>
          <w:p>
            <w:pPr>
              <w:spacing w:line="240" w:lineRule="exact"/>
              <w:rPr>
                <w:rFonts w:hAnsi="宋体"/>
                <w:szCs w:val="21"/>
              </w:rPr>
            </w:pPr>
            <w:r>
              <w:rPr>
                <w:rFonts w:hint="eastAsia" w:hAnsi="宋体"/>
                <w:szCs w:val="21"/>
              </w:rPr>
              <w:t>成立5年以下得0分</w:t>
            </w:r>
          </w:p>
        </w:tc>
        <w:tc>
          <w:tcPr>
            <w:tcW w:w="649" w:type="dxa"/>
            <w:vAlign w:val="center"/>
          </w:tcPr>
          <w:p>
            <w:pPr>
              <w:spacing w:line="240" w:lineRule="exact"/>
              <w:jc w:val="center"/>
              <w:rPr>
                <w:rFonts w:hAnsi="宋体"/>
                <w:szCs w:val="21"/>
              </w:rPr>
            </w:pPr>
          </w:p>
        </w:tc>
      </w:tr>
      <w:tr>
        <w:tblPrEx>
          <w:tblLayout w:type="fixed"/>
        </w:tblPrEx>
        <w:trPr>
          <w:trHeight w:val="292" w:hRule="atLeast"/>
          <w:jc w:val="center"/>
        </w:trPr>
        <w:tc>
          <w:tcPr>
            <w:tcW w:w="1134" w:type="dxa"/>
            <w:vMerge w:val="continue"/>
            <w:vAlign w:val="center"/>
          </w:tcPr>
          <w:p>
            <w:pPr>
              <w:snapToGrid w:val="0"/>
              <w:jc w:val="center"/>
              <w:rPr>
                <w:rFonts w:hAnsi="宋体"/>
                <w:bCs/>
                <w:szCs w:val="21"/>
              </w:rPr>
            </w:pPr>
          </w:p>
        </w:tc>
        <w:tc>
          <w:tcPr>
            <w:tcW w:w="721" w:type="dxa"/>
            <w:vMerge w:val="restart"/>
            <w:vAlign w:val="center"/>
          </w:tcPr>
          <w:p>
            <w:pPr>
              <w:snapToGrid w:val="0"/>
              <w:jc w:val="center"/>
              <w:rPr>
                <w:rFonts w:hAnsi="宋体"/>
                <w:bCs/>
                <w:szCs w:val="21"/>
              </w:rPr>
            </w:pPr>
            <w:r>
              <w:rPr>
                <w:rFonts w:hint="eastAsia" w:hAnsi="宋体"/>
                <w:bCs/>
                <w:szCs w:val="21"/>
              </w:rPr>
              <w:t>3分</w:t>
            </w:r>
          </w:p>
        </w:tc>
        <w:tc>
          <w:tcPr>
            <w:tcW w:w="3508" w:type="dxa"/>
            <w:vMerge w:val="restart"/>
            <w:vAlign w:val="center"/>
          </w:tcPr>
          <w:p>
            <w:pPr>
              <w:spacing w:line="240" w:lineRule="exact"/>
              <w:rPr>
                <w:rFonts w:hAnsi="宋体"/>
                <w:szCs w:val="21"/>
              </w:rPr>
            </w:pPr>
            <w:r>
              <w:rPr>
                <w:rFonts w:hint="eastAsia" w:hAnsi="宋体"/>
                <w:szCs w:val="21"/>
              </w:rPr>
              <w:t>自2010年1月1日以来，参与完成国际或国家级别的以上大型项目。</w:t>
            </w:r>
          </w:p>
        </w:tc>
        <w:tc>
          <w:tcPr>
            <w:tcW w:w="2729" w:type="dxa"/>
            <w:vAlign w:val="center"/>
          </w:tcPr>
          <w:p>
            <w:pPr>
              <w:spacing w:line="240" w:lineRule="exact"/>
              <w:rPr>
                <w:rFonts w:hAnsi="Courier New" w:cs="宋体"/>
                <w:szCs w:val="21"/>
              </w:rPr>
            </w:pPr>
            <w:r>
              <w:rPr>
                <w:rFonts w:hint="eastAsia" w:hAnsi="宋体"/>
                <w:szCs w:val="21"/>
              </w:rPr>
              <w:t>参与3个的，得3分</w:t>
            </w:r>
          </w:p>
        </w:tc>
        <w:tc>
          <w:tcPr>
            <w:tcW w:w="649" w:type="dxa"/>
            <w:vMerge w:val="restart"/>
            <w:vAlign w:val="center"/>
          </w:tcPr>
          <w:p>
            <w:pPr>
              <w:spacing w:line="240" w:lineRule="exact"/>
              <w:jc w:val="center"/>
              <w:rPr>
                <w:rFonts w:hAnsi="宋体"/>
                <w:szCs w:val="21"/>
              </w:rPr>
            </w:pPr>
          </w:p>
        </w:tc>
      </w:tr>
      <w:tr>
        <w:tblPrEx>
          <w:tblLayout w:type="fixed"/>
        </w:tblPrEx>
        <w:trPr>
          <w:trHeight w:val="292" w:hRule="atLeast"/>
          <w:jc w:val="center"/>
        </w:trPr>
        <w:tc>
          <w:tcPr>
            <w:tcW w:w="1134" w:type="dxa"/>
            <w:vMerge w:val="continue"/>
            <w:vAlign w:val="center"/>
          </w:tcPr>
          <w:p>
            <w:pPr>
              <w:snapToGrid w:val="0"/>
              <w:jc w:val="center"/>
              <w:rPr>
                <w:rFonts w:hAnsi="宋体"/>
                <w:bCs/>
                <w:szCs w:val="21"/>
              </w:rPr>
            </w:pPr>
          </w:p>
        </w:tc>
        <w:tc>
          <w:tcPr>
            <w:tcW w:w="721" w:type="dxa"/>
            <w:vMerge w:val="continue"/>
            <w:vAlign w:val="center"/>
          </w:tcPr>
          <w:p>
            <w:pPr>
              <w:snapToGrid w:val="0"/>
              <w:jc w:val="center"/>
              <w:rPr>
                <w:rFonts w:hAnsi="宋体"/>
                <w:bCs/>
                <w:szCs w:val="21"/>
              </w:rPr>
            </w:pPr>
          </w:p>
        </w:tc>
        <w:tc>
          <w:tcPr>
            <w:tcW w:w="3508" w:type="dxa"/>
            <w:vMerge w:val="continue"/>
            <w:vAlign w:val="center"/>
          </w:tcPr>
          <w:p>
            <w:pPr>
              <w:spacing w:line="240" w:lineRule="exact"/>
              <w:rPr>
                <w:rFonts w:hAnsi="宋体"/>
                <w:szCs w:val="21"/>
              </w:rPr>
            </w:pPr>
          </w:p>
        </w:tc>
        <w:tc>
          <w:tcPr>
            <w:tcW w:w="2729" w:type="dxa"/>
            <w:vAlign w:val="center"/>
          </w:tcPr>
          <w:p>
            <w:pPr>
              <w:spacing w:line="240" w:lineRule="exact"/>
              <w:rPr>
                <w:rFonts w:hAnsi="宋体"/>
                <w:szCs w:val="21"/>
              </w:rPr>
            </w:pPr>
            <w:r>
              <w:rPr>
                <w:rFonts w:hint="eastAsia" w:hAnsi="宋体"/>
                <w:szCs w:val="21"/>
              </w:rPr>
              <w:t>参与2个项目的，得2分</w:t>
            </w:r>
          </w:p>
        </w:tc>
        <w:tc>
          <w:tcPr>
            <w:tcW w:w="649" w:type="dxa"/>
            <w:vMerge w:val="continue"/>
            <w:vAlign w:val="center"/>
          </w:tcPr>
          <w:p>
            <w:pPr>
              <w:spacing w:line="240" w:lineRule="exact"/>
              <w:jc w:val="center"/>
              <w:rPr>
                <w:rFonts w:hAnsi="宋体"/>
                <w:szCs w:val="21"/>
              </w:rPr>
            </w:pPr>
          </w:p>
        </w:tc>
      </w:tr>
      <w:tr>
        <w:tblPrEx>
          <w:tblLayout w:type="fixed"/>
        </w:tblPrEx>
        <w:trPr>
          <w:trHeight w:val="292" w:hRule="atLeast"/>
          <w:jc w:val="center"/>
        </w:trPr>
        <w:tc>
          <w:tcPr>
            <w:tcW w:w="1134" w:type="dxa"/>
            <w:vMerge w:val="continue"/>
            <w:vAlign w:val="center"/>
          </w:tcPr>
          <w:p>
            <w:pPr>
              <w:snapToGrid w:val="0"/>
              <w:jc w:val="center"/>
              <w:rPr>
                <w:rFonts w:hAnsi="宋体"/>
                <w:bCs/>
                <w:szCs w:val="21"/>
              </w:rPr>
            </w:pPr>
          </w:p>
        </w:tc>
        <w:tc>
          <w:tcPr>
            <w:tcW w:w="721" w:type="dxa"/>
            <w:vMerge w:val="continue"/>
            <w:vAlign w:val="center"/>
          </w:tcPr>
          <w:p>
            <w:pPr>
              <w:snapToGrid w:val="0"/>
              <w:jc w:val="center"/>
              <w:rPr>
                <w:rFonts w:hAnsi="宋体"/>
                <w:bCs/>
                <w:szCs w:val="21"/>
              </w:rPr>
            </w:pPr>
          </w:p>
        </w:tc>
        <w:tc>
          <w:tcPr>
            <w:tcW w:w="3508" w:type="dxa"/>
            <w:vMerge w:val="continue"/>
            <w:vAlign w:val="center"/>
          </w:tcPr>
          <w:p>
            <w:pPr>
              <w:spacing w:line="240" w:lineRule="exact"/>
              <w:rPr>
                <w:rFonts w:hAnsi="宋体"/>
                <w:szCs w:val="21"/>
              </w:rPr>
            </w:pPr>
          </w:p>
        </w:tc>
        <w:tc>
          <w:tcPr>
            <w:tcW w:w="2729" w:type="dxa"/>
            <w:vAlign w:val="center"/>
          </w:tcPr>
          <w:p>
            <w:pPr>
              <w:spacing w:line="240" w:lineRule="exact"/>
              <w:rPr>
                <w:rFonts w:hAnsi="宋体"/>
                <w:szCs w:val="21"/>
              </w:rPr>
            </w:pPr>
            <w:r>
              <w:rPr>
                <w:rFonts w:hint="eastAsia" w:hAnsi="宋体"/>
                <w:szCs w:val="21"/>
              </w:rPr>
              <w:t>参与1个项目的，得1分</w:t>
            </w:r>
          </w:p>
        </w:tc>
        <w:tc>
          <w:tcPr>
            <w:tcW w:w="649" w:type="dxa"/>
            <w:vMerge w:val="continue"/>
            <w:vAlign w:val="center"/>
          </w:tcPr>
          <w:p>
            <w:pPr>
              <w:spacing w:line="240" w:lineRule="exact"/>
              <w:jc w:val="center"/>
              <w:rPr>
                <w:rFonts w:hAnsi="宋体"/>
                <w:szCs w:val="21"/>
              </w:rPr>
            </w:pPr>
          </w:p>
        </w:tc>
      </w:tr>
      <w:tr>
        <w:tblPrEx>
          <w:tblLayout w:type="fixed"/>
        </w:tblPrEx>
        <w:trPr>
          <w:trHeight w:val="292" w:hRule="atLeast"/>
          <w:jc w:val="center"/>
        </w:trPr>
        <w:tc>
          <w:tcPr>
            <w:tcW w:w="1134" w:type="dxa"/>
            <w:vMerge w:val="continue"/>
            <w:vAlign w:val="center"/>
          </w:tcPr>
          <w:p>
            <w:pPr>
              <w:snapToGrid w:val="0"/>
              <w:jc w:val="center"/>
              <w:rPr>
                <w:rFonts w:hAnsi="宋体"/>
                <w:bCs/>
                <w:szCs w:val="21"/>
              </w:rPr>
            </w:pPr>
          </w:p>
        </w:tc>
        <w:tc>
          <w:tcPr>
            <w:tcW w:w="721" w:type="dxa"/>
            <w:vMerge w:val="continue"/>
            <w:vAlign w:val="center"/>
          </w:tcPr>
          <w:p>
            <w:pPr>
              <w:snapToGrid w:val="0"/>
              <w:jc w:val="center"/>
              <w:rPr>
                <w:rFonts w:hAnsi="宋体"/>
                <w:bCs/>
                <w:szCs w:val="21"/>
              </w:rPr>
            </w:pPr>
          </w:p>
        </w:tc>
        <w:tc>
          <w:tcPr>
            <w:tcW w:w="3508" w:type="dxa"/>
            <w:vMerge w:val="continue"/>
            <w:vAlign w:val="center"/>
          </w:tcPr>
          <w:p>
            <w:pPr>
              <w:spacing w:line="240" w:lineRule="exact"/>
              <w:rPr>
                <w:rFonts w:hAnsi="宋体"/>
                <w:szCs w:val="21"/>
              </w:rPr>
            </w:pPr>
          </w:p>
        </w:tc>
        <w:tc>
          <w:tcPr>
            <w:tcW w:w="2729" w:type="dxa"/>
            <w:vAlign w:val="center"/>
          </w:tcPr>
          <w:p>
            <w:pPr>
              <w:spacing w:line="240" w:lineRule="exact"/>
              <w:rPr>
                <w:rFonts w:hAnsi="宋体"/>
                <w:szCs w:val="21"/>
              </w:rPr>
            </w:pPr>
            <w:r>
              <w:rPr>
                <w:rFonts w:hint="eastAsia" w:hAnsi="宋体"/>
                <w:szCs w:val="21"/>
              </w:rPr>
              <w:t>无，得0分</w:t>
            </w:r>
          </w:p>
        </w:tc>
        <w:tc>
          <w:tcPr>
            <w:tcW w:w="649" w:type="dxa"/>
            <w:vMerge w:val="continue"/>
            <w:vAlign w:val="center"/>
          </w:tcPr>
          <w:p>
            <w:pPr>
              <w:spacing w:line="240" w:lineRule="exact"/>
              <w:jc w:val="center"/>
              <w:rPr>
                <w:rFonts w:hAnsi="宋体"/>
                <w:szCs w:val="21"/>
              </w:rPr>
            </w:pPr>
          </w:p>
        </w:tc>
      </w:tr>
      <w:tr>
        <w:tblPrEx>
          <w:tblLayout w:type="fixed"/>
        </w:tblPrEx>
        <w:trPr>
          <w:trHeight w:val="379" w:hRule="atLeast"/>
          <w:jc w:val="center"/>
        </w:trPr>
        <w:tc>
          <w:tcPr>
            <w:tcW w:w="1134" w:type="dxa"/>
            <w:vMerge w:val="continue"/>
            <w:vAlign w:val="center"/>
          </w:tcPr>
          <w:p>
            <w:pPr>
              <w:snapToGrid w:val="0"/>
              <w:jc w:val="center"/>
              <w:rPr>
                <w:rFonts w:hAnsi="宋体"/>
                <w:bCs/>
                <w:szCs w:val="21"/>
              </w:rPr>
            </w:pPr>
          </w:p>
        </w:tc>
        <w:tc>
          <w:tcPr>
            <w:tcW w:w="721" w:type="dxa"/>
            <w:vMerge w:val="restart"/>
            <w:vAlign w:val="center"/>
          </w:tcPr>
          <w:p>
            <w:pPr>
              <w:snapToGrid w:val="0"/>
              <w:jc w:val="center"/>
              <w:rPr>
                <w:rFonts w:hAnsi="宋体"/>
                <w:bCs/>
                <w:szCs w:val="21"/>
              </w:rPr>
            </w:pPr>
            <w:r>
              <w:rPr>
                <w:rFonts w:hint="eastAsia" w:hAnsi="宋体"/>
                <w:bCs/>
                <w:szCs w:val="21"/>
              </w:rPr>
              <w:t>2分</w:t>
            </w:r>
          </w:p>
        </w:tc>
        <w:tc>
          <w:tcPr>
            <w:tcW w:w="3508" w:type="dxa"/>
            <w:vMerge w:val="restart"/>
            <w:vAlign w:val="center"/>
          </w:tcPr>
          <w:p>
            <w:pPr>
              <w:spacing w:line="240" w:lineRule="exact"/>
              <w:rPr>
                <w:rFonts w:hAnsi="Courier New" w:cs="宋体"/>
                <w:szCs w:val="21"/>
              </w:rPr>
            </w:pPr>
            <w:r>
              <w:rPr>
                <w:rFonts w:hint="eastAsia"/>
                <w:szCs w:val="21"/>
              </w:rPr>
              <w:t>获得高新技术企业证书。</w:t>
            </w:r>
          </w:p>
        </w:tc>
        <w:tc>
          <w:tcPr>
            <w:tcW w:w="2729" w:type="dxa"/>
            <w:vAlign w:val="center"/>
          </w:tcPr>
          <w:p>
            <w:pPr>
              <w:spacing w:line="240" w:lineRule="exact"/>
              <w:rPr>
                <w:rFonts w:hAnsi="Courier New" w:cs="宋体"/>
                <w:szCs w:val="21"/>
              </w:rPr>
            </w:pPr>
            <w:r>
              <w:rPr>
                <w:rFonts w:hint="eastAsia"/>
                <w:szCs w:val="21"/>
              </w:rPr>
              <w:t>有提供的，得2分</w:t>
            </w:r>
          </w:p>
        </w:tc>
        <w:tc>
          <w:tcPr>
            <w:tcW w:w="649" w:type="dxa"/>
            <w:vMerge w:val="restart"/>
            <w:vAlign w:val="center"/>
          </w:tcPr>
          <w:p>
            <w:pPr>
              <w:spacing w:line="240" w:lineRule="exact"/>
              <w:jc w:val="center"/>
              <w:rPr>
                <w:szCs w:val="21"/>
              </w:rPr>
            </w:pPr>
          </w:p>
        </w:tc>
      </w:tr>
      <w:tr>
        <w:tblPrEx>
          <w:tblLayout w:type="fixed"/>
        </w:tblPrEx>
        <w:trPr>
          <w:trHeight w:val="379" w:hRule="atLeast"/>
          <w:jc w:val="center"/>
        </w:trPr>
        <w:tc>
          <w:tcPr>
            <w:tcW w:w="1134" w:type="dxa"/>
            <w:vMerge w:val="continue"/>
            <w:vAlign w:val="center"/>
          </w:tcPr>
          <w:p>
            <w:pPr>
              <w:snapToGrid w:val="0"/>
              <w:jc w:val="center"/>
              <w:rPr>
                <w:rFonts w:hAnsi="宋体"/>
                <w:bCs/>
                <w:szCs w:val="21"/>
              </w:rPr>
            </w:pPr>
          </w:p>
        </w:tc>
        <w:tc>
          <w:tcPr>
            <w:tcW w:w="721" w:type="dxa"/>
            <w:vMerge w:val="continue"/>
            <w:vAlign w:val="center"/>
          </w:tcPr>
          <w:p>
            <w:pPr>
              <w:snapToGrid w:val="0"/>
              <w:jc w:val="center"/>
              <w:rPr>
                <w:rFonts w:hAnsi="宋体"/>
                <w:bCs/>
                <w:szCs w:val="21"/>
              </w:rPr>
            </w:pPr>
          </w:p>
        </w:tc>
        <w:tc>
          <w:tcPr>
            <w:tcW w:w="3508" w:type="dxa"/>
            <w:vMerge w:val="continue"/>
            <w:vAlign w:val="center"/>
          </w:tcPr>
          <w:p>
            <w:pPr>
              <w:spacing w:line="240" w:lineRule="exact"/>
              <w:rPr>
                <w:szCs w:val="21"/>
              </w:rPr>
            </w:pPr>
          </w:p>
        </w:tc>
        <w:tc>
          <w:tcPr>
            <w:tcW w:w="2729" w:type="dxa"/>
            <w:vAlign w:val="center"/>
          </w:tcPr>
          <w:p>
            <w:pPr>
              <w:spacing w:line="240" w:lineRule="exact"/>
              <w:rPr>
                <w:rFonts w:hAnsi="Courier New" w:cs="宋体"/>
                <w:szCs w:val="21"/>
              </w:rPr>
            </w:pPr>
            <w:r>
              <w:rPr>
                <w:rFonts w:hint="eastAsia"/>
                <w:szCs w:val="21"/>
              </w:rPr>
              <w:t>未提供的，</w:t>
            </w:r>
            <w:r>
              <w:rPr>
                <w:szCs w:val="21"/>
              </w:rPr>
              <w:t>得</w:t>
            </w:r>
            <w:r>
              <w:rPr>
                <w:rFonts w:hint="eastAsia"/>
                <w:szCs w:val="21"/>
              </w:rPr>
              <w:t>0分</w:t>
            </w:r>
          </w:p>
        </w:tc>
        <w:tc>
          <w:tcPr>
            <w:tcW w:w="649" w:type="dxa"/>
            <w:vMerge w:val="continue"/>
            <w:vAlign w:val="center"/>
          </w:tcPr>
          <w:p>
            <w:pPr>
              <w:spacing w:line="240" w:lineRule="exact"/>
              <w:jc w:val="center"/>
              <w:rPr>
                <w:szCs w:val="21"/>
              </w:rPr>
            </w:pPr>
          </w:p>
        </w:tc>
      </w:tr>
      <w:tr>
        <w:tblPrEx>
          <w:tblLayout w:type="fixed"/>
        </w:tblPrEx>
        <w:trPr>
          <w:trHeight w:val="187" w:hRule="atLeast"/>
          <w:jc w:val="center"/>
        </w:trPr>
        <w:tc>
          <w:tcPr>
            <w:tcW w:w="1134" w:type="dxa"/>
            <w:vMerge w:val="restart"/>
            <w:vAlign w:val="center"/>
          </w:tcPr>
          <w:p>
            <w:pPr>
              <w:snapToGrid w:val="0"/>
              <w:jc w:val="center"/>
              <w:rPr>
                <w:rFonts w:hAnsi="宋体"/>
                <w:bCs/>
                <w:szCs w:val="21"/>
              </w:rPr>
            </w:pPr>
            <w:r>
              <w:rPr>
                <w:rFonts w:hint="eastAsia" w:hAnsi="宋体"/>
                <w:bCs/>
                <w:szCs w:val="21"/>
              </w:rPr>
              <w:t>售后服务</w:t>
            </w:r>
          </w:p>
          <w:p>
            <w:pPr>
              <w:snapToGrid w:val="0"/>
              <w:jc w:val="center"/>
              <w:rPr>
                <w:rFonts w:hAnsi="宋体"/>
                <w:bCs/>
                <w:szCs w:val="21"/>
              </w:rPr>
            </w:pPr>
            <w:r>
              <w:rPr>
                <w:rFonts w:hint="eastAsia" w:hAnsi="宋体"/>
                <w:bCs/>
                <w:szCs w:val="21"/>
              </w:rPr>
              <w:t>(5分)</w:t>
            </w:r>
          </w:p>
        </w:tc>
        <w:tc>
          <w:tcPr>
            <w:tcW w:w="721" w:type="dxa"/>
            <w:vMerge w:val="restart"/>
            <w:vAlign w:val="center"/>
          </w:tcPr>
          <w:p>
            <w:pPr>
              <w:snapToGrid w:val="0"/>
              <w:jc w:val="center"/>
              <w:rPr>
                <w:rFonts w:hAnsi="宋体"/>
                <w:bCs/>
                <w:szCs w:val="21"/>
              </w:rPr>
            </w:pPr>
            <w:r>
              <w:rPr>
                <w:rFonts w:hint="eastAsia" w:hAnsi="宋体"/>
                <w:bCs/>
                <w:szCs w:val="21"/>
              </w:rPr>
              <w:t>2分</w:t>
            </w:r>
          </w:p>
        </w:tc>
        <w:tc>
          <w:tcPr>
            <w:tcW w:w="3508" w:type="dxa"/>
            <w:vMerge w:val="restart"/>
            <w:vAlign w:val="center"/>
          </w:tcPr>
          <w:p>
            <w:pPr>
              <w:rPr>
                <w:rFonts w:hAnsi="宋体"/>
                <w:szCs w:val="21"/>
              </w:rPr>
            </w:pPr>
            <w:r>
              <w:rPr>
                <w:rFonts w:hint="eastAsia" w:hAnsi="宋体"/>
                <w:szCs w:val="21"/>
              </w:rPr>
              <w:t>在招标人当地的售后服务机构（需提供相关授权证明）。</w:t>
            </w:r>
          </w:p>
        </w:tc>
        <w:tc>
          <w:tcPr>
            <w:tcW w:w="2729" w:type="dxa"/>
            <w:vAlign w:val="center"/>
          </w:tcPr>
          <w:p>
            <w:pPr>
              <w:rPr>
                <w:rFonts w:hAnsi="宋体"/>
                <w:szCs w:val="21"/>
              </w:rPr>
            </w:pPr>
            <w:r>
              <w:rPr>
                <w:rFonts w:hint="eastAsia" w:hAnsi="宋体"/>
                <w:szCs w:val="21"/>
              </w:rPr>
              <w:t>有当地注册的，得2分</w:t>
            </w:r>
          </w:p>
        </w:tc>
        <w:tc>
          <w:tcPr>
            <w:tcW w:w="649" w:type="dxa"/>
            <w:vMerge w:val="restart"/>
            <w:vAlign w:val="center"/>
          </w:tcPr>
          <w:p>
            <w:pPr>
              <w:jc w:val="center"/>
              <w:rPr>
                <w:rFonts w:hAnsi="宋体"/>
                <w:szCs w:val="21"/>
              </w:rPr>
            </w:pPr>
          </w:p>
        </w:tc>
      </w:tr>
      <w:tr>
        <w:tblPrEx>
          <w:tblLayout w:type="fixed"/>
        </w:tblPrEx>
        <w:trPr>
          <w:trHeight w:val="187" w:hRule="atLeast"/>
          <w:jc w:val="center"/>
        </w:trPr>
        <w:tc>
          <w:tcPr>
            <w:tcW w:w="1134" w:type="dxa"/>
            <w:vMerge w:val="continue"/>
            <w:vAlign w:val="center"/>
          </w:tcPr>
          <w:p>
            <w:pPr>
              <w:snapToGrid w:val="0"/>
              <w:jc w:val="center"/>
              <w:rPr>
                <w:rFonts w:hAnsi="宋体"/>
                <w:bCs/>
                <w:szCs w:val="21"/>
              </w:rPr>
            </w:pPr>
          </w:p>
        </w:tc>
        <w:tc>
          <w:tcPr>
            <w:tcW w:w="721" w:type="dxa"/>
            <w:vMerge w:val="continue"/>
            <w:vAlign w:val="center"/>
          </w:tcPr>
          <w:p>
            <w:pPr>
              <w:snapToGrid w:val="0"/>
              <w:jc w:val="center"/>
              <w:rPr>
                <w:rFonts w:hAnsi="宋体"/>
                <w:bCs/>
                <w:szCs w:val="21"/>
              </w:rPr>
            </w:pPr>
          </w:p>
        </w:tc>
        <w:tc>
          <w:tcPr>
            <w:tcW w:w="3508" w:type="dxa"/>
            <w:vMerge w:val="continue"/>
            <w:vAlign w:val="center"/>
          </w:tcPr>
          <w:p>
            <w:pPr>
              <w:rPr>
                <w:rFonts w:hAnsi="宋体"/>
                <w:szCs w:val="21"/>
              </w:rPr>
            </w:pPr>
          </w:p>
        </w:tc>
        <w:tc>
          <w:tcPr>
            <w:tcW w:w="2729" w:type="dxa"/>
            <w:vAlign w:val="center"/>
          </w:tcPr>
          <w:p>
            <w:pPr>
              <w:rPr>
                <w:rFonts w:hAnsi="宋体"/>
                <w:szCs w:val="21"/>
              </w:rPr>
            </w:pPr>
            <w:r>
              <w:rPr>
                <w:rFonts w:hint="eastAsia" w:hAnsi="宋体"/>
                <w:szCs w:val="21"/>
              </w:rPr>
              <w:t>有授权服务点，得1分</w:t>
            </w:r>
          </w:p>
        </w:tc>
        <w:tc>
          <w:tcPr>
            <w:tcW w:w="649" w:type="dxa"/>
            <w:vMerge w:val="continue"/>
            <w:vAlign w:val="center"/>
          </w:tcPr>
          <w:p>
            <w:pPr>
              <w:jc w:val="center"/>
              <w:rPr>
                <w:rFonts w:hAnsi="宋体"/>
                <w:szCs w:val="21"/>
              </w:rPr>
            </w:pPr>
          </w:p>
        </w:tc>
      </w:tr>
      <w:tr>
        <w:tblPrEx>
          <w:tblLayout w:type="fixed"/>
        </w:tblPrEx>
        <w:trPr>
          <w:trHeight w:val="187" w:hRule="atLeast"/>
          <w:jc w:val="center"/>
        </w:trPr>
        <w:tc>
          <w:tcPr>
            <w:tcW w:w="1134" w:type="dxa"/>
            <w:vMerge w:val="continue"/>
            <w:vAlign w:val="center"/>
          </w:tcPr>
          <w:p>
            <w:pPr>
              <w:snapToGrid w:val="0"/>
              <w:jc w:val="center"/>
              <w:rPr>
                <w:rFonts w:hAnsi="宋体"/>
                <w:bCs/>
                <w:szCs w:val="21"/>
              </w:rPr>
            </w:pPr>
          </w:p>
        </w:tc>
        <w:tc>
          <w:tcPr>
            <w:tcW w:w="721" w:type="dxa"/>
            <w:vMerge w:val="continue"/>
            <w:vAlign w:val="center"/>
          </w:tcPr>
          <w:p>
            <w:pPr>
              <w:snapToGrid w:val="0"/>
              <w:jc w:val="center"/>
              <w:rPr>
                <w:rFonts w:hAnsi="宋体"/>
                <w:bCs/>
                <w:szCs w:val="21"/>
              </w:rPr>
            </w:pPr>
          </w:p>
        </w:tc>
        <w:tc>
          <w:tcPr>
            <w:tcW w:w="3508" w:type="dxa"/>
            <w:vMerge w:val="continue"/>
            <w:vAlign w:val="center"/>
          </w:tcPr>
          <w:p>
            <w:pPr>
              <w:rPr>
                <w:rFonts w:hAnsi="宋体"/>
                <w:szCs w:val="21"/>
              </w:rPr>
            </w:pPr>
          </w:p>
        </w:tc>
        <w:tc>
          <w:tcPr>
            <w:tcW w:w="2729" w:type="dxa"/>
            <w:vAlign w:val="center"/>
          </w:tcPr>
          <w:p>
            <w:pPr>
              <w:rPr>
                <w:rFonts w:hAnsi="宋体"/>
                <w:szCs w:val="21"/>
              </w:rPr>
            </w:pPr>
            <w:r>
              <w:rPr>
                <w:rFonts w:hint="eastAsia" w:hAnsi="宋体"/>
                <w:szCs w:val="21"/>
              </w:rPr>
              <w:t>无服务点的，得0分</w:t>
            </w:r>
          </w:p>
        </w:tc>
        <w:tc>
          <w:tcPr>
            <w:tcW w:w="649" w:type="dxa"/>
            <w:vMerge w:val="continue"/>
            <w:vAlign w:val="center"/>
          </w:tcPr>
          <w:p>
            <w:pPr>
              <w:jc w:val="center"/>
              <w:rPr>
                <w:rFonts w:hAnsi="宋体"/>
                <w:szCs w:val="21"/>
              </w:rPr>
            </w:pPr>
          </w:p>
        </w:tc>
      </w:tr>
      <w:tr>
        <w:tblPrEx>
          <w:tblLayout w:type="fixed"/>
        </w:tblPrEx>
        <w:trPr>
          <w:trHeight w:val="317" w:hRule="atLeast"/>
          <w:jc w:val="center"/>
        </w:trPr>
        <w:tc>
          <w:tcPr>
            <w:tcW w:w="1134" w:type="dxa"/>
            <w:vMerge w:val="continue"/>
            <w:vAlign w:val="center"/>
          </w:tcPr>
          <w:p>
            <w:pPr>
              <w:snapToGrid w:val="0"/>
              <w:jc w:val="center"/>
              <w:rPr>
                <w:rFonts w:hAnsi="宋体"/>
                <w:bCs/>
                <w:szCs w:val="21"/>
              </w:rPr>
            </w:pPr>
          </w:p>
        </w:tc>
        <w:tc>
          <w:tcPr>
            <w:tcW w:w="721" w:type="dxa"/>
            <w:vMerge w:val="restart"/>
            <w:vAlign w:val="center"/>
          </w:tcPr>
          <w:p>
            <w:pPr>
              <w:snapToGrid w:val="0"/>
              <w:jc w:val="center"/>
              <w:rPr>
                <w:rFonts w:hAnsi="宋体"/>
                <w:bCs/>
                <w:szCs w:val="21"/>
              </w:rPr>
            </w:pPr>
            <w:r>
              <w:rPr>
                <w:rFonts w:hint="eastAsia" w:hAnsi="宋体"/>
                <w:bCs/>
                <w:szCs w:val="21"/>
              </w:rPr>
              <w:t>3分</w:t>
            </w:r>
          </w:p>
        </w:tc>
        <w:tc>
          <w:tcPr>
            <w:tcW w:w="3508" w:type="dxa"/>
            <w:vMerge w:val="restart"/>
            <w:vAlign w:val="center"/>
          </w:tcPr>
          <w:p>
            <w:pPr>
              <w:rPr>
                <w:rFonts w:hAnsi="宋体"/>
                <w:szCs w:val="21"/>
              </w:rPr>
            </w:pPr>
            <w:r>
              <w:rPr>
                <w:rFonts w:hint="eastAsia" w:hAnsi="宋体"/>
                <w:szCs w:val="21"/>
              </w:rPr>
              <w:t>投标人承诺的售后服务条款和工作方案、培训措施。</w:t>
            </w:r>
          </w:p>
        </w:tc>
        <w:tc>
          <w:tcPr>
            <w:tcW w:w="2729" w:type="dxa"/>
            <w:vAlign w:val="center"/>
          </w:tcPr>
          <w:p>
            <w:pPr>
              <w:rPr>
                <w:rFonts w:hAnsi="宋体"/>
                <w:szCs w:val="21"/>
              </w:rPr>
            </w:pPr>
            <w:r>
              <w:rPr>
                <w:rFonts w:hint="eastAsia" w:hAnsi="宋体"/>
                <w:szCs w:val="21"/>
              </w:rPr>
              <w:t>评价方案优得3分</w:t>
            </w:r>
          </w:p>
        </w:tc>
        <w:tc>
          <w:tcPr>
            <w:tcW w:w="649" w:type="dxa"/>
            <w:vMerge w:val="restart"/>
            <w:vAlign w:val="center"/>
          </w:tcPr>
          <w:p>
            <w:pPr>
              <w:jc w:val="center"/>
              <w:rPr>
                <w:rFonts w:hAnsi="宋体"/>
                <w:szCs w:val="21"/>
              </w:rPr>
            </w:pPr>
          </w:p>
        </w:tc>
      </w:tr>
      <w:tr>
        <w:tblPrEx>
          <w:tblLayout w:type="fixed"/>
        </w:tblPrEx>
        <w:trPr>
          <w:trHeight w:val="317" w:hRule="atLeast"/>
          <w:jc w:val="center"/>
        </w:trPr>
        <w:tc>
          <w:tcPr>
            <w:tcW w:w="1134" w:type="dxa"/>
            <w:vMerge w:val="continue"/>
            <w:vAlign w:val="center"/>
          </w:tcPr>
          <w:p>
            <w:pPr>
              <w:snapToGrid w:val="0"/>
              <w:jc w:val="center"/>
              <w:rPr>
                <w:rFonts w:hAnsi="宋体"/>
                <w:bCs/>
                <w:szCs w:val="21"/>
              </w:rPr>
            </w:pPr>
          </w:p>
        </w:tc>
        <w:tc>
          <w:tcPr>
            <w:tcW w:w="721" w:type="dxa"/>
            <w:vMerge w:val="continue"/>
            <w:vAlign w:val="center"/>
          </w:tcPr>
          <w:p>
            <w:pPr>
              <w:snapToGrid w:val="0"/>
              <w:jc w:val="center"/>
              <w:rPr>
                <w:rFonts w:hAnsi="宋体"/>
                <w:bCs/>
                <w:szCs w:val="21"/>
              </w:rPr>
            </w:pPr>
          </w:p>
        </w:tc>
        <w:tc>
          <w:tcPr>
            <w:tcW w:w="3508" w:type="dxa"/>
            <w:vMerge w:val="continue"/>
            <w:vAlign w:val="center"/>
          </w:tcPr>
          <w:p>
            <w:pPr>
              <w:rPr>
                <w:rFonts w:hAnsi="宋体"/>
                <w:szCs w:val="21"/>
              </w:rPr>
            </w:pPr>
          </w:p>
        </w:tc>
        <w:tc>
          <w:tcPr>
            <w:tcW w:w="2729" w:type="dxa"/>
            <w:vAlign w:val="center"/>
          </w:tcPr>
          <w:p>
            <w:pPr>
              <w:rPr>
                <w:rFonts w:hAnsi="宋体"/>
                <w:szCs w:val="21"/>
              </w:rPr>
            </w:pPr>
            <w:r>
              <w:rPr>
                <w:rFonts w:hint="eastAsia" w:hAnsi="宋体"/>
                <w:szCs w:val="21"/>
              </w:rPr>
              <w:t>评价中得2分</w:t>
            </w:r>
          </w:p>
        </w:tc>
        <w:tc>
          <w:tcPr>
            <w:tcW w:w="649" w:type="dxa"/>
            <w:vMerge w:val="continue"/>
            <w:vAlign w:val="center"/>
          </w:tcPr>
          <w:p>
            <w:pPr>
              <w:jc w:val="center"/>
              <w:rPr>
                <w:rFonts w:hAnsi="宋体"/>
                <w:szCs w:val="21"/>
              </w:rPr>
            </w:pPr>
          </w:p>
        </w:tc>
      </w:tr>
      <w:tr>
        <w:tblPrEx>
          <w:tblLayout w:type="fixed"/>
        </w:tblPrEx>
        <w:trPr>
          <w:trHeight w:val="317" w:hRule="atLeast"/>
          <w:jc w:val="center"/>
        </w:trPr>
        <w:tc>
          <w:tcPr>
            <w:tcW w:w="1134" w:type="dxa"/>
            <w:vMerge w:val="continue"/>
            <w:vAlign w:val="center"/>
          </w:tcPr>
          <w:p>
            <w:pPr>
              <w:snapToGrid w:val="0"/>
              <w:jc w:val="center"/>
              <w:rPr>
                <w:rFonts w:hAnsi="宋体"/>
                <w:bCs/>
                <w:szCs w:val="21"/>
              </w:rPr>
            </w:pPr>
          </w:p>
        </w:tc>
        <w:tc>
          <w:tcPr>
            <w:tcW w:w="721" w:type="dxa"/>
            <w:vMerge w:val="continue"/>
            <w:vAlign w:val="center"/>
          </w:tcPr>
          <w:p>
            <w:pPr>
              <w:snapToGrid w:val="0"/>
              <w:jc w:val="center"/>
              <w:rPr>
                <w:rFonts w:hAnsi="宋体"/>
                <w:bCs/>
                <w:szCs w:val="21"/>
              </w:rPr>
            </w:pPr>
          </w:p>
        </w:tc>
        <w:tc>
          <w:tcPr>
            <w:tcW w:w="3508" w:type="dxa"/>
            <w:vMerge w:val="continue"/>
            <w:vAlign w:val="center"/>
          </w:tcPr>
          <w:p>
            <w:pPr>
              <w:rPr>
                <w:rFonts w:hAnsi="宋体"/>
                <w:szCs w:val="21"/>
              </w:rPr>
            </w:pPr>
          </w:p>
        </w:tc>
        <w:tc>
          <w:tcPr>
            <w:tcW w:w="2729" w:type="dxa"/>
            <w:vAlign w:val="center"/>
          </w:tcPr>
          <w:p>
            <w:pPr>
              <w:rPr>
                <w:rFonts w:hAnsi="宋体"/>
                <w:szCs w:val="21"/>
              </w:rPr>
            </w:pPr>
            <w:r>
              <w:rPr>
                <w:rFonts w:hint="eastAsia" w:hAnsi="宋体"/>
                <w:szCs w:val="21"/>
              </w:rPr>
              <w:t>评价基本符合要求得1分</w:t>
            </w:r>
          </w:p>
        </w:tc>
        <w:tc>
          <w:tcPr>
            <w:tcW w:w="649" w:type="dxa"/>
            <w:vMerge w:val="continue"/>
            <w:vAlign w:val="center"/>
          </w:tcPr>
          <w:p>
            <w:pPr>
              <w:jc w:val="center"/>
              <w:rPr>
                <w:rFonts w:hAnsi="宋体"/>
                <w:szCs w:val="21"/>
              </w:rPr>
            </w:pPr>
          </w:p>
        </w:tc>
      </w:tr>
      <w:tr>
        <w:tblPrEx>
          <w:tblLayout w:type="fixed"/>
        </w:tblPrEx>
        <w:trPr>
          <w:trHeight w:val="317" w:hRule="atLeast"/>
          <w:jc w:val="center"/>
        </w:trPr>
        <w:tc>
          <w:tcPr>
            <w:tcW w:w="1134" w:type="dxa"/>
            <w:vMerge w:val="continue"/>
            <w:vAlign w:val="center"/>
          </w:tcPr>
          <w:p>
            <w:pPr>
              <w:snapToGrid w:val="0"/>
              <w:jc w:val="center"/>
              <w:rPr>
                <w:rFonts w:hAnsi="宋体"/>
                <w:bCs/>
                <w:szCs w:val="21"/>
              </w:rPr>
            </w:pPr>
          </w:p>
        </w:tc>
        <w:tc>
          <w:tcPr>
            <w:tcW w:w="721" w:type="dxa"/>
            <w:vMerge w:val="continue"/>
            <w:vAlign w:val="center"/>
          </w:tcPr>
          <w:p>
            <w:pPr>
              <w:snapToGrid w:val="0"/>
              <w:jc w:val="center"/>
              <w:rPr>
                <w:rFonts w:hAnsi="宋体"/>
                <w:bCs/>
                <w:szCs w:val="21"/>
              </w:rPr>
            </w:pPr>
          </w:p>
        </w:tc>
        <w:tc>
          <w:tcPr>
            <w:tcW w:w="3508" w:type="dxa"/>
            <w:vMerge w:val="continue"/>
            <w:vAlign w:val="center"/>
          </w:tcPr>
          <w:p>
            <w:pPr>
              <w:rPr>
                <w:rFonts w:hAnsi="宋体"/>
                <w:szCs w:val="21"/>
              </w:rPr>
            </w:pPr>
          </w:p>
        </w:tc>
        <w:tc>
          <w:tcPr>
            <w:tcW w:w="2729" w:type="dxa"/>
            <w:vAlign w:val="center"/>
          </w:tcPr>
          <w:p>
            <w:pPr>
              <w:rPr>
                <w:rFonts w:hAnsi="宋体"/>
                <w:szCs w:val="21"/>
              </w:rPr>
            </w:pPr>
            <w:r>
              <w:rPr>
                <w:rFonts w:hint="eastAsia" w:hAnsi="宋体"/>
                <w:szCs w:val="21"/>
              </w:rPr>
              <w:t>评价较差得0分</w:t>
            </w:r>
          </w:p>
        </w:tc>
        <w:tc>
          <w:tcPr>
            <w:tcW w:w="649" w:type="dxa"/>
            <w:vMerge w:val="continue"/>
            <w:vAlign w:val="center"/>
          </w:tcPr>
          <w:p>
            <w:pPr>
              <w:jc w:val="center"/>
              <w:rPr>
                <w:rFonts w:hAnsi="宋体"/>
                <w:szCs w:val="21"/>
              </w:rPr>
            </w:pPr>
          </w:p>
        </w:tc>
      </w:tr>
    </w:tbl>
    <w:p>
      <w:pPr>
        <w:spacing w:line="360" w:lineRule="auto"/>
        <w:rPr>
          <w:rFonts w:hAnsi="宋体"/>
          <w:szCs w:val="21"/>
        </w:rPr>
      </w:pPr>
      <w:r>
        <w:rPr>
          <w:rFonts w:hint="eastAsia" w:hAnsi="宋体"/>
          <w:szCs w:val="21"/>
        </w:rPr>
        <w:t>备注：1、仅对资格性和符合性审查合格的投标文件进行评分；2、评分小数点保留至0.1。</w:t>
      </w:r>
    </w:p>
    <w:p>
      <w:pPr>
        <w:spacing w:line="360" w:lineRule="auto"/>
        <w:rPr>
          <w:rFonts w:hAnsi="宋体"/>
          <w:szCs w:val="21"/>
        </w:rPr>
      </w:pPr>
    </w:p>
    <w:p>
      <w:pPr>
        <w:spacing w:line="360" w:lineRule="auto"/>
        <w:rPr>
          <w:rFonts w:hAnsi="宋体"/>
          <w:b/>
          <w:szCs w:val="21"/>
        </w:rPr>
      </w:pPr>
      <w:r>
        <w:rPr>
          <w:rFonts w:hint="eastAsia" w:hAnsi="宋体"/>
          <w:b/>
          <w:szCs w:val="21"/>
        </w:rPr>
        <w:t>2、技术部分评分标准：（总分：20分）</w:t>
      </w:r>
    </w:p>
    <w:tbl>
      <w:tblPr>
        <w:tblStyle w:val="44"/>
        <w:tblW w:w="946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6"/>
        <w:gridCol w:w="3827"/>
        <w:gridCol w:w="3434"/>
        <w:gridCol w:w="662"/>
      </w:tblGrid>
      <w:tr>
        <w:tblPrEx>
          <w:tblLayout w:type="fixed"/>
        </w:tblPrEx>
        <w:trPr>
          <w:trHeight w:val="450" w:hRule="atLeast"/>
          <w:jc w:val="center"/>
        </w:trPr>
        <w:tc>
          <w:tcPr>
            <w:tcW w:w="1546" w:type="dxa"/>
            <w:vAlign w:val="center"/>
          </w:tcPr>
          <w:p>
            <w:pPr>
              <w:snapToGrid w:val="0"/>
              <w:jc w:val="center"/>
              <w:rPr>
                <w:rFonts w:hAnsi="宋体"/>
                <w:szCs w:val="21"/>
              </w:rPr>
            </w:pPr>
            <w:r>
              <w:rPr>
                <w:rFonts w:hint="eastAsia" w:hAnsi="宋体"/>
                <w:szCs w:val="21"/>
              </w:rPr>
              <w:t>评审内容</w:t>
            </w:r>
          </w:p>
        </w:tc>
        <w:tc>
          <w:tcPr>
            <w:tcW w:w="3827" w:type="dxa"/>
            <w:vAlign w:val="center"/>
          </w:tcPr>
          <w:p>
            <w:pPr>
              <w:snapToGrid w:val="0"/>
              <w:jc w:val="center"/>
              <w:rPr>
                <w:rFonts w:hAnsi="宋体"/>
                <w:szCs w:val="21"/>
              </w:rPr>
            </w:pPr>
            <w:r>
              <w:rPr>
                <w:rFonts w:hint="eastAsia" w:hAnsi="宋体"/>
                <w:szCs w:val="21"/>
              </w:rPr>
              <w:t>评分项目要求</w:t>
            </w:r>
          </w:p>
        </w:tc>
        <w:tc>
          <w:tcPr>
            <w:tcW w:w="3434" w:type="dxa"/>
            <w:vAlign w:val="center"/>
          </w:tcPr>
          <w:p>
            <w:pPr>
              <w:jc w:val="center"/>
              <w:rPr>
                <w:rFonts w:hAnsi="宋体"/>
                <w:szCs w:val="21"/>
              </w:rPr>
            </w:pPr>
            <w:r>
              <w:rPr>
                <w:rFonts w:hint="eastAsia" w:hAnsi="宋体"/>
                <w:szCs w:val="21"/>
              </w:rPr>
              <w:t>评分标准</w:t>
            </w:r>
          </w:p>
        </w:tc>
        <w:tc>
          <w:tcPr>
            <w:tcW w:w="662" w:type="dxa"/>
            <w:vAlign w:val="center"/>
          </w:tcPr>
          <w:p>
            <w:pPr>
              <w:snapToGrid w:val="0"/>
              <w:jc w:val="center"/>
              <w:rPr>
                <w:rFonts w:hAnsi="宋体"/>
                <w:szCs w:val="21"/>
              </w:rPr>
            </w:pPr>
            <w:r>
              <w:rPr>
                <w:rFonts w:hint="eastAsia" w:hAnsi="宋体"/>
                <w:szCs w:val="21"/>
              </w:rPr>
              <w:t>实际得分</w:t>
            </w:r>
          </w:p>
        </w:tc>
      </w:tr>
      <w:tr>
        <w:tblPrEx>
          <w:tblLayout w:type="fixed"/>
        </w:tblPrEx>
        <w:trPr>
          <w:trHeight w:val="1540" w:hRule="atLeast"/>
          <w:jc w:val="center"/>
        </w:trPr>
        <w:tc>
          <w:tcPr>
            <w:tcW w:w="1546" w:type="dxa"/>
            <w:vAlign w:val="center"/>
          </w:tcPr>
          <w:p>
            <w:pPr>
              <w:rPr>
                <w:rFonts w:hAnsi="宋体"/>
                <w:szCs w:val="21"/>
              </w:rPr>
            </w:pPr>
            <w:r>
              <w:rPr>
                <w:rFonts w:hint="eastAsia" w:hAnsi="宋体"/>
                <w:szCs w:val="21"/>
              </w:rPr>
              <w:t>产品设计的科学性、合理性，（5分）</w:t>
            </w:r>
          </w:p>
        </w:tc>
        <w:tc>
          <w:tcPr>
            <w:tcW w:w="3827" w:type="dxa"/>
            <w:vAlign w:val="center"/>
          </w:tcPr>
          <w:p>
            <w:pPr>
              <w:rPr>
                <w:rFonts w:hAnsi="宋体"/>
                <w:szCs w:val="21"/>
              </w:rPr>
            </w:pPr>
            <w:r>
              <w:rPr>
                <w:rFonts w:hint="eastAsia" w:hAnsi="宋体"/>
                <w:szCs w:val="21"/>
              </w:rPr>
              <w:t>产品设计合理，美观大方，满足招标要求（提供产品图片全部为实物图片）。</w:t>
            </w:r>
          </w:p>
        </w:tc>
        <w:tc>
          <w:tcPr>
            <w:tcW w:w="3434" w:type="dxa"/>
          </w:tcPr>
          <w:p>
            <w:pPr>
              <w:rPr>
                <w:rFonts w:hAnsi="宋体"/>
                <w:szCs w:val="21"/>
              </w:rPr>
            </w:pPr>
            <w:r>
              <w:rPr>
                <w:rFonts w:hint="eastAsia" w:hAnsi="宋体"/>
                <w:szCs w:val="21"/>
              </w:rPr>
              <w:t>评价为优的，得5分</w:t>
            </w:r>
          </w:p>
          <w:p>
            <w:pPr>
              <w:rPr>
                <w:rFonts w:hAnsi="宋体"/>
                <w:szCs w:val="21"/>
              </w:rPr>
            </w:pPr>
            <w:r>
              <w:rPr>
                <w:rFonts w:hint="eastAsia" w:hAnsi="宋体"/>
                <w:szCs w:val="21"/>
              </w:rPr>
              <w:t>评价为良的，得3分</w:t>
            </w:r>
          </w:p>
          <w:p>
            <w:pPr>
              <w:rPr>
                <w:rFonts w:hAnsi="宋体"/>
                <w:szCs w:val="21"/>
              </w:rPr>
            </w:pPr>
            <w:r>
              <w:rPr>
                <w:rFonts w:hint="eastAsia" w:hAnsi="宋体"/>
                <w:szCs w:val="21"/>
              </w:rPr>
              <w:t>评价为中的，得2分</w:t>
            </w:r>
          </w:p>
          <w:p>
            <w:pPr>
              <w:rPr>
                <w:rFonts w:hAnsi="宋体"/>
                <w:szCs w:val="21"/>
              </w:rPr>
            </w:pPr>
            <w:r>
              <w:rPr>
                <w:rFonts w:hint="eastAsia" w:hAnsi="宋体"/>
                <w:szCs w:val="21"/>
              </w:rPr>
              <w:t>评价为基本符合要求的，得1分</w:t>
            </w:r>
          </w:p>
          <w:p>
            <w:pPr>
              <w:rPr>
                <w:rFonts w:hAnsi="宋体"/>
                <w:szCs w:val="21"/>
              </w:rPr>
            </w:pPr>
            <w:r>
              <w:rPr>
                <w:rFonts w:hint="eastAsia" w:hAnsi="宋体"/>
                <w:szCs w:val="21"/>
              </w:rPr>
              <w:t>评价差的，得0分</w:t>
            </w:r>
          </w:p>
        </w:tc>
        <w:tc>
          <w:tcPr>
            <w:tcW w:w="662" w:type="dxa"/>
            <w:vAlign w:val="center"/>
          </w:tcPr>
          <w:p>
            <w:pPr>
              <w:jc w:val="center"/>
              <w:rPr>
                <w:rFonts w:hAnsi="宋体"/>
                <w:szCs w:val="21"/>
              </w:rPr>
            </w:pPr>
          </w:p>
        </w:tc>
      </w:tr>
      <w:tr>
        <w:tblPrEx>
          <w:tblLayout w:type="fixed"/>
        </w:tblPrEx>
        <w:trPr>
          <w:trHeight w:val="274" w:hRule="atLeast"/>
          <w:jc w:val="center"/>
        </w:trPr>
        <w:tc>
          <w:tcPr>
            <w:tcW w:w="1546" w:type="dxa"/>
            <w:vAlign w:val="center"/>
          </w:tcPr>
          <w:p>
            <w:pPr>
              <w:rPr>
                <w:rFonts w:hAnsi="宋体"/>
                <w:szCs w:val="21"/>
              </w:rPr>
            </w:pPr>
            <w:r>
              <w:rPr>
                <w:rFonts w:hint="eastAsia" w:hAnsi="宋体"/>
                <w:szCs w:val="21"/>
              </w:rPr>
              <w:t>产品主要技术要求（10分）</w:t>
            </w:r>
          </w:p>
        </w:tc>
        <w:tc>
          <w:tcPr>
            <w:tcW w:w="3827" w:type="dxa"/>
            <w:vAlign w:val="center"/>
          </w:tcPr>
          <w:p>
            <w:pPr>
              <w:rPr>
                <w:rFonts w:hAnsi="宋体"/>
                <w:szCs w:val="21"/>
              </w:rPr>
            </w:pPr>
            <w:r>
              <w:rPr>
                <w:rFonts w:hint="eastAsia" w:hAnsi="宋体"/>
                <w:szCs w:val="21"/>
              </w:rPr>
              <w:t>产品外观覆盖件要求采用高强度防腐蚀玻璃钢材料；</w:t>
            </w:r>
          </w:p>
          <w:p>
            <w:pPr>
              <w:rPr>
                <w:rFonts w:hAnsi="宋体"/>
                <w:szCs w:val="21"/>
              </w:rPr>
            </w:pPr>
            <w:r>
              <w:rPr>
                <w:rFonts w:hint="eastAsia" w:hAnsi="宋体"/>
                <w:szCs w:val="21"/>
              </w:rPr>
              <w:t>座位：四排座位向前</w:t>
            </w:r>
          </w:p>
          <w:p>
            <w:pPr>
              <w:spacing w:line="400" w:lineRule="atLeast"/>
              <w:outlineLvl w:val="1"/>
              <w:rPr>
                <w:rFonts w:hAnsi="宋体"/>
                <w:szCs w:val="21"/>
              </w:rPr>
            </w:pPr>
            <w:r>
              <w:rPr>
                <w:rFonts w:hint="eastAsia" w:hAnsi="宋体"/>
                <w:szCs w:val="21"/>
              </w:rPr>
              <w:t>电机：≥72V 5kW高效高速直连直流电机。</w:t>
            </w:r>
          </w:p>
          <w:p>
            <w:pPr>
              <w:spacing w:line="400" w:lineRule="atLeast"/>
              <w:outlineLvl w:val="1"/>
              <w:rPr>
                <w:rFonts w:hAnsi="宋体"/>
                <w:szCs w:val="21"/>
              </w:rPr>
            </w:pPr>
            <w:r>
              <w:rPr>
                <w:rFonts w:hint="eastAsia" w:hAnsi="宋体"/>
                <w:szCs w:val="21"/>
              </w:rPr>
              <w:t>电池：≥</w:t>
            </w:r>
            <w:r>
              <w:rPr>
                <w:rFonts w:hint="eastAsia" w:asciiTheme="minorEastAsia" w:hAnsiTheme="minorEastAsia" w:eastAsiaTheme="minorEastAsia"/>
                <w:sz w:val="24"/>
                <w:szCs w:val="22"/>
              </w:rPr>
              <w:t>72V240Ah锂电池及电池管理系统</w:t>
            </w:r>
          </w:p>
          <w:p>
            <w:pPr>
              <w:rPr>
                <w:rFonts w:hAnsi="宋体"/>
                <w:szCs w:val="21"/>
              </w:rPr>
            </w:pPr>
            <w:r>
              <w:rPr>
                <w:rFonts w:hint="eastAsia" w:hAnsi="宋体"/>
                <w:szCs w:val="21"/>
              </w:rPr>
              <w:t>电控：优质电控。</w:t>
            </w:r>
          </w:p>
          <w:p>
            <w:pPr>
              <w:spacing w:line="400" w:lineRule="atLeast"/>
              <w:outlineLvl w:val="1"/>
              <w:rPr>
                <w:rFonts w:hAnsi="宋体"/>
                <w:szCs w:val="21"/>
              </w:rPr>
            </w:pPr>
            <w:r>
              <w:rPr>
                <w:rFonts w:hint="eastAsia" w:hAnsi="宋体"/>
                <w:szCs w:val="21"/>
              </w:rPr>
              <w:t>底盘车架：专业电动车底盘设计，高强度的钢管焊接结构车架，表面防锈电泳烤漆处理。，</w:t>
            </w:r>
          </w:p>
          <w:p>
            <w:pPr>
              <w:spacing w:line="400" w:lineRule="atLeast"/>
              <w:outlineLvl w:val="1"/>
              <w:rPr>
                <w:rFonts w:hAnsi="宋体"/>
                <w:szCs w:val="21"/>
              </w:rPr>
            </w:pPr>
            <w:r>
              <w:rPr>
                <w:rFonts w:hint="eastAsia" w:hAnsi="宋体"/>
                <w:szCs w:val="21"/>
              </w:rPr>
              <w:t>前桥及悬挂：麦弗逊式独立悬挂、螺旋弹簧</w:t>
            </w:r>
            <w:r>
              <w:rPr>
                <w:rFonts w:hAnsi="宋体"/>
                <w:szCs w:val="21"/>
              </w:rPr>
              <w:t>、</w:t>
            </w:r>
            <w:r>
              <w:rPr>
                <w:rFonts w:hint="eastAsia" w:hAnsi="宋体"/>
                <w:szCs w:val="21"/>
              </w:rPr>
              <w:t>筒式液压减震，</w:t>
            </w:r>
          </w:p>
          <w:p>
            <w:pPr>
              <w:spacing w:line="400" w:lineRule="atLeast"/>
              <w:outlineLvl w:val="1"/>
              <w:rPr>
                <w:rFonts w:hAnsi="宋体"/>
                <w:szCs w:val="21"/>
              </w:rPr>
            </w:pPr>
            <w:r>
              <w:rPr>
                <w:rFonts w:hint="eastAsia" w:hAnsi="宋体"/>
                <w:szCs w:val="21"/>
              </w:rPr>
              <w:t>后桥及悬挂：直连驱动桥，钢板弹簧、筒式液压减震悬挂。</w:t>
            </w:r>
          </w:p>
          <w:p>
            <w:pPr>
              <w:spacing w:line="400" w:lineRule="atLeast"/>
              <w:outlineLvl w:val="1"/>
              <w:rPr>
                <w:rFonts w:hAnsi="宋体"/>
                <w:szCs w:val="21"/>
              </w:rPr>
            </w:pPr>
            <w:r>
              <w:rPr>
                <w:rFonts w:hint="eastAsia" w:hAnsi="宋体"/>
                <w:szCs w:val="21"/>
              </w:rPr>
              <w:t>制动系统：前碟后鼓液压双回路四轮制动加电制动，并带机械式驻车(手刹)。</w:t>
            </w:r>
          </w:p>
          <w:p>
            <w:pPr>
              <w:rPr>
                <w:rFonts w:hAnsi="宋体"/>
                <w:sz w:val="18"/>
                <w:szCs w:val="18"/>
              </w:rPr>
            </w:pPr>
            <w:r>
              <w:rPr>
                <w:rFonts w:hint="eastAsia" w:hAnsi="宋体"/>
                <w:szCs w:val="21"/>
              </w:rPr>
              <w:t>转向系统：齿条式转向器，电动助力系统，无极调速系统</w:t>
            </w:r>
          </w:p>
        </w:tc>
        <w:tc>
          <w:tcPr>
            <w:tcW w:w="3434" w:type="dxa"/>
          </w:tcPr>
          <w:p>
            <w:pPr>
              <w:rPr>
                <w:rFonts w:hAnsi="宋体"/>
                <w:szCs w:val="21"/>
              </w:rPr>
            </w:pPr>
            <w:r>
              <w:rPr>
                <w:rFonts w:hint="eastAsia" w:hAnsi="宋体"/>
                <w:szCs w:val="21"/>
              </w:rPr>
              <w:t>无任何偏离评价为优的，得10分</w:t>
            </w:r>
          </w:p>
          <w:p>
            <w:pPr>
              <w:rPr>
                <w:rFonts w:hAnsi="宋体"/>
                <w:szCs w:val="21"/>
              </w:rPr>
            </w:pPr>
            <w:r>
              <w:rPr>
                <w:rFonts w:hint="eastAsia" w:hAnsi="宋体"/>
                <w:szCs w:val="21"/>
              </w:rPr>
              <w:t>有1~2项偏离的评价为良的，得6分</w:t>
            </w:r>
          </w:p>
          <w:p>
            <w:pPr>
              <w:rPr>
                <w:rFonts w:hAnsi="宋体"/>
                <w:szCs w:val="21"/>
              </w:rPr>
            </w:pPr>
            <w:r>
              <w:rPr>
                <w:rFonts w:hint="eastAsia" w:hAnsi="宋体"/>
                <w:szCs w:val="21"/>
              </w:rPr>
              <w:t>有3</w:t>
            </w:r>
            <w:r>
              <w:rPr>
                <w:rFonts w:hAnsi="宋体"/>
                <w:szCs w:val="21"/>
              </w:rPr>
              <w:t>~</w:t>
            </w:r>
            <w:r>
              <w:rPr>
                <w:rFonts w:hint="eastAsia" w:hAnsi="宋体"/>
                <w:szCs w:val="21"/>
              </w:rPr>
              <w:t>4项偏离的评价为中的，得3分</w:t>
            </w:r>
          </w:p>
          <w:p>
            <w:pPr>
              <w:rPr>
                <w:rFonts w:hAnsi="宋体"/>
                <w:szCs w:val="21"/>
              </w:rPr>
            </w:pPr>
            <w:r>
              <w:rPr>
                <w:rFonts w:hint="eastAsia" w:hAnsi="宋体"/>
                <w:szCs w:val="21"/>
              </w:rPr>
              <w:t>评价基本符合要求的，得2分</w:t>
            </w:r>
          </w:p>
          <w:p>
            <w:pPr>
              <w:rPr>
                <w:rFonts w:hAnsi="宋体"/>
                <w:szCs w:val="21"/>
              </w:rPr>
            </w:pPr>
            <w:r>
              <w:rPr>
                <w:rFonts w:hint="eastAsia" w:hAnsi="宋体"/>
                <w:szCs w:val="21"/>
              </w:rPr>
              <w:t>评价差的，得0分</w:t>
            </w:r>
          </w:p>
        </w:tc>
        <w:tc>
          <w:tcPr>
            <w:tcW w:w="662" w:type="dxa"/>
            <w:vAlign w:val="center"/>
          </w:tcPr>
          <w:p>
            <w:pPr>
              <w:jc w:val="center"/>
              <w:rPr>
                <w:rFonts w:hAnsi="宋体"/>
                <w:szCs w:val="21"/>
              </w:rPr>
            </w:pPr>
          </w:p>
        </w:tc>
      </w:tr>
      <w:tr>
        <w:tblPrEx>
          <w:tblLayout w:type="fixed"/>
        </w:tblPrEx>
        <w:trPr>
          <w:trHeight w:val="1612" w:hRule="atLeast"/>
          <w:jc w:val="center"/>
        </w:trPr>
        <w:tc>
          <w:tcPr>
            <w:tcW w:w="1546" w:type="dxa"/>
            <w:vAlign w:val="center"/>
          </w:tcPr>
          <w:p>
            <w:pPr>
              <w:rPr>
                <w:rFonts w:hAnsi="宋体"/>
                <w:szCs w:val="21"/>
              </w:rPr>
            </w:pPr>
            <w:r>
              <w:rPr>
                <w:rFonts w:hint="eastAsia" w:hAnsi="宋体"/>
                <w:szCs w:val="21"/>
              </w:rPr>
              <w:t>其它技术参数响应情况（5分）</w:t>
            </w:r>
          </w:p>
        </w:tc>
        <w:tc>
          <w:tcPr>
            <w:tcW w:w="3827" w:type="dxa"/>
            <w:vAlign w:val="center"/>
          </w:tcPr>
          <w:p>
            <w:pPr>
              <w:rPr>
                <w:rFonts w:hAnsi="宋体"/>
                <w:szCs w:val="21"/>
              </w:rPr>
            </w:pPr>
            <w:r>
              <w:rPr>
                <w:rFonts w:hint="eastAsia" w:hAnsi="宋体"/>
                <w:szCs w:val="21"/>
              </w:rPr>
              <w:t>配置性能完全符合使用单位的要求。</w:t>
            </w:r>
          </w:p>
        </w:tc>
        <w:tc>
          <w:tcPr>
            <w:tcW w:w="3434" w:type="dxa"/>
          </w:tcPr>
          <w:p>
            <w:pPr>
              <w:rPr>
                <w:rFonts w:hAnsi="宋体"/>
                <w:szCs w:val="21"/>
              </w:rPr>
            </w:pPr>
            <w:r>
              <w:rPr>
                <w:rFonts w:hint="eastAsia" w:hAnsi="宋体"/>
                <w:szCs w:val="21"/>
              </w:rPr>
              <w:t>无任何偏离评价为优，得5分</w:t>
            </w:r>
          </w:p>
          <w:p>
            <w:pPr>
              <w:rPr>
                <w:rFonts w:hAnsi="宋体"/>
                <w:szCs w:val="21"/>
              </w:rPr>
            </w:pPr>
            <w:r>
              <w:rPr>
                <w:rFonts w:hint="eastAsia" w:hAnsi="宋体"/>
                <w:szCs w:val="21"/>
              </w:rPr>
              <w:t>有1~2项偏离的评价为良，得3分</w:t>
            </w:r>
          </w:p>
          <w:p>
            <w:pPr>
              <w:rPr>
                <w:rFonts w:hAnsi="宋体"/>
                <w:szCs w:val="21"/>
              </w:rPr>
            </w:pPr>
            <w:r>
              <w:rPr>
                <w:rFonts w:hint="eastAsia" w:hAnsi="宋体"/>
                <w:szCs w:val="21"/>
              </w:rPr>
              <w:t>有3</w:t>
            </w:r>
            <w:r>
              <w:rPr>
                <w:rFonts w:hAnsi="宋体"/>
                <w:szCs w:val="21"/>
              </w:rPr>
              <w:t>~</w:t>
            </w:r>
            <w:r>
              <w:rPr>
                <w:rFonts w:hint="eastAsia" w:hAnsi="宋体"/>
                <w:szCs w:val="21"/>
              </w:rPr>
              <w:t>4项偏离的评价为中的，得2分</w:t>
            </w:r>
          </w:p>
          <w:p>
            <w:pPr>
              <w:rPr>
                <w:rFonts w:hAnsi="宋体"/>
                <w:szCs w:val="21"/>
              </w:rPr>
            </w:pPr>
            <w:r>
              <w:rPr>
                <w:rFonts w:hint="eastAsia" w:hAnsi="宋体"/>
                <w:szCs w:val="21"/>
              </w:rPr>
              <w:t>有5项偏离的评价的，得1分</w:t>
            </w:r>
          </w:p>
          <w:p>
            <w:pPr>
              <w:rPr>
                <w:rFonts w:hAnsi="宋体"/>
                <w:szCs w:val="21"/>
              </w:rPr>
            </w:pPr>
            <w:r>
              <w:rPr>
                <w:rFonts w:hint="eastAsia" w:hAnsi="宋体"/>
                <w:szCs w:val="21"/>
              </w:rPr>
              <w:t>有5项以上偏离的评价差的，得0分</w:t>
            </w:r>
          </w:p>
        </w:tc>
        <w:tc>
          <w:tcPr>
            <w:tcW w:w="662" w:type="dxa"/>
            <w:vAlign w:val="center"/>
          </w:tcPr>
          <w:p>
            <w:pPr>
              <w:jc w:val="center"/>
              <w:rPr>
                <w:rFonts w:hAnsi="宋体"/>
                <w:szCs w:val="21"/>
              </w:rPr>
            </w:pPr>
          </w:p>
        </w:tc>
      </w:tr>
    </w:tbl>
    <w:p>
      <w:pPr>
        <w:spacing w:line="360" w:lineRule="auto"/>
        <w:rPr>
          <w:rFonts w:hAnsi="宋体"/>
          <w:szCs w:val="21"/>
        </w:rPr>
      </w:pPr>
      <w:r>
        <w:rPr>
          <w:rFonts w:hint="eastAsia" w:hAnsi="宋体"/>
          <w:szCs w:val="21"/>
        </w:rPr>
        <w:t>备注：仅对资格性和符合性审查合格的投标文件进行评分；评分小数点保留至0.1。</w:t>
      </w:r>
    </w:p>
    <w:p>
      <w:pPr>
        <w:spacing w:line="360" w:lineRule="auto"/>
        <w:rPr>
          <w:rFonts w:hAnsi="宋体"/>
          <w:b/>
          <w:szCs w:val="21"/>
        </w:rPr>
      </w:pPr>
      <w:r>
        <w:rPr>
          <w:rFonts w:hint="eastAsia" w:hAnsi="宋体"/>
          <w:b/>
          <w:szCs w:val="21"/>
        </w:rPr>
        <w:t>5、价格分值： 60分</w:t>
      </w:r>
    </w:p>
    <w:p>
      <w:pPr>
        <w:rPr>
          <w:rFonts w:hAnsi="宋体"/>
        </w:rPr>
      </w:pPr>
      <w:r>
        <w:rPr>
          <w:rFonts w:hint="eastAsia" w:hAnsi="宋体"/>
        </w:rPr>
        <w:t>满足采购</w:t>
      </w:r>
      <w:r>
        <w:rPr>
          <w:rFonts w:hAnsi="宋体"/>
        </w:rPr>
        <w:t>人采购需求</w:t>
      </w:r>
      <w:r>
        <w:rPr>
          <w:rFonts w:hint="eastAsia" w:hAnsi="宋体"/>
        </w:rPr>
        <w:t>，且投标价格最低的投标报价为评标基准价，其价格分为满分（报价权重分），投标报价得分=（评标基准价／投标报价）×报价权重分</w:t>
      </w:r>
    </w:p>
    <w:p>
      <w:pPr>
        <w:spacing w:line="460" w:lineRule="exact"/>
        <w:ind w:firstLine="210" w:firstLineChars="100"/>
        <w:rPr>
          <w:rFonts w:hAnsi="宋体"/>
        </w:rPr>
      </w:pPr>
      <w:r>
        <w:rPr>
          <w:rFonts w:hint="eastAsia" w:hAnsi="宋体"/>
        </w:rPr>
        <w:t>注：1、评委对各投标文件进行比较后，根据计分方法进行相应地打分。</w:t>
      </w:r>
    </w:p>
    <w:p>
      <w:pPr>
        <w:spacing w:line="460" w:lineRule="exact"/>
        <w:ind w:left="1031" w:leftChars="341" w:hanging="315" w:hangingChars="150"/>
        <w:rPr>
          <w:rFonts w:hAnsi="宋体"/>
        </w:rPr>
      </w:pPr>
      <w:r>
        <w:rPr>
          <w:rFonts w:hint="eastAsia" w:hAnsi="宋体"/>
        </w:rPr>
        <w:t>2、未提供各项评审的相关内容证明文件或证明文件模糊不清（有有效期的，须在有效期内），以致评委无法做出准确评判时，该项得分为0分。</w:t>
      </w:r>
    </w:p>
    <w:p>
      <w:pPr>
        <w:widowControl/>
        <w:jc w:val="left"/>
        <w:rPr>
          <w:rFonts w:hAnsi="宋体"/>
        </w:rPr>
      </w:pPr>
    </w:p>
    <w:p>
      <w:pPr>
        <w:spacing w:line="460" w:lineRule="exact"/>
        <w:ind w:left="1196" w:leftChars="341" w:hanging="480" w:hangingChars="150"/>
        <w:rPr>
          <w:rFonts w:ascii="仿宋_GB2312" w:hAnsi="仿宋" w:eastAsia="仿宋_GB2312"/>
          <w:color w:val="000000"/>
          <w:sz w:val="32"/>
          <w:szCs w:val="32"/>
        </w:rPr>
      </w:pPr>
    </w:p>
    <w:p>
      <w:pPr>
        <w:widowControl/>
        <w:jc w:val="left"/>
        <w:rPr>
          <w:rFonts w:ascii="仿宋_GB2312" w:hAnsi="仿宋" w:eastAsia="仿宋_GB2312"/>
          <w:color w:val="000000"/>
          <w:sz w:val="32"/>
          <w:szCs w:val="32"/>
        </w:rPr>
      </w:pPr>
      <w:r>
        <w:rPr>
          <w:rFonts w:ascii="仿宋_GB2312" w:hAnsi="仿宋" w:eastAsia="仿宋_GB2312"/>
          <w:color w:val="000000"/>
          <w:sz w:val="32"/>
          <w:szCs w:val="32"/>
        </w:rPr>
        <w:br w:type="page"/>
      </w:r>
    </w:p>
    <w:p>
      <w:pPr>
        <w:widowControl/>
        <w:ind w:left="1196" w:hanging="480"/>
        <w:jc w:val="left"/>
        <w:rPr>
          <w:rFonts w:ascii="宋体" w:hAnsi="宋体"/>
          <w:sz w:val="32"/>
        </w:rPr>
      </w:pPr>
      <w:r>
        <w:rPr>
          <w:rFonts w:hint="eastAsia" w:ascii="宋体" w:hAnsi="宋体"/>
          <w:sz w:val="32"/>
        </w:rPr>
        <w:t>附件</w:t>
      </w:r>
      <w:r>
        <w:rPr>
          <w:rFonts w:ascii="宋体" w:hAnsi="宋体"/>
          <w:sz w:val="32"/>
        </w:rPr>
        <w:t>9</w:t>
      </w:r>
    </w:p>
    <w:p>
      <w:pPr>
        <w:adjustRightInd w:val="0"/>
        <w:snapToGrid w:val="0"/>
        <w:spacing w:line="600" w:lineRule="exact"/>
        <w:jc w:val="center"/>
        <w:rPr>
          <w:rFonts w:asciiTheme="minorEastAsia" w:hAnsiTheme="minorEastAsia" w:eastAsiaTheme="minorEastAsia"/>
          <w:b/>
          <w:sz w:val="30"/>
          <w:szCs w:val="30"/>
        </w:rPr>
      </w:pPr>
      <w:r>
        <w:rPr>
          <w:rFonts w:hint="eastAsia" w:asciiTheme="minorEastAsia" w:hAnsiTheme="minorEastAsia" w:eastAsiaTheme="minorEastAsia"/>
          <w:b/>
          <w:color w:val="000000"/>
          <w:sz w:val="32"/>
          <w:szCs w:val="32"/>
          <w:lang w:val="zh-CN"/>
        </w:rPr>
        <w:t>岭南印象园贵宾接待电瓶车采购项目</w:t>
      </w:r>
      <w:r>
        <w:rPr>
          <w:rFonts w:hint="eastAsia" w:asciiTheme="minorEastAsia" w:hAnsiTheme="minorEastAsia" w:eastAsiaTheme="minorEastAsia"/>
          <w:b/>
          <w:sz w:val="30"/>
          <w:szCs w:val="30"/>
        </w:rPr>
        <w:t>采购合同</w:t>
      </w:r>
    </w:p>
    <w:p>
      <w:pPr>
        <w:adjustRightInd w:val="0"/>
        <w:snapToGrid w:val="0"/>
        <w:spacing w:line="600" w:lineRule="exact"/>
        <w:rPr>
          <w:rFonts w:ascii="仿宋" w:hAnsi="仿宋" w:eastAsia="仿宋"/>
          <w:sz w:val="30"/>
          <w:szCs w:val="30"/>
        </w:rPr>
      </w:pPr>
    </w:p>
    <w:p>
      <w:pPr>
        <w:adjustRightInd w:val="0"/>
        <w:snapToGrid w:val="0"/>
        <w:spacing w:line="6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甲方（买方）：广州印象文化旅游发展有限公司</w:t>
      </w:r>
    </w:p>
    <w:p>
      <w:pPr>
        <w:adjustRightInd w:val="0"/>
        <w:snapToGrid w:val="0"/>
        <w:spacing w:line="6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住所：广州市番禺区小谷围街明志街</w:t>
      </w:r>
      <w:r>
        <w:rPr>
          <w:rFonts w:asciiTheme="minorEastAsia" w:hAnsiTheme="minorEastAsia" w:eastAsiaTheme="minorEastAsia"/>
          <w:sz w:val="28"/>
          <w:szCs w:val="28"/>
        </w:rPr>
        <w:t>1号1栋603号单元</w:t>
      </w:r>
    </w:p>
    <w:p>
      <w:pPr>
        <w:adjustRightInd w:val="0"/>
        <w:snapToGrid w:val="0"/>
        <w:spacing w:line="6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乙方（卖方）：</w:t>
      </w:r>
    </w:p>
    <w:p>
      <w:pPr>
        <w:adjustRightInd w:val="0"/>
        <w:snapToGrid w:val="0"/>
        <w:spacing w:line="600" w:lineRule="exact"/>
        <w:rPr>
          <w:rFonts w:asciiTheme="minorEastAsia" w:hAnsiTheme="minorEastAsia" w:eastAsiaTheme="minorEastAsia"/>
          <w:sz w:val="28"/>
          <w:szCs w:val="28"/>
        </w:rPr>
      </w:pPr>
      <w:r>
        <w:rPr>
          <w:rFonts w:hint="eastAsia" w:asciiTheme="minorEastAsia" w:hAnsiTheme="minorEastAsia" w:eastAsiaTheme="minorEastAsia"/>
          <w:sz w:val="28"/>
          <w:szCs w:val="28"/>
        </w:rPr>
        <w:t>住所：</w:t>
      </w:r>
    </w:p>
    <w:p>
      <w:pPr>
        <w:adjustRightInd w:val="0"/>
        <w:snapToGrid w:val="0"/>
        <w:spacing w:line="600" w:lineRule="exact"/>
        <w:rPr>
          <w:rFonts w:asciiTheme="minorEastAsia" w:hAnsiTheme="minorEastAsia" w:eastAsiaTheme="minorEastAsia"/>
          <w:sz w:val="28"/>
          <w:szCs w:val="28"/>
        </w:rPr>
      </w:pP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就甲方向乙方购买</w:t>
      </w:r>
      <w:r>
        <w:rPr>
          <w:rFonts w:hint="eastAsia" w:asciiTheme="minorEastAsia" w:hAnsiTheme="minorEastAsia" w:eastAsiaTheme="minorEastAsia"/>
          <w:sz w:val="28"/>
          <w:szCs w:val="28"/>
          <w:u w:val="single"/>
        </w:rPr>
        <w:t>2辆电瓶车</w:t>
      </w:r>
      <w:r>
        <w:rPr>
          <w:rFonts w:hint="eastAsia" w:asciiTheme="minorEastAsia" w:hAnsiTheme="minorEastAsia" w:eastAsiaTheme="minorEastAsia"/>
          <w:sz w:val="28"/>
          <w:szCs w:val="28"/>
        </w:rPr>
        <w:t>事宜，甲、乙双方在自愿平等的基础上经充分协商，根据中华人民共和国相关法律法规及规章的规定，订立本合同。</w:t>
      </w:r>
    </w:p>
    <w:p>
      <w:pPr>
        <w:adjustRightInd w:val="0"/>
        <w:snapToGrid w:val="0"/>
        <w:spacing w:line="600" w:lineRule="exact"/>
        <w:rPr>
          <w:rFonts w:asciiTheme="minorEastAsia" w:hAnsiTheme="minorEastAsia" w:eastAsiaTheme="minorEastAsia"/>
          <w:sz w:val="28"/>
          <w:szCs w:val="28"/>
        </w:rPr>
      </w:pPr>
    </w:p>
    <w:p>
      <w:pPr>
        <w:adjustRightInd w:val="0"/>
        <w:snapToGrid w:val="0"/>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一、采购货物内容</w:t>
      </w:r>
    </w:p>
    <w:p>
      <w:pPr>
        <w:pStyle w:val="51"/>
        <w:numPr>
          <w:ilvl w:val="0"/>
          <w:numId w:val="4"/>
        </w:numPr>
        <w:spacing w:line="360" w:lineRule="auto"/>
        <w:ind w:firstLineChars="0"/>
        <w:rPr>
          <w:rFonts w:asciiTheme="minorEastAsia" w:hAnsiTheme="minorEastAsia" w:eastAsiaTheme="minorEastAsia"/>
          <w:color w:val="383838"/>
          <w:sz w:val="28"/>
          <w:szCs w:val="28"/>
        </w:rPr>
      </w:pPr>
      <w:r>
        <w:rPr>
          <w:rFonts w:hint="eastAsia" w:asciiTheme="minorEastAsia" w:hAnsiTheme="minorEastAsia" w:eastAsiaTheme="minorEastAsia"/>
          <w:color w:val="383838"/>
          <w:sz w:val="28"/>
          <w:szCs w:val="28"/>
        </w:rPr>
        <w:t>货物名称数量和价格及其它：</w:t>
      </w:r>
    </w:p>
    <w:tbl>
      <w:tblPr>
        <w:tblStyle w:val="45"/>
        <w:tblW w:w="8856" w:type="dxa"/>
        <w:tblInd w:w="114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11"/>
        <w:gridCol w:w="1068"/>
        <w:gridCol w:w="992"/>
        <w:gridCol w:w="1376"/>
        <w:gridCol w:w="1318"/>
        <w:gridCol w:w="2091"/>
      </w:tblGrid>
      <w:tr>
        <w:tblPrEx>
          <w:tblLayout w:type="fixed"/>
        </w:tblPrEx>
        <w:tc>
          <w:tcPr>
            <w:tcW w:w="2011" w:type="dxa"/>
          </w:tcPr>
          <w:p>
            <w:pPr>
              <w:pStyle w:val="51"/>
              <w:spacing w:line="360" w:lineRule="auto"/>
              <w:ind w:firstLine="0" w:firstLineChars="0"/>
              <w:rPr>
                <w:rFonts w:asciiTheme="minorEastAsia" w:hAnsiTheme="minorEastAsia" w:eastAsiaTheme="minorEastAsia"/>
                <w:color w:val="383838"/>
                <w:sz w:val="28"/>
                <w:szCs w:val="28"/>
              </w:rPr>
            </w:pPr>
            <w:r>
              <w:rPr>
                <w:rFonts w:hint="eastAsia" w:asciiTheme="minorEastAsia" w:hAnsiTheme="minorEastAsia" w:eastAsiaTheme="minorEastAsia"/>
                <w:color w:val="383838"/>
                <w:sz w:val="28"/>
                <w:szCs w:val="28"/>
              </w:rPr>
              <w:t>货物名称</w:t>
            </w:r>
          </w:p>
        </w:tc>
        <w:tc>
          <w:tcPr>
            <w:tcW w:w="1068" w:type="dxa"/>
          </w:tcPr>
          <w:p>
            <w:pPr>
              <w:pStyle w:val="51"/>
              <w:spacing w:line="360" w:lineRule="auto"/>
              <w:ind w:firstLine="0" w:firstLineChars="0"/>
              <w:rPr>
                <w:rFonts w:asciiTheme="minorEastAsia" w:hAnsiTheme="minorEastAsia" w:eastAsiaTheme="minorEastAsia"/>
                <w:color w:val="383838"/>
                <w:sz w:val="28"/>
                <w:szCs w:val="28"/>
              </w:rPr>
            </w:pPr>
            <w:r>
              <w:rPr>
                <w:rFonts w:hint="eastAsia" w:asciiTheme="minorEastAsia" w:hAnsiTheme="minorEastAsia" w:eastAsiaTheme="minorEastAsia"/>
                <w:color w:val="383838"/>
                <w:sz w:val="28"/>
                <w:szCs w:val="28"/>
              </w:rPr>
              <w:t>型号</w:t>
            </w:r>
          </w:p>
        </w:tc>
        <w:tc>
          <w:tcPr>
            <w:tcW w:w="992" w:type="dxa"/>
          </w:tcPr>
          <w:p>
            <w:pPr>
              <w:pStyle w:val="51"/>
              <w:spacing w:line="360" w:lineRule="auto"/>
              <w:ind w:firstLine="0" w:firstLineChars="0"/>
              <w:rPr>
                <w:rFonts w:asciiTheme="minorEastAsia" w:hAnsiTheme="minorEastAsia" w:eastAsiaTheme="minorEastAsia"/>
                <w:color w:val="383838"/>
                <w:sz w:val="28"/>
                <w:szCs w:val="28"/>
              </w:rPr>
            </w:pPr>
            <w:r>
              <w:rPr>
                <w:rFonts w:hint="eastAsia" w:asciiTheme="minorEastAsia" w:hAnsiTheme="minorEastAsia" w:eastAsiaTheme="minorEastAsia"/>
                <w:color w:val="383838"/>
                <w:sz w:val="28"/>
                <w:szCs w:val="28"/>
              </w:rPr>
              <w:t>颜色</w:t>
            </w:r>
          </w:p>
        </w:tc>
        <w:tc>
          <w:tcPr>
            <w:tcW w:w="1376" w:type="dxa"/>
          </w:tcPr>
          <w:p>
            <w:pPr>
              <w:pStyle w:val="51"/>
              <w:spacing w:line="360" w:lineRule="auto"/>
              <w:ind w:firstLine="0" w:firstLineChars="0"/>
              <w:rPr>
                <w:rFonts w:asciiTheme="minorEastAsia" w:hAnsiTheme="minorEastAsia" w:eastAsiaTheme="minorEastAsia"/>
                <w:color w:val="383838"/>
                <w:sz w:val="28"/>
                <w:szCs w:val="28"/>
              </w:rPr>
            </w:pPr>
            <w:r>
              <w:rPr>
                <w:rFonts w:hint="eastAsia" w:asciiTheme="minorEastAsia" w:hAnsiTheme="minorEastAsia" w:eastAsiaTheme="minorEastAsia"/>
                <w:color w:val="383838"/>
                <w:sz w:val="28"/>
                <w:szCs w:val="28"/>
              </w:rPr>
              <w:t>数量</w:t>
            </w:r>
          </w:p>
        </w:tc>
        <w:tc>
          <w:tcPr>
            <w:tcW w:w="1318" w:type="dxa"/>
          </w:tcPr>
          <w:p>
            <w:pPr>
              <w:pStyle w:val="51"/>
              <w:spacing w:line="360" w:lineRule="auto"/>
              <w:ind w:firstLine="0" w:firstLineChars="0"/>
              <w:rPr>
                <w:rFonts w:asciiTheme="minorEastAsia" w:hAnsiTheme="minorEastAsia" w:eastAsiaTheme="minorEastAsia"/>
                <w:color w:val="383838"/>
                <w:sz w:val="28"/>
                <w:szCs w:val="28"/>
              </w:rPr>
            </w:pPr>
            <w:r>
              <w:rPr>
                <w:rFonts w:hint="eastAsia" w:asciiTheme="minorEastAsia" w:hAnsiTheme="minorEastAsia" w:eastAsiaTheme="minorEastAsia"/>
                <w:color w:val="383838"/>
                <w:sz w:val="28"/>
                <w:szCs w:val="28"/>
              </w:rPr>
              <w:t>单价</w:t>
            </w:r>
          </w:p>
        </w:tc>
        <w:tc>
          <w:tcPr>
            <w:tcW w:w="2091" w:type="dxa"/>
          </w:tcPr>
          <w:p>
            <w:pPr>
              <w:pStyle w:val="51"/>
              <w:spacing w:line="360" w:lineRule="auto"/>
              <w:ind w:firstLine="0" w:firstLineChars="0"/>
              <w:rPr>
                <w:rFonts w:asciiTheme="minorEastAsia" w:hAnsiTheme="minorEastAsia" w:eastAsiaTheme="minorEastAsia"/>
                <w:color w:val="383838"/>
                <w:sz w:val="28"/>
                <w:szCs w:val="28"/>
              </w:rPr>
            </w:pPr>
            <w:r>
              <w:rPr>
                <w:rFonts w:hint="eastAsia" w:asciiTheme="minorEastAsia" w:hAnsiTheme="minorEastAsia" w:eastAsiaTheme="minorEastAsia"/>
                <w:color w:val="383838"/>
                <w:sz w:val="28"/>
                <w:szCs w:val="28"/>
              </w:rPr>
              <w:t>总价（含税）</w:t>
            </w:r>
          </w:p>
        </w:tc>
      </w:tr>
      <w:tr>
        <w:tblPrEx>
          <w:tblLayout w:type="fixed"/>
        </w:tblPrEx>
        <w:tc>
          <w:tcPr>
            <w:tcW w:w="2011" w:type="dxa"/>
          </w:tcPr>
          <w:p>
            <w:pPr>
              <w:pStyle w:val="51"/>
              <w:spacing w:line="360" w:lineRule="auto"/>
              <w:ind w:firstLine="0" w:firstLineChars="0"/>
              <w:rPr>
                <w:rFonts w:asciiTheme="minorEastAsia" w:hAnsiTheme="minorEastAsia" w:eastAsiaTheme="minorEastAsia"/>
                <w:color w:val="383838"/>
                <w:sz w:val="28"/>
                <w:szCs w:val="28"/>
              </w:rPr>
            </w:pPr>
            <w:r>
              <w:rPr>
                <w:rFonts w:hint="eastAsia" w:asciiTheme="minorEastAsia" w:hAnsiTheme="minorEastAsia" w:eastAsiaTheme="minorEastAsia"/>
                <w:color w:val="383838"/>
                <w:sz w:val="28"/>
                <w:szCs w:val="28"/>
              </w:rPr>
              <w:t>11座电瓶车</w:t>
            </w:r>
          </w:p>
        </w:tc>
        <w:tc>
          <w:tcPr>
            <w:tcW w:w="1068" w:type="dxa"/>
          </w:tcPr>
          <w:p>
            <w:pPr>
              <w:pStyle w:val="51"/>
              <w:spacing w:line="360" w:lineRule="auto"/>
              <w:ind w:firstLine="0" w:firstLineChars="0"/>
              <w:rPr>
                <w:rFonts w:asciiTheme="minorEastAsia" w:hAnsiTheme="minorEastAsia" w:eastAsiaTheme="minorEastAsia"/>
                <w:color w:val="383838"/>
                <w:sz w:val="28"/>
                <w:szCs w:val="28"/>
              </w:rPr>
            </w:pPr>
          </w:p>
        </w:tc>
        <w:tc>
          <w:tcPr>
            <w:tcW w:w="992" w:type="dxa"/>
          </w:tcPr>
          <w:p>
            <w:pPr>
              <w:pStyle w:val="51"/>
              <w:spacing w:line="360" w:lineRule="auto"/>
              <w:ind w:firstLine="0" w:firstLineChars="0"/>
              <w:rPr>
                <w:rFonts w:asciiTheme="minorEastAsia" w:hAnsiTheme="minorEastAsia" w:eastAsiaTheme="minorEastAsia"/>
                <w:color w:val="383838"/>
                <w:sz w:val="28"/>
                <w:szCs w:val="28"/>
              </w:rPr>
            </w:pPr>
          </w:p>
        </w:tc>
        <w:tc>
          <w:tcPr>
            <w:tcW w:w="1376" w:type="dxa"/>
          </w:tcPr>
          <w:p>
            <w:pPr>
              <w:pStyle w:val="51"/>
              <w:spacing w:line="360" w:lineRule="auto"/>
              <w:ind w:firstLine="0" w:firstLineChars="0"/>
              <w:rPr>
                <w:rFonts w:asciiTheme="minorEastAsia" w:hAnsiTheme="minorEastAsia" w:eastAsiaTheme="minorEastAsia"/>
                <w:color w:val="383838"/>
                <w:sz w:val="28"/>
                <w:szCs w:val="28"/>
              </w:rPr>
            </w:pPr>
          </w:p>
        </w:tc>
        <w:tc>
          <w:tcPr>
            <w:tcW w:w="1318" w:type="dxa"/>
          </w:tcPr>
          <w:p>
            <w:pPr>
              <w:pStyle w:val="51"/>
              <w:spacing w:line="360" w:lineRule="auto"/>
              <w:ind w:firstLine="0" w:firstLineChars="0"/>
              <w:rPr>
                <w:rFonts w:asciiTheme="minorEastAsia" w:hAnsiTheme="minorEastAsia" w:eastAsiaTheme="minorEastAsia"/>
                <w:color w:val="383838"/>
                <w:sz w:val="28"/>
                <w:szCs w:val="28"/>
              </w:rPr>
            </w:pPr>
          </w:p>
        </w:tc>
        <w:tc>
          <w:tcPr>
            <w:tcW w:w="2091" w:type="dxa"/>
          </w:tcPr>
          <w:p>
            <w:pPr>
              <w:pStyle w:val="51"/>
              <w:spacing w:line="360" w:lineRule="auto"/>
              <w:ind w:firstLine="0" w:firstLineChars="0"/>
              <w:rPr>
                <w:rFonts w:asciiTheme="minorEastAsia" w:hAnsiTheme="minorEastAsia" w:eastAsiaTheme="minorEastAsia"/>
                <w:color w:val="383838"/>
                <w:sz w:val="28"/>
                <w:szCs w:val="28"/>
              </w:rPr>
            </w:pPr>
          </w:p>
        </w:tc>
      </w:tr>
    </w:tbl>
    <w:p>
      <w:pPr>
        <w:pStyle w:val="51"/>
        <w:spacing w:line="360" w:lineRule="auto"/>
        <w:ind w:left="1140" w:firstLine="0" w:firstLineChars="0"/>
        <w:rPr>
          <w:rFonts w:asciiTheme="minorEastAsia" w:hAnsiTheme="minorEastAsia" w:eastAsiaTheme="minorEastAsia"/>
          <w:color w:val="383838"/>
          <w:sz w:val="28"/>
          <w:szCs w:val="28"/>
        </w:rPr>
      </w:pPr>
    </w:p>
    <w:p>
      <w:pPr>
        <w:pStyle w:val="51"/>
        <w:numPr>
          <w:ilvl w:val="0"/>
          <w:numId w:val="4"/>
        </w:numPr>
        <w:spacing w:line="360" w:lineRule="auto"/>
        <w:ind w:firstLineChars="0"/>
        <w:rPr>
          <w:rFonts w:asciiTheme="minorEastAsia" w:hAnsiTheme="minorEastAsia" w:eastAsiaTheme="minorEastAsia"/>
          <w:color w:val="383838"/>
          <w:sz w:val="28"/>
          <w:szCs w:val="28"/>
        </w:rPr>
      </w:pPr>
      <w:r>
        <w:rPr>
          <w:rFonts w:hint="eastAsia" w:asciiTheme="minorEastAsia" w:hAnsiTheme="minorEastAsia" w:eastAsiaTheme="minorEastAsia"/>
          <w:color w:val="383838"/>
          <w:sz w:val="28"/>
          <w:szCs w:val="28"/>
        </w:rPr>
        <w:t>配置要求如下：</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、整体要求：四排座位向前，高密度聚安脂发泡、外包耐磨防水皮革面料座椅，采用直流电机（</w:t>
      </w:r>
      <w:r>
        <w:rPr>
          <w:rFonts w:asciiTheme="minorEastAsia" w:hAnsiTheme="minorEastAsia" w:eastAsiaTheme="minorEastAsia"/>
          <w:sz w:val="24"/>
        </w:rPr>
        <w:t>功率</w:t>
      </w:r>
      <w:r>
        <w:rPr>
          <w:rFonts w:hint="eastAsia" w:asciiTheme="minorEastAsia" w:hAnsiTheme="minorEastAsia" w:eastAsiaTheme="minorEastAsia"/>
          <w:sz w:val="24"/>
        </w:rPr>
        <w:t>：≥72</w:t>
      </w:r>
      <w:r>
        <w:rPr>
          <w:rFonts w:asciiTheme="minorEastAsia" w:hAnsiTheme="minorEastAsia" w:eastAsiaTheme="minorEastAsia"/>
          <w:sz w:val="24"/>
        </w:rPr>
        <w:t>V/</w:t>
      </w:r>
      <w:r>
        <w:rPr>
          <w:rFonts w:hint="eastAsia" w:asciiTheme="minorEastAsia" w:hAnsiTheme="minorEastAsia" w:eastAsiaTheme="minorEastAsia"/>
          <w:sz w:val="24"/>
        </w:rPr>
        <w:t>5KW）和72V优质直流控制器，</w:t>
      </w:r>
      <w:r>
        <w:rPr>
          <w:rFonts w:hint="eastAsia" w:asciiTheme="minorEastAsia" w:hAnsiTheme="minorEastAsia" w:eastAsiaTheme="minorEastAsia"/>
          <w:sz w:val="24"/>
          <w:szCs w:val="22"/>
        </w:rPr>
        <w:t>≥72V240Ah锂电池及电池管理系统</w:t>
      </w:r>
      <w:r>
        <w:rPr>
          <w:rFonts w:hint="eastAsia" w:asciiTheme="minorEastAsia" w:hAnsiTheme="minorEastAsia" w:eastAsiaTheme="minorEastAsia"/>
          <w:sz w:val="24"/>
        </w:rPr>
        <w:t>，外观颜色按用户需求喷涂。</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、主要技术参数配置</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电气系统</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电机：≥72V 5kW直流电机。</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电池：≥</w:t>
      </w:r>
      <w:r>
        <w:rPr>
          <w:rFonts w:hint="eastAsia" w:asciiTheme="minorEastAsia" w:hAnsiTheme="minorEastAsia" w:eastAsiaTheme="minorEastAsia"/>
          <w:sz w:val="24"/>
          <w:szCs w:val="22"/>
        </w:rPr>
        <w:t>72V240Ah锂电池及电池管理系统</w:t>
      </w:r>
      <w:r>
        <w:rPr>
          <w:rFonts w:hint="eastAsia" w:asciiTheme="minorEastAsia" w:hAnsiTheme="minorEastAsia" w:eastAsiaTheme="minorEastAsia"/>
          <w:sz w:val="24"/>
        </w:rPr>
        <w:t>。</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电控系统：优质直流控制器。</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充电器：与电池配套的智能充电器，充电时间≤10小时。</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灯光和警示系统：远近光灯、转向灯、制动灯、倒车灯、倒车蜂鸣器、电喇叭。</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开关及仪表：玻璃钢成型仪表台，组合式仪表。</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加速器：原装电控配套的加速器，性能稳定、加速性能好。</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雨刮器：带自动复位功能的雨刮器，刮水面积大，干净彻底。</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车体系统</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底盘车架：微型车改进专用底盘，高强度的钢管焊接结构，防锈电泳烤漆处理。底盘防锈标准：电泳按</w:t>
      </w:r>
      <w:r>
        <w:rPr>
          <w:rFonts w:asciiTheme="minorEastAsia" w:hAnsiTheme="minorEastAsia" w:eastAsiaTheme="minorEastAsia"/>
          <w:sz w:val="24"/>
        </w:rPr>
        <w:t>JB/T 10242-2001</w:t>
      </w:r>
      <w:r>
        <w:rPr>
          <w:rFonts w:hint="eastAsia" w:asciiTheme="minorEastAsia" w:hAnsiTheme="minorEastAsia" w:eastAsiaTheme="minorEastAsia"/>
          <w:sz w:val="24"/>
        </w:rPr>
        <w:t>技术标准；喷粉按</w:t>
      </w:r>
      <w:r>
        <w:rPr>
          <w:rFonts w:asciiTheme="minorEastAsia" w:hAnsiTheme="minorEastAsia" w:eastAsiaTheme="minorEastAsia"/>
          <w:sz w:val="24"/>
        </w:rPr>
        <w:t>JB 15607-1995</w:t>
      </w:r>
      <w:r>
        <w:rPr>
          <w:rFonts w:hint="eastAsia" w:asciiTheme="minorEastAsia" w:hAnsiTheme="minorEastAsia" w:eastAsiaTheme="minorEastAsia"/>
          <w:sz w:val="24"/>
        </w:rPr>
        <w:t>标准；中性盐雾试验</w:t>
      </w:r>
      <w:r>
        <w:rPr>
          <w:rFonts w:asciiTheme="minorEastAsia" w:hAnsiTheme="minorEastAsia" w:eastAsiaTheme="minorEastAsia"/>
          <w:sz w:val="24"/>
        </w:rPr>
        <w:t>48</w:t>
      </w:r>
      <w:r>
        <w:rPr>
          <w:rFonts w:hint="eastAsia" w:asciiTheme="minorEastAsia" w:hAnsiTheme="minorEastAsia" w:eastAsiaTheme="minorEastAsia"/>
          <w:sz w:val="24"/>
        </w:rPr>
        <w:t>小时达</w:t>
      </w:r>
      <w:r>
        <w:rPr>
          <w:rFonts w:asciiTheme="minorEastAsia" w:hAnsiTheme="minorEastAsia" w:eastAsiaTheme="minorEastAsia"/>
          <w:sz w:val="24"/>
        </w:rPr>
        <w:t>8</w:t>
      </w:r>
      <w:r>
        <w:rPr>
          <w:rFonts w:hint="eastAsia" w:asciiTheme="minorEastAsia" w:hAnsiTheme="minorEastAsia" w:eastAsiaTheme="minorEastAsia"/>
          <w:sz w:val="24"/>
        </w:rPr>
        <w:t>级以上。</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外饰：高强度玻璃钢车身及双面玻璃钢顶蓬。</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前桥及悬挂：麦弗逊式独立悬挂，螺旋弹簧+筒式液压减震。</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后桥及悬挂：整体式后桥，带主减速及差速器，钢板弹簧+筒式液压减震式非独立悬挂。</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制动系统：采用液压双回路前碟后鼓式制动，并带机械式驻车</w:t>
      </w:r>
      <w:r>
        <w:rPr>
          <w:rFonts w:asciiTheme="minorEastAsia" w:hAnsiTheme="minorEastAsia" w:eastAsiaTheme="minorEastAsia"/>
          <w:sz w:val="24"/>
        </w:rPr>
        <w:t>(</w:t>
      </w:r>
      <w:r>
        <w:rPr>
          <w:rFonts w:hint="eastAsia" w:asciiTheme="minorEastAsia" w:hAnsiTheme="minorEastAsia" w:eastAsiaTheme="minorEastAsia"/>
          <w:sz w:val="24"/>
        </w:rPr>
        <w:t>手刹</w:t>
      </w:r>
      <w:r>
        <w:rPr>
          <w:rFonts w:asciiTheme="minorEastAsia" w:hAnsiTheme="minorEastAsia" w:eastAsiaTheme="minorEastAsia"/>
          <w:sz w:val="24"/>
        </w:rPr>
        <w:t>)</w:t>
      </w:r>
      <w:r>
        <w:rPr>
          <w:rFonts w:hint="eastAsia" w:asciiTheme="minorEastAsia" w:hAnsiTheme="minorEastAsia" w:eastAsiaTheme="minorEastAsia"/>
          <w:sz w:val="24"/>
        </w:rPr>
        <w:t>。</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转向系统：齿轮齿条式转向加电动助力系统。</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前挡风玻璃：汽车用双层安全夹胶玻璃。。</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座椅：高密度聚安脂发泡，外包耐磨防水皮革面料。</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后视镜：左右手动型外后视镜及驾驶室内后视镜。</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轮胎：加强型真空子午线轮胎，规格型号为：155/80R12，配装铝合金轮辋。</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其他：配下拉式遮雨帘。</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基本技术参数</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长×宽×高：约4600×1500×1900 mm±100mm</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座位数：11座</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整备质量：：≤1250kg</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满载总质量：≥2000kg</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轴距：≥2600mm</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前轮距：≥1200mm</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后轮距：≥1200mm</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最小离地间隙：≥150mm</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最小转弯半径：≤6m</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制动距离：≤4.5m</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最大速度：28km/h</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最大续驶里程：≥80km</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充电时间：≤10h</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最大噪音：≤75dB</w:t>
      </w:r>
    </w:p>
    <w:p>
      <w:pPr>
        <w:pStyle w:val="51"/>
        <w:numPr>
          <w:ilvl w:val="0"/>
          <w:numId w:val="5"/>
        </w:numPr>
        <w:spacing w:line="360" w:lineRule="auto"/>
        <w:ind w:firstLineChars="0"/>
        <w:rPr>
          <w:rFonts w:asciiTheme="minorEastAsia" w:hAnsiTheme="minorEastAsia" w:eastAsiaTheme="minorEastAsia"/>
          <w:sz w:val="24"/>
        </w:rPr>
      </w:pPr>
      <w:r>
        <w:rPr>
          <w:rFonts w:hint="eastAsia" w:asciiTheme="minorEastAsia" w:hAnsiTheme="minorEastAsia" w:eastAsiaTheme="minorEastAsia"/>
          <w:sz w:val="24"/>
        </w:rPr>
        <w:t>爬坡能力(满载)：≥15%</w:t>
      </w:r>
    </w:p>
    <w:p>
      <w:pPr>
        <w:adjustRightInd w:val="0"/>
        <w:snapToGrid w:val="0"/>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二、保证条款</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乙方保证其具备开展合同约定业务的相关资质</w:t>
      </w:r>
      <w:r>
        <w:rPr>
          <w:rFonts w:hint="eastAsia" w:asciiTheme="minorEastAsia" w:hAnsiTheme="minorEastAsia" w:eastAsiaTheme="minorEastAsia"/>
          <w:sz w:val="28"/>
          <w:szCs w:val="28"/>
        </w:rPr>
        <w:t>，</w:t>
      </w:r>
      <w:r>
        <w:rPr>
          <w:rFonts w:asciiTheme="minorEastAsia" w:hAnsiTheme="minorEastAsia" w:eastAsiaTheme="minorEastAsia"/>
          <w:sz w:val="28"/>
          <w:szCs w:val="28"/>
        </w:rPr>
        <w:t>签约时须提供签约主体资质文件（包括但不限于企业法人营业执照），并保证</w:t>
      </w:r>
      <w:r>
        <w:rPr>
          <w:rFonts w:hint="eastAsia" w:asciiTheme="minorEastAsia" w:hAnsiTheme="minorEastAsia" w:eastAsiaTheme="minorEastAsia"/>
          <w:sz w:val="28"/>
          <w:szCs w:val="28"/>
        </w:rPr>
        <w:t>资料真实、合法、有效。</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2、乙方保证其提供的货物来源合法、质量合格。</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货物质量须满足国家、地区或相关行业的强制性质量标准，如以上标准不一致时，以其中最高的标准为准；无强制性质量标准的应以样品或双方约定的标准为准。</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乙方保证其提供的服务不存在对第三方的侵权，因乙方提供服务产生的侵权纠纷由乙方负责解决，如因此导致甲方产生费用支出的（包括因此支持的赔偿、诉讼费、财产保全费、调查取证费用、律师费、公证费、处理纠纷事宜产生的交通费用等），乙方全额向甲方作出补偿。</w:t>
      </w:r>
    </w:p>
    <w:p>
      <w:pPr>
        <w:pStyle w:val="51"/>
        <w:adjustRightInd w:val="0"/>
        <w:snapToGrid w:val="0"/>
        <w:spacing w:line="600" w:lineRule="exact"/>
        <w:ind w:firstLine="562"/>
        <w:rPr>
          <w:rFonts w:asciiTheme="minorEastAsia" w:hAnsiTheme="minorEastAsia" w:eastAsiaTheme="minorEastAsia"/>
          <w:b/>
          <w:sz w:val="28"/>
          <w:szCs w:val="28"/>
        </w:rPr>
      </w:pPr>
      <w:r>
        <w:rPr>
          <w:rFonts w:hint="eastAsia" w:asciiTheme="minorEastAsia" w:hAnsiTheme="minorEastAsia" w:eastAsiaTheme="minorEastAsia"/>
          <w:b/>
          <w:sz w:val="28"/>
          <w:szCs w:val="28"/>
        </w:rPr>
        <w:t>三、货物</w:t>
      </w:r>
      <w:r>
        <w:rPr>
          <w:rFonts w:asciiTheme="minorEastAsia" w:hAnsiTheme="minorEastAsia" w:eastAsiaTheme="minorEastAsia"/>
          <w:b/>
          <w:sz w:val="28"/>
          <w:szCs w:val="28"/>
        </w:rPr>
        <w:t>交付时间</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1、乙方须在本合同签订之日起</w:t>
      </w:r>
      <w:r>
        <w:rPr>
          <w:rFonts w:hint="eastAsia" w:asciiTheme="minorEastAsia" w:hAnsiTheme="minorEastAsia" w:eastAsiaTheme="minorEastAsia"/>
          <w:sz w:val="28"/>
          <w:szCs w:val="28"/>
          <w:u w:val="single"/>
        </w:rPr>
        <w:t>15</w:t>
      </w:r>
      <w:r>
        <w:rPr>
          <w:rFonts w:hint="eastAsia" w:asciiTheme="minorEastAsia" w:hAnsiTheme="minorEastAsia" w:eastAsiaTheme="minorEastAsia"/>
          <w:sz w:val="28"/>
          <w:szCs w:val="28"/>
        </w:rPr>
        <w:t>天内将货物送达至甲方指定地点。</w:t>
      </w:r>
    </w:p>
    <w:p>
      <w:pPr>
        <w:pStyle w:val="51"/>
        <w:adjustRightInd w:val="0"/>
        <w:snapToGrid w:val="0"/>
        <w:spacing w:line="600" w:lineRule="exact"/>
        <w:ind w:firstLine="562"/>
        <w:rPr>
          <w:rFonts w:asciiTheme="minorEastAsia" w:hAnsiTheme="minorEastAsia" w:eastAsiaTheme="minorEastAsia"/>
          <w:b/>
          <w:sz w:val="28"/>
          <w:szCs w:val="28"/>
        </w:rPr>
      </w:pPr>
      <w:r>
        <w:rPr>
          <w:rFonts w:hint="eastAsia" w:asciiTheme="minorEastAsia" w:hAnsiTheme="minorEastAsia" w:eastAsiaTheme="minorEastAsia"/>
          <w:b/>
          <w:sz w:val="28"/>
          <w:szCs w:val="28"/>
        </w:rPr>
        <w:t>四、</w:t>
      </w:r>
      <w:r>
        <w:rPr>
          <w:rFonts w:asciiTheme="minorEastAsia" w:hAnsiTheme="minorEastAsia" w:eastAsiaTheme="minorEastAsia"/>
          <w:b/>
          <w:sz w:val="28"/>
          <w:szCs w:val="28"/>
        </w:rPr>
        <w:t>货物的包装</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w:t>
      </w:r>
      <w:r>
        <w:rPr>
          <w:rFonts w:asciiTheme="minorEastAsia" w:hAnsiTheme="minorEastAsia" w:eastAsiaTheme="minorEastAsia"/>
          <w:sz w:val="28"/>
          <w:szCs w:val="28"/>
        </w:rPr>
        <w:t>按国家</w:t>
      </w:r>
      <w:r>
        <w:rPr>
          <w:rFonts w:hint="eastAsia" w:asciiTheme="minorEastAsia" w:hAnsiTheme="minorEastAsia" w:eastAsiaTheme="minorEastAsia"/>
          <w:sz w:val="28"/>
          <w:szCs w:val="28"/>
        </w:rPr>
        <w:t>或行业的</w:t>
      </w:r>
      <w:r>
        <w:rPr>
          <w:rFonts w:asciiTheme="minorEastAsia" w:hAnsiTheme="minorEastAsia" w:eastAsiaTheme="minorEastAsia"/>
          <w:sz w:val="28"/>
          <w:szCs w:val="28"/>
        </w:rPr>
        <w:t>相关标</w:t>
      </w:r>
      <w:r>
        <w:rPr>
          <w:rFonts w:hint="eastAsia" w:asciiTheme="minorEastAsia" w:hAnsiTheme="minorEastAsia" w:eastAsiaTheme="minorEastAsia"/>
          <w:sz w:val="28"/>
          <w:szCs w:val="28"/>
        </w:rPr>
        <w:t>准进行包装</w:t>
      </w:r>
      <w:r>
        <w:rPr>
          <w:rFonts w:asciiTheme="minorEastAsia" w:hAnsiTheme="minorEastAsia" w:eastAsiaTheme="minorEastAsia"/>
          <w:sz w:val="28"/>
          <w:szCs w:val="28"/>
        </w:rPr>
        <w:t>，无相关标准的，采用足以保护货物</w:t>
      </w:r>
      <w:r>
        <w:rPr>
          <w:rFonts w:hint="eastAsia" w:asciiTheme="minorEastAsia" w:hAnsiTheme="minorEastAsia" w:eastAsiaTheme="minorEastAsia"/>
          <w:sz w:val="28"/>
          <w:szCs w:val="28"/>
        </w:rPr>
        <w:t>不受损的包装方式。</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2、货物的包装所需用料及包装由乙方负责，乙方须确保其货物包装的安全、耐用，在甲方收货后的保管、装卸、拆包装过程中，如因乙方包装质量问题而导致的货物损坏，由乙方负全责。</w:t>
      </w:r>
    </w:p>
    <w:p>
      <w:pPr>
        <w:adjustRightInd w:val="0"/>
        <w:snapToGrid w:val="0"/>
        <w:spacing w:line="600" w:lineRule="exact"/>
        <w:rPr>
          <w:rFonts w:asciiTheme="minorEastAsia" w:hAnsiTheme="minorEastAsia" w:eastAsiaTheme="minorEastAsia"/>
          <w:sz w:val="28"/>
          <w:szCs w:val="28"/>
        </w:rPr>
      </w:pPr>
    </w:p>
    <w:p>
      <w:pPr>
        <w:adjustRightInd w:val="0"/>
        <w:snapToGrid w:val="0"/>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五、</w:t>
      </w:r>
      <w:r>
        <w:rPr>
          <w:rFonts w:asciiTheme="minorEastAsia" w:hAnsiTheme="minorEastAsia" w:eastAsiaTheme="minorEastAsia"/>
          <w:b/>
          <w:sz w:val="28"/>
          <w:szCs w:val="28"/>
        </w:rPr>
        <w:t>货物</w:t>
      </w:r>
      <w:r>
        <w:rPr>
          <w:rFonts w:hint="eastAsia" w:asciiTheme="minorEastAsia" w:hAnsiTheme="minorEastAsia" w:eastAsiaTheme="minorEastAsia"/>
          <w:b/>
          <w:sz w:val="28"/>
          <w:szCs w:val="28"/>
        </w:rPr>
        <w:t>的验收</w:t>
      </w:r>
    </w:p>
    <w:p>
      <w:pPr>
        <w:adjustRightInd w:val="0"/>
        <w:snapToGrid w:val="0"/>
        <w:spacing w:line="6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1</w:t>
      </w:r>
      <w:r>
        <w:rPr>
          <w:rFonts w:hint="eastAsia" w:asciiTheme="minorEastAsia" w:hAnsiTheme="minorEastAsia" w:eastAsiaTheme="minorEastAsia"/>
          <w:sz w:val="28"/>
          <w:szCs w:val="28"/>
        </w:rPr>
        <w:t>、货物到达甲方指定地点后，甲乙双方授权代表共同对货物（包括但不限于外观、数量、安装、调试等方面）进行验收。经验收发现货物质量存在问题的，甲方有权拒绝收货，乙方应及时更换不合格的产品，不合格的产品乙方应当自行回收，费用由乙方自理。因上述更换造成乙方逾期交付货物的，乙方应承担逾期违约责任。</w:t>
      </w:r>
      <w:r>
        <w:rPr>
          <w:rFonts w:asciiTheme="minorEastAsia" w:hAnsiTheme="minorEastAsia" w:eastAsiaTheme="minorEastAsia"/>
          <w:sz w:val="28"/>
          <w:szCs w:val="28"/>
        </w:rPr>
        <w:t>甲方对货物的验收、认可，</w:t>
      </w:r>
      <w:r>
        <w:rPr>
          <w:rFonts w:hint="eastAsia" w:asciiTheme="minorEastAsia" w:hAnsiTheme="minorEastAsia" w:eastAsiaTheme="minorEastAsia"/>
          <w:sz w:val="28"/>
          <w:szCs w:val="28"/>
        </w:rPr>
        <w:t>不免除乙方对货物质量问题应承担的责任。</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甲乙双方分别指定如下人员负责本合同相关事项的履行及确认：</w:t>
      </w:r>
    </w:p>
    <w:p>
      <w:pPr>
        <w:adjustRightInd w:val="0"/>
        <w:snapToGrid w:val="0"/>
        <w:spacing w:line="600" w:lineRule="exact"/>
        <w:ind w:firstLine="560" w:firstLineChars="200"/>
        <w:rPr>
          <w:rFonts w:asciiTheme="minorEastAsia" w:hAnsiTheme="minorEastAsia" w:eastAsiaTheme="minorEastAsia"/>
          <w:sz w:val="28"/>
          <w:szCs w:val="28"/>
          <w:u w:val="single"/>
        </w:rPr>
      </w:pPr>
      <w:r>
        <w:rPr>
          <w:rFonts w:hint="eastAsia" w:asciiTheme="minorEastAsia" w:hAnsiTheme="minorEastAsia" w:eastAsiaTheme="minorEastAsia"/>
          <w:sz w:val="28"/>
          <w:szCs w:val="28"/>
        </w:rPr>
        <w:t>甲方指定人员：；联系电话：；邮箱:</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甲方人员签名样式为：</w:t>
      </w:r>
    </w:p>
    <w:p>
      <w:pPr>
        <w:adjustRightInd w:val="0"/>
        <w:snapToGrid w:val="0"/>
        <w:spacing w:line="600" w:lineRule="exact"/>
        <w:ind w:firstLine="560" w:firstLineChars="200"/>
        <w:rPr>
          <w:rFonts w:asciiTheme="minorEastAsia" w:hAnsiTheme="minorEastAsia" w:eastAsiaTheme="minorEastAsia"/>
          <w:sz w:val="28"/>
          <w:szCs w:val="28"/>
          <w:u w:val="single"/>
        </w:rPr>
      </w:pPr>
    </w:p>
    <w:p>
      <w:pPr>
        <w:adjustRightInd w:val="0"/>
        <w:snapToGrid w:val="0"/>
        <w:spacing w:line="600" w:lineRule="exact"/>
        <w:ind w:firstLine="560" w:firstLineChars="200"/>
        <w:rPr>
          <w:rFonts w:asciiTheme="minorEastAsia" w:hAnsiTheme="minorEastAsia" w:eastAsiaTheme="minorEastAsia"/>
          <w:sz w:val="28"/>
          <w:szCs w:val="28"/>
          <w:u w:val="single"/>
        </w:rPr>
      </w:pPr>
      <w:r>
        <w:rPr>
          <w:rFonts w:hint="eastAsia" w:asciiTheme="minorEastAsia" w:hAnsiTheme="minorEastAsia" w:eastAsiaTheme="minorEastAsia"/>
          <w:sz w:val="28"/>
          <w:szCs w:val="28"/>
        </w:rPr>
        <w:t>乙方指定人员：；联系电话：；邮箱:</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乙方人员签名样式为：</w:t>
      </w:r>
    </w:p>
    <w:p>
      <w:pPr>
        <w:adjustRightInd w:val="0"/>
        <w:snapToGrid w:val="0"/>
        <w:spacing w:line="600" w:lineRule="exact"/>
        <w:ind w:firstLine="560" w:firstLineChars="200"/>
        <w:rPr>
          <w:rFonts w:asciiTheme="minorEastAsia" w:hAnsiTheme="minorEastAsia" w:eastAsiaTheme="minorEastAsia"/>
          <w:sz w:val="28"/>
          <w:szCs w:val="28"/>
          <w:u w:val="single"/>
        </w:rPr>
      </w:pPr>
    </w:p>
    <w:p>
      <w:pPr>
        <w:adjustRightInd w:val="0"/>
        <w:snapToGrid w:val="0"/>
        <w:spacing w:line="6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w:t>
      </w:r>
      <w:r>
        <w:rPr>
          <w:rFonts w:asciiTheme="minorEastAsia" w:hAnsiTheme="minorEastAsia" w:eastAsiaTheme="minorEastAsia"/>
          <w:sz w:val="28"/>
          <w:szCs w:val="28"/>
        </w:rPr>
        <w:t>货物验收合格后，乙方负责对甲方人员进行培训，直至甲方人员能熟练操作</w:t>
      </w:r>
      <w:r>
        <w:rPr>
          <w:rFonts w:hint="eastAsia" w:asciiTheme="minorEastAsia" w:hAnsiTheme="minorEastAsia" w:eastAsiaTheme="minorEastAsia"/>
          <w:sz w:val="28"/>
          <w:szCs w:val="28"/>
        </w:rPr>
        <w:t>驾驶并对安全操作熟练掌握</w:t>
      </w:r>
      <w:r>
        <w:rPr>
          <w:rFonts w:asciiTheme="minorEastAsia" w:hAnsiTheme="minorEastAsia" w:eastAsiaTheme="minorEastAsia"/>
          <w:sz w:val="28"/>
          <w:szCs w:val="28"/>
        </w:rPr>
        <w:t>为止，培训费用由乙方承担。</w:t>
      </w:r>
    </w:p>
    <w:p>
      <w:pPr>
        <w:adjustRightInd w:val="0"/>
        <w:snapToGrid w:val="0"/>
        <w:spacing w:line="6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、验收货物时乙方须同时向甲方提交货物合格证书、保修书、说明书等相关货物附随资料。</w:t>
      </w:r>
    </w:p>
    <w:p>
      <w:pPr>
        <w:adjustRightInd w:val="0"/>
        <w:snapToGrid w:val="0"/>
        <w:spacing w:line="600" w:lineRule="exact"/>
        <w:rPr>
          <w:rFonts w:asciiTheme="minorEastAsia" w:hAnsiTheme="minorEastAsia" w:eastAsiaTheme="minorEastAsia"/>
          <w:sz w:val="28"/>
          <w:szCs w:val="28"/>
        </w:rPr>
      </w:pPr>
    </w:p>
    <w:p>
      <w:pPr>
        <w:adjustRightInd w:val="0"/>
        <w:snapToGrid w:val="0"/>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六、</w:t>
      </w:r>
      <w:r>
        <w:rPr>
          <w:rFonts w:asciiTheme="minorEastAsia" w:hAnsiTheme="minorEastAsia" w:eastAsiaTheme="minorEastAsia"/>
          <w:b/>
          <w:sz w:val="28"/>
          <w:szCs w:val="28"/>
        </w:rPr>
        <w:t>质保期</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1、货物的质保期为</w:t>
      </w:r>
      <w:r>
        <w:rPr>
          <w:rFonts w:hint="eastAsia" w:asciiTheme="minorEastAsia" w:hAnsiTheme="minorEastAsia" w:eastAsiaTheme="minorEastAsia"/>
          <w:sz w:val="28"/>
          <w:szCs w:val="28"/>
          <w:u w:val="single"/>
        </w:rPr>
        <w:t>1</w:t>
      </w:r>
      <w:r>
        <w:rPr>
          <w:rFonts w:hint="eastAsia" w:asciiTheme="minorEastAsia" w:hAnsiTheme="minorEastAsia" w:eastAsiaTheme="minorEastAsia"/>
          <w:sz w:val="28"/>
          <w:szCs w:val="28"/>
        </w:rPr>
        <w:t>年，自货物交付予甲方并验收合格之日起算。如质保期，低于本合同签订时国家强制性法律法规或相关行业中所规定的最低质量保证期限，则乙方保证责任须按照前述较高质量保证期限执行。</w:t>
      </w:r>
    </w:p>
    <w:p>
      <w:pPr>
        <w:adjustRightInd w:val="0"/>
        <w:snapToGrid w:val="0"/>
        <w:spacing w:line="6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2</w:t>
      </w:r>
      <w:r>
        <w:rPr>
          <w:rFonts w:hint="eastAsia" w:asciiTheme="minorEastAsia" w:hAnsiTheme="minorEastAsia" w:eastAsiaTheme="minorEastAsia"/>
          <w:sz w:val="28"/>
          <w:szCs w:val="28"/>
        </w:rPr>
        <w:t>、货物质保期内，凡属乙方货物质量问题（包括但不限于在拆除包装后、使用前发现的产品破损、损耗问题、制造工艺或材质等问题）的，乙方接到甲方通知后，2小时内予以答复，须在</w:t>
      </w:r>
      <w:r>
        <w:rPr>
          <w:rFonts w:hint="eastAsia" w:asciiTheme="minorEastAsia" w:hAnsiTheme="minorEastAsia" w:eastAsiaTheme="minorEastAsia"/>
          <w:sz w:val="28"/>
          <w:szCs w:val="28"/>
          <w:u w:val="single"/>
        </w:rPr>
        <w:t>4</w:t>
      </w:r>
      <w:r>
        <w:rPr>
          <w:rFonts w:hint="eastAsia" w:asciiTheme="minorEastAsia" w:hAnsiTheme="minorEastAsia" w:eastAsiaTheme="minorEastAsia"/>
          <w:sz w:val="28"/>
          <w:szCs w:val="28"/>
        </w:rPr>
        <w:t>小时内到场进行维修、更换货物且承担一切费用（包括货物已使用情形下所需的维修、更换人工及材料等费用），若在24小时内不能排除故障，乙方立即采取切实有效的补救措施（包括免费提供应急设备），全力防止损失的扩大，否则视为授权甲方另行安排维修、更换。由甲方另行安排维修、更换的，所发生费用及相应责任由乙方承担。前述情况下所发生的维修、更换工作量及费用以甲方与负责维修、更换方共同确认的工作量及费用为准。如属使用不当造成的问题，乙方仍应及时负责维修、更换，费用由责任方承担。</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3、乙方负责维保的，</w:t>
      </w:r>
      <w:r>
        <w:rPr>
          <w:rFonts w:cs="宋体" w:asciiTheme="minorEastAsia" w:hAnsiTheme="minorEastAsia" w:eastAsiaTheme="minorEastAsia"/>
          <w:sz w:val="28"/>
          <w:szCs w:val="28"/>
        </w:rPr>
        <w:t>乙方维保服务工作过程中不得损坏甲方的财产，因乙方及其所雇人员的疏忽或操作不当造成甲方的设备及物品损坏的，所产生的一切损失及维修、更换费用由乙方承担。</w:t>
      </w:r>
    </w:p>
    <w:p>
      <w:pPr>
        <w:pStyle w:val="51"/>
        <w:adjustRightInd w:val="0"/>
        <w:snapToGrid w:val="0"/>
        <w:spacing w:line="600" w:lineRule="exact"/>
        <w:ind w:firstLine="560"/>
        <w:rPr>
          <w:rFonts w:asciiTheme="minorEastAsia" w:hAnsiTheme="minorEastAsia" w:eastAsiaTheme="minorEastAsia"/>
          <w:sz w:val="28"/>
          <w:szCs w:val="28"/>
        </w:rPr>
      </w:pPr>
    </w:p>
    <w:p>
      <w:pPr>
        <w:adjustRightInd w:val="0"/>
        <w:snapToGrid w:val="0"/>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七、</w:t>
      </w:r>
      <w:r>
        <w:rPr>
          <w:rFonts w:asciiTheme="minorEastAsia" w:hAnsiTheme="minorEastAsia" w:eastAsiaTheme="minorEastAsia"/>
          <w:b/>
          <w:sz w:val="28"/>
          <w:szCs w:val="28"/>
        </w:rPr>
        <w:t>货款结算</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1、货物不含税总价款为</w:t>
      </w:r>
      <w:r>
        <w:rPr>
          <w:rFonts w:asciiTheme="minorEastAsia" w:hAnsiTheme="minorEastAsia" w:eastAsiaTheme="minorEastAsia"/>
          <w:sz w:val="28"/>
          <w:szCs w:val="28"/>
        </w:rPr>
        <w:t>人民币</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元（大写</w:t>
      </w:r>
      <w:r>
        <w:rPr>
          <w:rFonts w:hint="eastAsia" w:asciiTheme="minorEastAsia" w:hAnsiTheme="minorEastAsia" w:eastAsiaTheme="minorEastAsia"/>
          <w:sz w:val="28"/>
          <w:szCs w:val="28"/>
          <w:u w:val="single"/>
        </w:rPr>
        <w:t>：    元整</w:t>
      </w:r>
      <w:r>
        <w:rPr>
          <w:rFonts w:hint="eastAsia" w:asciiTheme="minorEastAsia" w:hAnsiTheme="minorEastAsia" w:eastAsiaTheme="minorEastAsia"/>
          <w:sz w:val="28"/>
          <w:szCs w:val="28"/>
        </w:rPr>
        <w:t>），税款为</w:t>
      </w:r>
      <w:r>
        <w:rPr>
          <w:rFonts w:asciiTheme="minorEastAsia" w:hAnsiTheme="minorEastAsia" w:eastAsiaTheme="minorEastAsia"/>
          <w:sz w:val="28"/>
          <w:szCs w:val="28"/>
        </w:rPr>
        <w:t>人民币</w:t>
      </w:r>
      <w:r>
        <w:rPr>
          <w:rFonts w:hint="eastAsia" w:asciiTheme="minorEastAsia" w:hAnsiTheme="minorEastAsia" w:eastAsiaTheme="minorEastAsia"/>
          <w:sz w:val="28"/>
          <w:szCs w:val="28"/>
        </w:rPr>
        <w:t xml:space="preserve">     元（大写</w:t>
      </w:r>
      <w:r>
        <w:rPr>
          <w:rFonts w:hint="eastAsia" w:asciiTheme="minorEastAsia" w:hAnsiTheme="minorEastAsia" w:eastAsiaTheme="minorEastAsia"/>
          <w:sz w:val="28"/>
          <w:szCs w:val="28"/>
          <w:u w:val="single"/>
        </w:rPr>
        <w:t>：  元整</w:t>
      </w:r>
      <w:r>
        <w:rPr>
          <w:rFonts w:hint="eastAsia" w:asciiTheme="minorEastAsia" w:hAnsiTheme="minorEastAsia" w:eastAsiaTheme="minorEastAsia"/>
          <w:sz w:val="28"/>
          <w:szCs w:val="28"/>
        </w:rPr>
        <w:t>），含税总价款为</w:t>
      </w:r>
      <w:r>
        <w:rPr>
          <w:rFonts w:asciiTheme="minorEastAsia" w:hAnsiTheme="minorEastAsia" w:eastAsiaTheme="minorEastAsia"/>
          <w:sz w:val="28"/>
          <w:szCs w:val="28"/>
        </w:rPr>
        <w:t>人民币</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元（大写</w:t>
      </w:r>
      <w:r>
        <w:rPr>
          <w:rFonts w:hint="eastAsia" w:asciiTheme="minorEastAsia" w:hAnsiTheme="minorEastAsia" w:eastAsiaTheme="minorEastAsia"/>
          <w:sz w:val="28"/>
          <w:szCs w:val="28"/>
          <w:u w:val="single"/>
        </w:rPr>
        <w:t>：    元整</w:t>
      </w:r>
      <w:r>
        <w:rPr>
          <w:rFonts w:hint="eastAsia" w:asciiTheme="minorEastAsia" w:hAnsiTheme="minorEastAsia" w:eastAsiaTheme="minorEastAsia"/>
          <w:sz w:val="28"/>
          <w:szCs w:val="28"/>
        </w:rPr>
        <w:t>）。</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本合同约定的税率、税费随国家税收法律政策的调整而作相应调整。本合同履行期间，如国家税收法律政策对税率、税费进行调整的，则本合同不含税价格不作调整，税费按最新税率计价后作相应调整，甲方按税率调整后的含税价格进行付款。执行新税率的时间以税收法律政策文件中规定的执行时间为准。</w:t>
      </w:r>
    </w:p>
    <w:p>
      <w:pPr>
        <w:adjustRightInd w:val="0"/>
        <w:snapToGrid w:val="0"/>
        <w:spacing w:line="6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、货物总价为到达甲方指定地点的所有费用，包括但不限于货物出厂价、包装费、货物所需的各种检测费、管理费、运输费、各类风险、利润、税费等全部费用。</w:t>
      </w:r>
    </w:p>
    <w:p>
      <w:pPr>
        <w:pStyle w:val="50"/>
        <w:adjustRightInd w:val="0"/>
        <w:snapToGrid w:val="0"/>
        <w:spacing w:line="600" w:lineRule="exact"/>
        <w:ind w:firstLine="560"/>
        <w:rPr>
          <w:rFonts w:asciiTheme="minorEastAsia" w:hAnsiTheme="minorEastAsia" w:eastAsiaTheme="minorEastAsia"/>
          <w:sz w:val="28"/>
          <w:szCs w:val="28"/>
        </w:rPr>
      </w:pPr>
      <w:r>
        <w:rPr>
          <w:rFonts w:asciiTheme="minorEastAsia" w:hAnsiTheme="minorEastAsia" w:eastAsiaTheme="minorEastAsia"/>
          <w:sz w:val="28"/>
          <w:szCs w:val="28"/>
        </w:rPr>
        <w:t>4</w:t>
      </w:r>
      <w:r>
        <w:rPr>
          <w:rFonts w:hint="eastAsia" w:asciiTheme="minorEastAsia" w:hAnsiTheme="minorEastAsia" w:eastAsiaTheme="minorEastAsia"/>
          <w:sz w:val="28"/>
          <w:szCs w:val="28"/>
        </w:rPr>
        <w:t>、货款结算方式：</w:t>
      </w:r>
    </w:p>
    <w:p>
      <w:pPr>
        <w:autoSpaceDE w:val="0"/>
        <w:autoSpaceDN w:val="0"/>
        <w:adjustRightInd w:val="0"/>
        <w:spacing w:line="400" w:lineRule="atLeast"/>
        <w:ind w:firstLine="560" w:firstLineChars="200"/>
        <w:rPr>
          <w:rFonts w:asciiTheme="minorEastAsia" w:hAnsiTheme="minorEastAsia" w:eastAsiaTheme="minorEastAsia"/>
          <w:color w:val="000000"/>
          <w:sz w:val="28"/>
          <w:szCs w:val="28"/>
        </w:rPr>
      </w:pPr>
      <w:r>
        <w:rPr>
          <w:rFonts w:hint="eastAsia" w:asciiTheme="minorEastAsia" w:hAnsiTheme="minorEastAsia" w:eastAsiaTheme="minorEastAsia"/>
          <w:color w:val="000000"/>
          <w:sz w:val="28"/>
          <w:szCs w:val="28"/>
        </w:rPr>
        <w:t>合同签订后，甲方收到乙方请款资料后7个工作日内支付合同总价的30%预付款；验收合格后，甲方收到乙方请款资料后15个工作日内支付至合同结算总价的95%（含预付款），一年质保期期满且乙方按要求妥善履行了质保期义务后，甲方收到乙方请款资料15个工作日内付清余款（不计利息）。付预付款前，乙方应开具符合国家税务规定的全额合格的增值税专用发票</w:t>
      </w:r>
      <w:r>
        <w:rPr>
          <w:rFonts w:hint="eastAsia" w:cs="宋体" w:asciiTheme="minorEastAsia" w:hAnsiTheme="minorEastAsia" w:eastAsiaTheme="minorEastAsia"/>
          <w:sz w:val="28"/>
          <w:szCs w:val="28"/>
        </w:rPr>
        <w:t>（税率为 13%）</w:t>
      </w:r>
      <w:r>
        <w:rPr>
          <w:rFonts w:hint="eastAsia" w:asciiTheme="minorEastAsia" w:hAnsiTheme="minorEastAsia" w:eastAsiaTheme="minorEastAsia"/>
          <w:color w:val="000000"/>
          <w:sz w:val="28"/>
          <w:szCs w:val="28"/>
        </w:rPr>
        <w:t>给甲方。</w:t>
      </w:r>
    </w:p>
    <w:p>
      <w:pPr>
        <w:adjustRightInd w:val="0"/>
        <w:snapToGrid w:val="0"/>
        <w:spacing w:line="600" w:lineRule="exact"/>
        <w:ind w:firstLine="560" w:firstLineChars="200"/>
        <w:jc w:val="left"/>
        <w:rPr>
          <w:rFonts w:cs="宋体" w:asciiTheme="minorEastAsia" w:hAnsiTheme="minorEastAsia" w:eastAsiaTheme="minorEastAsia"/>
          <w:sz w:val="28"/>
          <w:szCs w:val="28"/>
        </w:rPr>
      </w:pPr>
      <w:r>
        <w:rPr>
          <w:rFonts w:asciiTheme="minorEastAsia" w:hAnsiTheme="minorEastAsia" w:eastAsiaTheme="minorEastAsia"/>
          <w:sz w:val="28"/>
          <w:szCs w:val="28"/>
        </w:rPr>
        <w:t>5</w:t>
      </w:r>
      <w:r>
        <w:rPr>
          <w:rFonts w:hint="eastAsia" w:asciiTheme="minorEastAsia" w:hAnsiTheme="minorEastAsia" w:eastAsiaTheme="minorEastAsia"/>
          <w:sz w:val="28"/>
          <w:szCs w:val="28"/>
        </w:rPr>
        <w:t>、</w:t>
      </w:r>
      <w:r>
        <w:rPr>
          <w:rFonts w:asciiTheme="minorEastAsia" w:hAnsiTheme="minorEastAsia" w:eastAsiaTheme="minorEastAsia"/>
          <w:bCs/>
          <w:sz w:val="28"/>
          <w:szCs w:val="28"/>
        </w:rPr>
        <w:t>甲方将以转账或支票形式支付合同款项</w:t>
      </w:r>
      <w:r>
        <w:rPr>
          <w:rFonts w:cs="宋体" w:asciiTheme="minorEastAsia" w:hAnsiTheme="minorEastAsia" w:eastAsiaTheme="minorEastAsia"/>
          <w:sz w:val="28"/>
          <w:szCs w:val="28"/>
        </w:rPr>
        <w:t>。如因乙方银行账户问题或乙方出具发票发生迟延，则甲方付款相应顺延，乙方仍应按照合同其他条款的约定履行合同义务，不履行或迟延履行的应承担违约责任。</w:t>
      </w:r>
    </w:p>
    <w:p>
      <w:pPr>
        <w:adjustRightInd w:val="0"/>
        <w:snapToGrid w:val="0"/>
        <w:spacing w:line="600" w:lineRule="exact"/>
        <w:ind w:firstLine="560" w:firstLineChars="200"/>
        <w:rPr>
          <w:rFonts w:asciiTheme="minorEastAsia" w:hAnsiTheme="minorEastAsia" w:eastAsiaTheme="minorEastAsia"/>
          <w:sz w:val="28"/>
          <w:szCs w:val="28"/>
        </w:rPr>
      </w:pPr>
      <w:r>
        <w:rPr>
          <w:rFonts w:cs="宋体" w:asciiTheme="minorEastAsia" w:hAnsiTheme="minorEastAsia" w:eastAsiaTheme="minorEastAsia"/>
          <w:sz w:val="28"/>
          <w:szCs w:val="28"/>
        </w:rPr>
        <w:t>6</w:t>
      </w:r>
      <w:r>
        <w:rPr>
          <w:rFonts w:hint="eastAsia" w:cs="宋体" w:asciiTheme="minorEastAsia" w:hAnsiTheme="minorEastAsia" w:eastAsiaTheme="minorEastAsia"/>
          <w:sz w:val="28"/>
          <w:szCs w:val="28"/>
        </w:rPr>
        <w:t>、</w:t>
      </w:r>
      <w:r>
        <w:rPr>
          <w:rFonts w:hint="eastAsia" w:asciiTheme="minorEastAsia" w:hAnsiTheme="minorEastAsia" w:eastAsiaTheme="minorEastAsia"/>
          <w:sz w:val="28"/>
          <w:szCs w:val="28"/>
        </w:rPr>
        <w:t>开票信息如下：</w:t>
      </w:r>
    </w:p>
    <w:tbl>
      <w:tblPr>
        <w:tblStyle w:val="44"/>
        <w:tblW w:w="7371" w:type="dxa"/>
        <w:tblInd w:w="534" w:type="dxa"/>
        <w:shd w:val="clear" w:color="auto" w:fill="FFFFFF"/>
        <w:tblLayout w:type="fixed"/>
        <w:tblCellMar>
          <w:top w:w="0" w:type="dxa"/>
          <w:left w:w="0" w:type="dxa"/>
          <w:bottom w:w="0" w:type="dxa"/>
          <w:right w:w="0" w:type="dxa"/>
        </w:tblCellMar>
      </w:tblPr>
      <w:tblGrid>
        <w:gridCol w:w="2126"/>
        <w:gridCol w:w="5245"/>
      </w:tblGrid>
      <w:tr>
        <w:tblPrEx>
          <w:tblLayout w:type="fixed"/>
        </w:tblPrEx>
        <w:trPr>
          <w:trHeight w:val="457" w:hRule="atLeast"/>
        </w:trPr>
        <w:tc>
          <w:tcPr>
            <w:tcW w:w="212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纳税人名称</w:t>
            </w:r>
          </w:p>
        </w:tc>
        <w:tc>
          <w:tcPr>
            <w:tcW w:w="52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广州印象文化旅游发展有限公司</w:t>
            </w:r>
          </w:p>
        </w:tc>
      </w:tr>
      <w:tr>
        <w:tblPrEx>
          <w:tblLayout w:type="fixed"/>
        </w:tblPrEx>
        <w:trPr>
          <w:trHeight w:val="512" w:hRule="atLeast"/>
        </w:trPr>
        <w:tc>
          <w:tcPr>
            <w:tcW w:w="212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纳税人识别号</w:t>
            </w:r>
          </w:p>
        </w:tc>
        <w:tc>
          <w:tcPr>
            <w:tcW w:w="52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91440101MA9UMLTR3W</w:t>
            </w:r>
          </w:p>
        </w:tc>
      </w:tr>
      <w:tr>
        <w:tblPrEx>
          <w:tblLayout w:type="fixed"/>
        </w:tblPrEx>
        <w:trPr>
          <w:trHeight w:val="621" w:hRule="atLeast"/>
        </w:trPr>
        <w:tc>
          <w:tcPr>
            <w:tcW w:w="212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地址</w:t>
            </w:r>
          </w:p>
        </w:tc>
        <w:tc>
          <w:tcPr>
            <w:tcW w:w="52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广州市番禺区小谷围街明志街</w:t>
            </w:r>
            <w:r>
              <w:rPr>
                <w:rFonts w:cs="宋体" w:asciiTheme="minorEastAsia" w:hAnsiTheme="minorEastAsia" w:eastAsiaTheme="minorEastAsia"/>
                <w:kern w:val="0"/>
                <w:sz w:val="28"/>
                <w:szCs w:val="28"/>
              </w:rPr>
              <w:t>1号1栋603号单元</w:t>
            </w:r>
          </w:p>
        </w:tc>
      </w:tr>
      <w:tr>
        <w:tblPrEx>
          <w:tblLayout w:type="fixed"/>
        </w:tblPrEx>
        <w:trPr>
          <w:trHeight w:val="621" w:hRule="atLeast"/>
        </w:trPr>
        <w:tc>
          <w:tcPr>
            <w:tcW w:w="212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联系电话</w:t>
            </w:r>
          </w:p>
        </w:tc>
        <w:tc>
          <w:tcPr>
            <w:tcW w:w="52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020</w:t>
            </w:r>
            <w:r>
              <w:rPr>
                <w:rFonts w:hint="eastAsia" w:cs="宋体" w:asciiTheme="minorEastAsia" w:hAnsiTheme="minorEastAsia" w:eastAsiaTheme="minorEastAsia"/>
                <w:kern w:val="0"/>
                <w:sz w:val="28"/>
                <w:szCs w:val="28"/>
              </w:rPr>
              <w:t>-</w:t>
            </w:r>
            <w:r>
              <w:rPr>
                <w:rFonts w:cs="宋体" w:asciiTheme="minorEastAsia" w:hAnsiTheme="minorEastAsia" w:eastAsiaTheme="minorEastAsia"/>
                <w:kern w:val="0"/>
                <w:sz w:val="28"/>
                <w:szCs w:val="28"/>
              </w:rPr>
              <w:t>84502903</w:t>
            </w:r>
          </w:p>
        </w:tc>
      </w:tr>
      <w:tr>
        <w:tblPrEx>
          <w:tblLayout w:type="fixed"/>
        </w:tblPrEx>
        <w:trPr>
          <w:trHeight w:val="621" w:hRule="atLeast"/>
        </w:trPr>
        <w:tc>
          <w:tcPr>
            <w:tcW w:w="212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开户行</w:t>
            </w:r>
          </w:p>
        </w:tc>
        <w:tc>
          <w:tcPr>
            <w:tcW w:w="52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广州银行五羊支行</w:t>
            </w:r>
          </w:p>
        </w:tc>
      </w:tr>
      <w:tr>
        <w:tblPrEx>
          <w:tblLayout w:type="fixed"/>
        </w:tblPrEx>
        <w:trPr>
          <w:trHeight w:val="621" w:hRule="atLeast"/>
        </w:trPr>
        <w:tc>
          <w:tcPr>
            <w:tcW w:w="212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账号</w:t>
            </w:r>
          </w:p>
        </w:tc>
        <w:tc>
          <w:tcPr>
            <w:tcW w:w="52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cs="宋体" w:asciiTheme="minorEastAsia" w:hAnsiTheme="minorEastAsia" w:eastAsiaTheme="minorEastAsia"/>
                <w:kern w:val="0"/>
                <w:sz w:val="28"/>
                <w:szCs w:val="28"/>
              </w:rPr>
              <w:t>800269092302028</w:t>
            </w:r>
          </w:p>
        </w:tc>
      </w:tr>
    </w:tbl>
    <w:p>
      <w:pPr>
        <w:adjustRightInd w:val="0"/>
        <w:snapToGrid w:val="0"/>
        <w:spacing w:line="6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7</w:t>
      </w:r>
      <w:r>
        <w:rPr>
          <w:rFonts w:hint="eastAsia" w:asciiTheme="minorEastAsia" w:hAnsiTheme="minorEastAsia" w:eastAsiaTheme="minorEastAsia"/>
          <w:sz w:val="28"/>
          <w:szCs w:val="28"/>
        </w:rPr>
        <w:t>、乙方银行收款资料如下：</w:t>
      </w:r>
    </w:p>
    <w:tbl>
      <w:tblPr>
        <w:tblStyle w:val="44"/>
        <w:tblW w:w="7371" w:type="dxa"/>
        <w:tblInd w:w="534" w:type="dxa"/>
        <w:shd w:val="clear" w:color="auto" w:fill="FFFFFF"/>
        <w:tblLayout w:type="fixed"/>
        <w:tblCellMar>
          <w:top w:w="0" w:type="dxa"/>
          <w:left w:w="0" w:type="dxa"/>
          <w:bottom w:w="0" w:type="dxa"/>
          <w:right w:w="0" w:type="dxa"/>
        </w:tblCellMar>
      </w:tblPr>
      <w:tblGrid>
        <w:gridCol w:w="2126"/>
        <w:gridCol w:w="5245"/>
      </w:tblGrid>
      <w:tr>
        <w:tblPrEx>
          <w:tblLayout w:type="fixed"/>
        </w:tblPrEx>
        <w:trPr>
          <w:trHeight w:val="457" w:hRule="atLeast"/>
        </w:trPr>
        <w:tc>
          <w:tcPr>
            <w:tcW w:w="212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纳税人名称</w:t>
            </w:r>
          </w:p>
        </w:tc>
        <w:tc>
          <w:tcPr>
            <w:tcW w:w="52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p>
        </w:tc>
      </w:tr>
      <w:tr>
        <w:tblPrEx>
          <w:tblLayout w:type="fixed"/>
        </w:tblPrEx>
        <w:trPr>
          <w:trHeight w:val="512" w:hRule="atLeast"/>
        </w:trPr>
        <w:tc>
          <w:tcPr>
            <w:tcW w:w="212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纳税人识别号</w:t>
            </w:r>
          </w:p>
        </w:tc>
        <w:tc>
          <w:tcPr>
            <w:tcW w:w="52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p>
        </w:tc>
      </w:tr>
      <w:tr>
        <w:tblPrEx>
          <w:tblLayout w:type="fixed"/>
        </w:tblPrEx>
        <w:trPr>
          <w:trHeight w:val="621" w:hRule="atLeast"/>
        </w:trPr>
        <w:tc>
          <w:tcPr>
            <w:tcW w:w="212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地址</w:t>
            </w:r>
          </w:p>
        </w:tc>
        <w:tc>
          <w:tcPr>
            <w:tcW w:w="52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p>
        </w:tc>
      </w:tr>
      <w:tr>
        <w:tblPrEx>
          <w:tblLayout w:type="fixed"/>
        </w:tblPrEx>
        <w:trPr>
          <w:trHeight w:val="621" w:hRule="atLeast"/>
        </w:trPr>
        <w:tc>
          <w:tcPr>
            <w:tcW w:w="212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联系电话</w:t>
            </w:r>
          </w:p>
        </w:tc>
        <w:tc>
          <w:tcPr>
            <w:tcW w:w="52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p>
        </w:tc>
      </w:tr>
      <w:tr>
        <w:tblPrEx>
          <w:tblLayout w:type="fixed"/>
        </w:tblPrEx>
        <w:trPr>
          <w:trHeight w:val="621" w:hRule="atLeast"/>
        </w:trPr>
        <w:tc>
          <w:tcPr>
            <w:tcW w:w="212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开户行</w:t>
            </w:r>
          </w:p>
        </w:tc>
        <w:tc>
          <w:tcPr>
            <w:tcW w:w="52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p>
        </w:tc>
      </w:tr>
      <w:tr>
        <w:tblPrEx>
          <w:tblLayout w:type="fixed"/>
        </w:tblPrEx>
        <w:trPr>
          <w:trHeight w:val="621" w:hRule="atLeast"/>
        </w:trPr>
        <w:tc>
          <w:tcPr>
            <w:tcW w:w="2126"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r>
              <w:rPr>
                <w:rFonts w:hint="eastAsia" w:cs="宋体" w:asciiTheme="minorEastAsia" w:hAnsiTheme="minorEastAsia" w:eastAsiaTheme="minorEastAsia"/>
                <w:kern w:val="0"/>
                <w:sz w:val="28"/>
                <w:szCs w:val="28"/>
              </w:rPr>
              <w:t>账号</w:t>
            </w:r>
          </w:p>
        </w:tc>
        <w:tc>
          <w:tcPr>
            <w:tcW w:w="5245" w:type="dxa"/>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tcPr>
          <w:p>
            <w:pPr>
              <w:widowControl/>
              <w:adjustRightInd w:val="0"/>
              <w:snapToGrid w:val="0"/>
              <w:spacing w:before="150" w:after="150" w:line="600" w:lineRule="exact"/>
              <w:jc w:val="center"/>
              <w:rPr>
                <w:rFonts w:cs="宋体" w:asciiTheme="minorEastAsia" w:hAnsiTheme="minorEastAsia" w:eastAsiaTheme="minorEastAsia"/>
                <w:kern w:val="0"/>
                <w:sz w:val="28"/>
                <w:szCs w:val="28"/>
              </w:rPr>
            </w:pPr>
          </w:p>
        </w:tc>
      </w:tr>
    </w:tbl>
    <w:p>
      <w:pPr>
        <w:pStyle w:val="50"/>
        <w:adjustRightInd w:val="0"/>
        <w:snapToGrid w:val="0"/>
        <w:spacing w:line="600" w:lineRule="exact"/>
        <w:ind w:left="420" w:hanging="420" w:hangingChars="150"/>
        <w:rPr>
          <w:rFonts w:asciiTheme="minorEastAsia" w:hAnsiTheme="minorEastAsia" w:eastAsiaTheme="minorEastAsia"/>
          <w:sz w:val="28"/>
          <w:szCs w:val="28"/>
        </w:rPr>
      </w:pPr>
    </w:p>
    <w:p>
      <w:pPr>
        <w:pStyle w:val="51"/>
        <w:numPr>
          <w:ilvl w:val="0"/>
          <w:numId w:val="6"/>
        </w:numPr>
        <w:adjustRightInd w:val="0"/>
        <w:snapToGrid w:val="0"/>
        <w:spacing w:line="600" w:lineRule="exact"/>
        <w:ind w:firstLineChars="0"/>
        <w:rPr>
          <w:rFonts w:asciiTheme="minorEastAsia" w:hAnsiTheme="minorEastAsia" w:eastAsiaTheme="minorEastAsia"/>
          <w:b/>
          <w:sz w:val="28"/>
          <w:szCs w:val="28"/>
        </w:rPr>
      </w:pPr>
      <w:r>
        <w:rPr>
          <w:rFonts w:hint="eastAsia" w:asciiTheme="minorEastAsia" w:hAnsiTheme="minorEastAsia" w:eastAsiaTheme="minorEastAsia"/>
          <w:b/>
          <w:sz w:val="28"/>
          <w:szCs w:val="28"/>
        </w:rPr>
        <w:t>所有权转移及风险转移</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1、乙方将货物交付甲方并经甲方验收合格后，货物所有权转移至甲方。</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2、</w:t>
      </w:r>
      <w:r>
        <w:rPr>
          <w:rFonts w:cs="宋体" w:asciiTheme="minorEastAsia" w:hAnsiTheme="minorEastAsia" w:eastAsiaTheme="minorEastAsia"/>
          <w:sz w:val="28"/>
          <w:szCs w:val="28"/>
        </w:rPr>
        <w:t>货物的毁损灭失风险，在乙方将货物交付甲方前由乙方承担。</w:t>
      </w:r>
    </w:p>
    <w:p>
      <w:pPr>
        <w:adjustRightInd w:val="0"/>
        <w:snapToGrid w:val="0"/>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九、不可抗力条款</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不可抗力”是本合同双方不能合理控制、不可预见或即使预见亦无法避免的事件，该时间妨碍、影响或延迟任何一方根据协议履行其全部或部分义务。该事件包括政府行为、自然灾害、战争或任何其他类似事件；</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2、出现不可抗力事件时，知情方应该在不可抗力发生之时起</w:t>
      </w:r>
      <w:r>
        <w:rPr>
          <w:rFonts w:asciiTheme="minorEastAsia" w:hAnsiTheme="minorEastAsia" w:eastAsiaTheme="minorEastAsia"/>
          <w:sz w:val="28"/>
          <w:szCs w:val="28"/>
        </w:rPr>
        <w:t>24</w:t>
      </w:r>
      <w:r>
        <w:rPr>
          <w:rFonts w:hint="eastAsia" w:asciiTheme="minorEastAsia" w:hAnsiTheme="minorEastAsia" w:eastAsiaTheme="minorEastAsia"/>
          <w:sz w:val="28"/>
          <w:szCs w:val="28"/>
        </w:rPr>
        <w:t>小时之内以书面形式通知对方，并告知该类事件对本协议可能产生的影响，并应该在不可抗力发生</w:t>
      </w:r>
      <w:r>
        <w:rPr>
          <w:rFonts w:asciiTheme="minorEastAsia" w:hAnsiTheme="minorEastAsia" w:eastAsiaTheme="minorEastAsia"/>
          <w:sz w:val="28"/>
          <w:szCs w:val="28"/>
        </w:rPr>
        <w:t>10</w:t>
      </w:r>
      <w:r>
        <w:rPr>
          <w:rFonts w:hint="eastAsia" w:asciiTheme="minorEastAsia" w:hAnsiTheme="minorEastAsia" w:eastAsiaTheme="minorEastAsia"/>
          <w:sz w:val="28"/>
          <w:szCs w:val="28"/>
        </w:rPr>
        <w:t>日之内提供相关官方证明；</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3、由于以上所述不可抗力事件致使本合同不能履行或延迟履行，则双方均不需承担任何违约责任。</w:t>
      </w:r>
    </w:p>
    <w:p>
      <w:pPr>
        <w:adjustRightInd w:val="0"/>
        <w:snapToGrid w:val="0"/>
        <w:spacing w:line="600" w:lineRule="exact"/>
        <w:ind w:firstLine="560" w:firstLineChars="200"/>
        <w:rPr>
          <w:rFonts w:asciiTheme="minorEastAsia" w:hAnsiTheme="minorEastAsia" w:eastAsiaTheme="minorEastAsia"/>
          <w:sz w:val="28"/>
          <w:szCs w:val="28"/>
        </w:rPr>
      </w:pPr>
    </w:p>
    <w:p>
      <w:pPr>
        <w:adjustRightInd w:val="0"/>
        <w:snapToGrid w:val="0"/>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十、违约责任</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1、在乙方按照本合同约定履行的前提下，甲方如不能如期按照合同约定的时间支付货款的，甲方应向乙方支付违约金。每逾期一天，违约金以未支付部分款项为基数，按全国银行间同业拆借中心公布的贷款市场报价一年期利率（LPR）除以365计算至款项付清之日。</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2、乙方未按合同约定的时间和交货并验收合格的，每逾期一天，应向甲方支付合同总金额万分之五的违约金。甲方有权在应付给乙方的款项中直接抵扣乙方的违约金。乙方逾期1</w:t>
      </w:r>
      <w:r>
        <w:rPr>
          <w:rFonts w:asciiTheme="minorEastAsia" w:hAnsiTheme="minorEastAsia" w:eastAsiaTheme="minorEastAsia"/>
          <w:sz w:val="28"/>
          <w:szCs w:val="28"/>
        </w:rPr>
        <w:t>0</w:t>
      </w:r>
      <w:r>
        <w:rPr>
          <w:rFonts w:hint="eastAsia" w:asciiTheme="minorEastAsia" w:hAnsiTheme="minorEastAsia" w:eastAsiaTheme="minorEastAsia"/>
          <w:sz w:val="28"/>
          <w:szCs w:val="28"/>
        </w:rPr>
        <w:t>日仍未完成交付并验收合格的，甲方有权解除本合同</w:t>
      </w:r>
      <w:r>
        <w:rPr>
          <w:rFonts w:cs="宋体" w:asciiTheme="minorEastAsia" w:hAnsiTheme="minorEastAsia" w:eastAsiaTheme="minorEastAsia"/>
          <w:sz w:val="28"/>
          <w:szCs w:val="28"/>
        </w:rPr>
        <w:t>，</w:t>
      </w:r>
      <w:r>
        <w:rPr>
          <w:rFonts w:hint="eastAsia" w:asciiTheme="minorEastAsia" w:hAnsiTheme="minorEastAsia" w:eastAsiaTheme="minorEastAsia"/>
          <w:sz w:val="28"/>
          <w:szCs w:val="28"/>
        </w:rPr>
        <w:t>乙方应当在合同解除后三天内退还甲方已支付的所有款项</w:t>
      </w:r>
      <w:r>
        <w:rPr>
          <w:rFonts w:cs="宋体" w:asciiTheme="minorEastAsia" w:hAnsiTheme="minorEastAsia" w:eastAsiaTheme="minorEastAsia"/>
          <w:sz w:val="28"/>
          <w:szCs w:val="28"/>
        </w:rPr>
        <w:t>，并向甲方支付本合同</w:t>
      </w:r>
      <w:r>
        <w:rPr>
          <w:rFonts w:hint="eastAsia" w:cs="宋体" w:asciiTheme="minorEastAsia" w:hAnsiTheme="minorEastAsia" w:eastAsiaTheme="minorEastAsia"/>
          <w:sz w:val="28"/>
          <w:szCs w:val="28"/>
        </w:rPr>
        <w:t>含税</w:t>
      </w:r>
      <w:r>
        <w:rPr>
          <w:rFonts w:cs="宋体" w:asciiTheme="minorEastAsia" w:hAnsiTheme="minorEastAsia" w:eastAsiaTheme="minorEastAsia"/>
          <w:sz w:val="28"/>
          <w:szCs w:val="28"/>
        </w:rPr>
        <w:t>总价款30%的违约金</w:t>
      </w:r>
      <w:r>
        <w:rPr>
          <w:rFonts w:hint="eastAsia" w:asciiTheme="minorEastAsia" w:hAnsiTheme="minorEastAsia" w:eastAsiaTheme="minorEastAsia"/>
          <w:sz w:val="28"/>
          <w:szCs w:val="28"/>
        </w:rPr>
        <w:t>。</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3、因乙方交付货物质量达不到合同约定标准的，甲方有权拒绝收货，乙方应及时更换不合格的产品。超过合同约定交货时间的，乙方按本条第</w:t>
      </w:r>
      <w:r>
        <w:rPr>
          <w:rFonts w:asciiTheme="minorEastAsia" w:hAnsiTheme="minorEastAsia" w:eastAsiaTheme="minorEastAsia"/>
          <w:sz w:val="28"/>
          <w:szCs w:val="28"/>
        </w:rPr>
        <w:t>2</w:t>
      </w:r>
      <w:r>
        <w:rPr>
          <w:rFonts w:hint="eastAsia" w:asciiTheme="minorEastAsia" w:hAnsiTheme="minorEastAsia" w:eastAsiaTheme="minorEastAsia"/>
          <w:sz w:val="28"/>
          <w:szCs w:val="28"/>
        </w:rPr>
        <w:t>款约定向甲方支付违约金；若经更换后仍然不符合约定标准的，甲方可解除本合同，乙方应当在合同解除后三天内退还甲方已支付的所有款项，并向甲方支付本合同含税总价款30%的违约金，若因此给甲方造成损失的，乙方应赔偿该损失。</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4、有以下情形之一的，甲方有权解除本合同，乙方应</w:t>
      </w:r>
      <w:r>
        <w:rPr>
          <w:rFonts w:cs="宋体" w:asciiTheme="minorEastAsia" w:hAnsiTheme="minorEastAsia" w:eastAsiaTheme="minorEastAsia"/>
          <w:sz w:val="28"/>
          <w:szCs w:val="28"/>
        </w:rPr>
        <w:t>当在合同解除后三天内</w:t>
      </w:r>
      <w:r>
        <w:rPr>
          <w:rFonts w:hint="eastAsia" w:asciiTheme="minorEastAsia" w:hAnsiTheme="minorEastAsia" w:eastAsiaTheme="minorEastAsia"/>
          <w:sz w:val="28"/>
          <w:szCs w:val="28"/>
        </w:rPr>
        <w:t>退还甲方已支付的所有项目款项</w:t>
      </w:r>
      <w:r>
        <w:rPr>
          <w:rFonts w:cs="宋体" w:asciiTheme="minorEastAsia" w:hAnsiTheme="minorEastAsia" w:eastAsiaTheme="minorEastAsia"/>
          <w:sz w:val="28"/>
          <w:szCs w:val="28"/>
        </w:rPr>
        <w:t>并</w:t>
      </w:r>
      <w:r>
        <w:rPr>
          <w:rFonts w:hint="eastAsia" w:asciiTheme="minorEastAsia" w:hAnsiTheme="minorEastAsia" w:eastAsiaTheme="minorEastAsia"/>
          <w:sz w:val="28"/>
          <w:szCs w:val="28"/>
        </w:rPr>
        <w:t>向甲方支付合同含税总价款</w:t>
      </w:r>
      <w:r>
        <w:rPr>
          <w:rFonts w:asciiTheme="minorEastAsia" w:hAnsiTheme="minorEastAsia" w:eastAsiaTheme="minorEastAsia"/>
          <w:sz w:val="28"/>
          <w:szCs w:val="28"/>
        </w:rPr>
        <w:t>30</w:t>
      </w:r>
      <w:r>
        <w:rPr>
          <w:rFonts w:hint="eastAsia" w:asciiTheme="minorEastAsia" w:hAnsiTheme="minorEastAsia" w:eastAsiaTheme="minorEastAsia"/>
          <w:sz w:val="28"/>
          <w:szCs w:val="28"/>
        </w:rPr>
        <w:t>%的违约金。如上述违约金仍不足以弥补甲方因此造成的损失的，乙方还应赔偿相应的损失。</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1</w:t>
      </w:r>
      <w:r>
        <w:rPr>
          <w:rFonts w:hint="eastAsia" w:asciiTheme="minorEastAsia" w:hAnsiTheme="minorEastAsia" w:eastAsiaTheme="minorEastAsia"/>
          <w:sz w:val="28"/>
          <w:szCs w:val="28"/>
        </w:rPr>
        <w:t>）乙方以通知或行为表明将不履行合同的主要义务的；</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2</w:t>
      </w:r>
      <w:r>
        <w:rPr>
          <w:rFonts w:hint="eastAsia" w:asciiTheme="minorEastAsia" w:hAnsiTheme="minorEastAsia" w:eastAsiaTheme="minorEastAsia"/>
          <w:sz w:val="28"/>
          <w:szCs w:val="28"/>
        </w:rPr>
        <w:t>）乙方严重违反本合同约定的；</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3</w:t>
      </w:r>
      <w:r>
        <w:rPr>
          <w:rFonts w:hint="eastAsia" w:asciiTheme="minorEastAsia" w:hAnsiTheme="minorEastAsia" w:eastAsiaTheme="minorEastAsia"/>
          <w:sz w:val="28"/>
          <w:szCs w:val="28"/>
        </w:rPr>
        <w:t>）乙方违反本合同约定，经甲方书面要求改正后，在合理期间内不予改正的；</w:t>
      </w:r>
    </w:p>
    <w:p>
      <w:pPr>
        <w:adjustRightInd w:val="0"/>
        <w:snapToGrid w:val="0"/>
        <w:spacing w:line="600" w:lineRule="exact"/>
        <w:ind w:firstLine="560" w:firstLineChars="200"/>
        <w:jc w:val="left"/>
        <w:rPr>
          <w:rFonts w:asciiTheme="minorEastAsia" w:hAnsiTheme="minorEastAsia" w:eastAsiaTheme="minorEastAsia"/>
          <w:sz w:val="28"/>
          <w:szCs w:val="28"/>
          <w:highlight w:val="yellow"/>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4</w:t>
      </w:r>
      <w:r>
        <w:rPr>
          <w:rFonts w:hint="eastAsia" w:asciiTheme="minorEastAsia" w:hAnsiTheme="minorEastAsia" w:eastAsiaTheme="minorEastAsia"/>
          <w:sz w:val="28"/>
          <w:szCs w:val="28"/>
        </w:rPr>
        <w:t>）乙方不具有销售货物的相关资质或在本合同履行期间丧失上述资质的；</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w:t>
      </w:r>
      <w:r>
        <w:rPr>
          <w:rFonts w:asciiTheme="minorEastAsia" w:hAnsiTheme="minorEastAsia" w:eastAsiaTheme="minorEastAsia"/>
          <w:sz w:val="28"/>
          <w:szCs w:val="28"/>
        </w:rPr>
        <w:t>5</w:t>
      </w:r>
      <w:r>
        <w:rPr>
          <w:rFonts w:hint="eastAsia" w:asciiTheme="minorEastAsia" w:hAnsiTheme="minorEastAsia" w:eastAsiaTheme="minorEastAsia"/>
          <w:sz w:val="28"/>
          <w:szCs w:val="28"/>
        </w:rPr>
        <w:t>）未经甲方书面同意，乙方将本合同中的任何权利和义务全部或部分转让给第三人的。</w:t>
      </w:r>
    </w:p>
    <w:p>
      <w:pPr>
        <w:adjustRightInd w:val="0"/>
        <w:snapToGrid w:val="0"/>
        <w:spacing w:line="600" w:lineRule="exact"/>
        <w:ind w:firstLine="560" w:firstLineChars="200"/>
        <w:jc w:val="left"/>
        <w:rPr>
          <w:rFonts w:asciiTheme="minorEastAsia" w:hAnsiTheme="minorEastAsia" w:eastAsiaTheme="minorEastAsia"/>
          <w:sz w:val="28"/>
          <w:szCs w:val="28"/>
        </w:rPr>
      </w:pPr>
      <w:r>
        <w:rPr>
          <w:rFonts w:hint="eastAsia" w:asciiTheme="minorEastAsia" w:hAnsiTheme="minorEastAsia" w:eastAsiaTheme="minorEastAsia"/>
          <w:sz w:val="28"/>
          <w:szCs w:val="28"/>
        </w:rPr>
        <w:t>5、若乙方无法定或约定事由单方解除本合同，乙方无权要求甲方支付任何款项。甲方已支付的款项，乙方须全额退还予甲方。乙方应当在合同解除后三天内向甲方支付合同含税总价款</w:t>
      </w:r>
      <w:r>
        <w:rPr>
          <w:rFonts w:asciiTheme="minorEastAsia" w:hAnsiTheme="minorEastAsia" w:eastAsiaTheme="minorEastAsia"/>
          <w:sz w:val="28"/>
          <w:szCs w:val="28"/>
        </w:rPr>
        <w:t>3</w:t>
      </w:r>
      <w:r>
        <w:rPr>
          <w:rFonts w:hint="eastAsia" w:asciiTheme="minorEastAsia" w:hAnsiTheme="minorEastAsia" w:eastAsiaTheme="minorEastAsia"/>
          <w:sz w:val="28"/>
          <w:szCs w:val="28"/>
        </w:rPr>
        <w:t>0%的违约金。如上述违约金仍不足以弥补甲方因此造成的损失的，乙方还应赔偿相应的损失。</w:t>
      </w:r>
    </w:p>
    <w:p>
      <w:pPr>
        <w:adjustRightInd w:val="0"/>
        <w:snapToGrid w:val="0"/>
        <w:spacing w:line="600" w:lineRule="exact"/>
        <w:rPr>
          <w:rFonts w:asciiTheme="minorEastAsia" w:hAnsiTheme="minorEastAsia" w:eastAsiaTheme="minorEastAsia"/>
          <w:sz w:val="28"/>
          <w:szCs w:val="28"/>
        </w:rPr>
      </w:pPr>
    </w:p>
    <w:p>
      <w:pPr>
        <w:adjustRightInd w:val="0"/>
        <w:snapToGrid w:val="0"/>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十一、争议解决方法</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本合同适用中华人民共和国的法律（香港、澳门或台湾地区的法律除外）。由于本合同所引起的一切争议，双方应先友好协商解决。协商或调解不成时双方可向甲方所在地有管辖权的人民法院起诉。</w:t>
      </w:r>
    </w:p>
    <w:p>
      <w:pPr>
        <w:adjustRightInd w:val="0"/>
        <w:snapToGrid w:val="0"/>
        <w:spacing w:line="600" w:lineRule="exact"/>
        <w:rPr>
          <w:rFonts w:asciiTheme="minorEastAsia" w:hAnsiTheme="minorEastAsia" w:eastAsiaTheme="minorEastAsia"/>
          <w:sz w:val="28"/>
          <w:szCs w:val="28"/>
        </w:rPr>
      </w:pPr>
    </w:p>
    <w:p>
      <w:pPr>
        <w:adjustRightInd w:val="0"/>
        <w:snapToGrid w:val="0"/>
        <w:spacing w:line="600" w:lineRule="exact"/>
        <w:ind w:firstLine="560" w:firstLineChars="200"/>
        <w:rPr>
          <w:rFonts w:asciiTheme="minorEastAsia" w:hAnsiTheme="minorEastAsia" w:eastAsiaTheme="minorEastAsia"/>
          <w:b/>
          <w:sz w:val="28"/>
          <w:szCs w:val="28"/>
        </w:rPr>
      </w:pPr>
      <w:r>
        <w:rPr>
          <w:rFonts w:hint="eastAsia" w:asciiTheme="minorEastAsia" w:hAnsiTheme="minorEastAsia" w:eastAsiaTheme="minorEastAsia"/>
          <w:b/>
          <w:sz w:val="28"/>
          <w:szCs w:val="28"/>
        </w:rPr>
        <w:t>十二、合同生效及其他</w:t>
      </w:r>
    </w:p>
    <w:p>
      <w:pPr>
        <w:adjustRightInd w:val="0"/>
        <w:snapToGrid w:val="0"/>
        <w:spacing w:line="600" w:lineRule="exact"/>
        <w:ind w:firstLine="560" w:firstLineChars="200"/>
        <w:rPr>
          <w:rFonts w:asciiTheme="minorEastAsia" w:hAnsiTheme="minorEastAsia" w:eastAsiaTheme="minorEastAsia"/>
          <w:sz w:val="28"/>
          <w:szCs w:val="28"/>
        </w:rPr>
      </w:pPr>
      <w:r>
        <w:rPr>
          <w:rFonts w:hint="eastAsia" w:asciiTheme="minorEastAsia" w:hAnsiTheme="minorEastAsia" w:eastAsiaTheme="minorEastAsia"/>
          <w:sz w:val="28"/>
          <w:szCs w:val="28"/>
        </w:rPr>
        <w:t>1、乙方的通讯地址为</w:t>
      </w:r>
      <w:r>
        <w:rPr>
          <w:rFonts w:hint="eastAsia" w:asciiTheme="minorEastAsia" w:hAnsiTheme="minorEastAsia" w:eastAsiaTheme="minorEastAsia"/>
          <w:sz w:val="28"/>
          <w:szCs w:val="28"/>
          <w:u w:val="single"/>
        </w:rPr>
        <w:t xml:space="preserve">： </w:t>
      </w:r>
      <w:r>
        <w:rPr>
          <w:rFonts w:hint="eastAsia" w:asciiTheme="minorEastAsia" w:hAnsiTheme="minorEastAsia" w:eastAsiaTheme="minorEastAsia"/>
          <w:sz w:val="28"/>
          <w:szCs w:val="28"/>
        </w:rPr>
        <w:t>，邮政编码为</w:t>
      </w:r>
      <w:r>
        <w:rPr>
          <w:rFonts w:hint="eastAsia" w:asciiTheme="minorEastAsia" w:hAnsiTheme="minorEastAsia" w:eastAsiaTheme="minorEastAsia"/>
          <w:sz w:val="28"/>
          <w:szCs w:val="28"/>
          <w:u w:val="single"/>
        </w:rPr>
        <w:t>：</w:t>
      </w:r>
      <w:r>
        <w:rPr>
          <w:rFonts w:hint="eastAsia" w:asciiTheme="minorEastAsia" w:hAnsiTheme="minorEastAsia" w:eastAsiaTheme="minorEastAsia"/>
          <w:sz w:val="28"/>
          <w:szCs w:val="28"/>
        </w:rPr>
        <w:t>，电子邮件地址为</w:t>
      </w:r>
      <w:r>
        <w:rPr>
          <w:rFonts w:hint="eastAsia" w:asciiTheme="minorEastAsia" w:hAnsiTheme="minorEastAsia" w:eastAsiaTheme="minorEastAsia"/>
          <w:sz w:val="28"/>
          <w:szCs w:val="28"/>
          <w:u w:val="single"/>
        </w:rPr>
        <w:t>：</w:t>
      </w:r>
      <w:r>
        <w:rPr>
          <w:rFonts w:hint="eastAsia" w:asciiTheme="minorEastAsia" w:hAnsiTheme="minorEastAsia" w:eastAsiaTheme="minorEastAsia"/>
          <w:sz w:val="28"/>
          <w:szCs w:val="28"/>
        </w:rPr>
        <w:t>，甲方依本地址向乙方发送有关信函文件，因乙方所留地址有误或变更地址未及时通知甲方的，责任由乙方承担，甲方向乙方所发送的信函、文件、资料自发出之时视为已送达乙方。</w:t>
      </w:r>
    </w:p>
    <w:p>
      <w:pPr>
        <w:adjustRightInd w:val="0"/>
        <w:snapToGrid w:val="0"/>
        <w:spacing w:line="600" w:lineRule="exact"/>
        <w:ind w:firstLine="560" w:firstLineChars="200"/>
        <w:rPr>
          <w:rFonts w:asciiTheme="minorEastAsia" w:hAnsiTheme="minorEastAsia" w:eastAsiaTheme="minorEastAsia"/>
          <w:b/>
          <w:sz w:val="28"/>
          <w:szCs w:val="28"/>
        </w:rPr>
      </w:pPr>
    </w:p>
    <w:p>
      <w:pPr>
        <w:adjustRightInd w:val="0"/>
        <w:snapToGrid w:val="0"/>
        <w:spacing w:line="600" w:lineRule="exact"/>
        <w:ind w:firstLine="560" w:firstLineChars="200"/>
        <w:rPr>
          <w:rFonts w:asciiTheme="minorEastAsia" w:hAnsiTheme="minorEastAsia" w:eastAsiaTheme="minorEastAsia"/>
          <w:sz w:val="28"/>
          <w:szCs w:val="28"/>
        </w:rPr>
      </w:pPr>
      <w:r>
        <w:rPr>
          <w:rFonts w:cs="宋体" w:asciiTheme="minorEastAsia" w:hAnsiTheme="minorEastAsia" w:eastAsiaTheme="minorEastAsia"/>
          <w:color w:val="000000"/>
          <w:sz w:val="28"/>
          <w:szCs w:val="28"/>
        </w:rPr>
        <w:t>2</w:t>
      </w:r>
      <w:r>
        <w:rPr>
          <w:rFonts w:hint="eastAsia" w:cs="宋体" w:asciiTheme="minorEastAsia" w:hAnsiTheme="minorEastAsia" w:eastAsiaTheme="minorEastAsia"/>
          <w:color w:val="000000"/>
          <w:sz w:val="28"/>
          <w:szCs w:val="28"/>
        </w:rPr>
        <w:t>、本合同自甲乙双方签字盖章（公章或合同专用章）之日起生效。</w:t>
      </w:r>
      <w:r>
        <w:rPr>
          <w:rFonts w:hint="eastAsia" w:asciiTheme="minorEastAsia" w:hAnsiTheme="minorEastAsia" w:eastAsiaTheme="minorEastAsia"/>
          <w:sz w:val="28"/>
          <w:szCs w:val="28"/>
        </w:rPr>
        <w:t>双方如须对本合同进行修改的，须平等协商并另行签订书面补充协议。对本合同文本的手动修改，除双方均对修改处盖章确认以外，对各方均不发生法律效力。</w:t>
      </w:r>
    </w:p>
    <w:p>
      <w:pPr>
        <w:adjustRightInd w:val="0"/>
        <w:snapToGrid w:val="0"/>
        <w:spacing w:line="600" w:lineRule="exact"/>
        <w:ind w:firstLine="560" w:firstLineChars="200"/>
        <w:rPr>
          <w:rFonts w:asciiTheme="minorEastAsia" w:hAnsiTheme="minorEastAsia" w:eastAsiaTheme="minorEastAsia"/>
          <w:sz w:val="28"/>
          <w:szCs w:val="28"/>
        </w:rPr>
      </w:pPr>
      <w:r>
        <w:rPr>
          <w:rFonts w:asciiTheme="minorEastAsia" w:hAnsiTheme="minorEastAsia" w:eastAsiaTheme="minorEastAsia"/>
          <w:sz w:val="28"/>
          <w:szCs w:val="28"/>
        </w:rPr>
        <w:t>3</w:t>
      </w:r>
      <w:r>
        <w:rPr>
          <w:rFonts w:hint="eastAsia" w:asciiTheme="minorEastAsia" w:hAnsiTheme="minorEastAsia" w:eastAsiaTheme="minorEastAsia"/>
          <w:sz w:val="28"/>
          <w:szCs w:val="28"/>
        </w:rPr>
        <w:t>、本合同一式</w:t>
      </w:r>
      <w:r>
        <w:rPr>
          <w:rFonts w:hint="eastAsia" w:asciiTheme="minorEastAsia" w:hAnsiTheme="minorEastAsia" w:eastAsiaTheme="minorEastAsia"/>
          <w:sz w:val="28"/>
          <w:szCs w:val="28"/>
          <w:u w:val="single"/>
        </w:rPr>
        <w:t>6</w:t>
      </w:r>
      <w:r>
        <w:rPr>
          <w:rFonts w:hint="eastAsia" w:asciiTheme="minorEastAsia" w:hAnsiTheme="minorEastAsia" w:eastAsiaTheme="minorEastAsia"/>
          <w:sz w:val="28"/>
          <w:szCs w:val="28"/>
        </w:rPr>
        <w:t>份，甲方执叁份、乙方执</w:t>
      </w:r>
      <w:r>
        <w:rPr>
          <w:rFonts w:hint="eastAsia" w:asciiTheme="minorEastAsia" w:hAnsiTheme="minorEastAsia" w:eastAsiaTheme="minorEastAsia"/>
          <w:sz w:val="28"/>
          <w:szCs w:val="28"/>
          <w:u w:val="single"/>
        </w:rPr>
        <w:t>3</w:t>
      </w:r>
      <w:r>
        <w:rPr>
          <w:rFonts w:hint="eastAsia" w:asciiTheme="minorEastAsia" w:hAnsiTheme="minorEastAsia" w:eastAsiaTheme="minorEastAsia"/>
          <w:sz w:val="28"/>
          <w:szCs w:val="28"/>
        </w:rPr>
        <w:t>份，具有同等法律效力。</w:t>
      </w:r>
    </w:p>
    <w:p>
      <w:pPr>
        <w:adjustRightInd w:val="0"/>
        <w:snapToGrid w:val="0"/>
        <w:spacing w:line="600" w:lineRule="exact"/>
        <w:ind w:left="1820" w:hanging="1820" w:hangingChars="650"/>
        <w:jc w:val="left"/>
        <w:rPr>
          <w:rFonts w:asciiTheme="minorEastAsia" w:hAnsiTheme="minorEastAsia" w:eastAsiaTheme="minorEastAsia"/>
          <w:b/>
          <w:sz w:val="28"/>
          <w:szCs w:val="28"/>
        </w:rPr>
      </w:pPr>
      <w:r>
        <w:rPr>
          <w:rFonts w:hint="eastAsia" w:asciiTheme="minorEastAsia" w:hAnsiTheme="minorEastAsia" w:eastAsiaTheme="minorEastAsia"/>
          <w:sz w:val="28"/>
          <w:szCs w:val="28"/>
        </w:rPr>
        <w:t>以下无正文，为甲乙双方签字页。</w:t>
      </w:r>
    </w:p>
    <w:p>
      <w:pPr>
        <w:adjustRightInd w:val="0"/>
        <w:snapToGrid w:val="0"/>
        <w:spacing w:line="600" w:lineRule="exact"/>
        <w:ind w:left="1827" w:hanging="1820" w:hangingChars="650"/>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甲方 (盖章)：</w:t>
      </w:r>
      <w:r>
        <w:rPr>
          <w:rFonts w:hint="eastAsia" w:cs="宋体" w:asciiTheme="minorEastAsia" w:hAnsiTheme="minorEastAsia" w:eastAsiaTheme="minorEastAsia"/>
          <w:kern w:val="0"/>
          <w:sz w:val="28"/>
          <w:szCs w:val="28"/>
        </w:rPr>
        <w:t>广州印象文化旅游发展有限公司</w:t>
      </w:r>
      <w:r>
        <w:rPr>
          <w:rFonts w:hint="eastAsia" w:asciiTheme="minorEastAsia" w:hAnsiTheme="minorEastAsia" w:eastAsiaTheme="minorEastAsia"/>
          <w:b/>
          <w:sz w:val="28"/>
          <w:szCs w:val="28"/>
        </w:rPr>
        <w:t>乙方 (盖章)：</w:t>
      </w:r>
    </w:p>
    <w:p>
      <w:pPr>
        <w:adjustRightInd w:val="0"/>
        <w:snapToGrid w:val="0"/>
        <w:spacing w:line="600" w:lineRule="exact"/>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法定代表人（或企业负责人）：            法定代表人：</w:t>
      </w:r>
    </w:p>
    <w:p>
      <w:pPr>
        <w:adjustRightInd w:val="0"/>
        <w:snapToGrid w:val="0"/>
        <w:spacing w:line="600" w:lineRule="exact"/>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授权委托人：                            授权委托人：</w:t>
      </w:r>
    </w:p>
    <w:p>
      <w:pPr>
        <w:adjustRightInd w:val="0"/>
        <w:snapToGrid w:val="0"/>
        <w:spacing w:line="600" w:lineRule="exact"/>
        <w:jc w:val="left"/>
        <w:rPr>
          <w:rFonts w:asciiTheme="minorEastAsia" w:hAnsiTheme="minorEastAsia" w:eastAsiaTheme="minorEastAsia"/>
          <w:b/>
          <w:sz w:val="28"/>
          <w:szCs w:val="28"/>
        </w:rPr>
      </w:pPr>
      <w:r>
        <w:rPr>
          <w:rFonts w:hint="eastAsia" w:asciiTheme="minorEastAsia" w:hAnsiTheme="minorEastAsia" w:eastAsiaTheme="minorEastAsia"/>
          <w:b/>
          <w:sz w:val="28"/>
          <w:szCs w:val="28"/>
        </w:rPr>
        <w:t xml:space="preserve">签订日期:                </w:t>
      </w:r>
      <w:r>
        <w:rPr>
          <w:rFonts w:hint="eastAsia" w:asciiTheme="minorEastAsia" w:hAnsiTheme="minorEastAsia" w:eastAsiaTheme="minorEastAsia"/>
          <w:b/>
          <w:sz w:val="28"/>
          <w:szCs w:val="28"/>
        </w:rPr>
        <w:tab/>
      </w:r>
      <w:r>
        <w:rPr>
          <w:rFonts w:hint="eastAsia" w:asciiTheme="minorEastAsia" w:hAnsiTheme="minorEastAsia" w:eastAsiaTheme="minorEastAsia"/>
          <w:b/>
          <w:sz w:val="28"/>
          <w:szCs w:val="28"/>
        </w:rPr>
        <w:tab/>
      </w:r>
      <w:r>
        <w:rPr>
          <w:rFonts w:hint="eastAsia" w:asciiTheme="minorEastAsia" w:hAnsiTheme="minorEastAsia" w:eastAsiaTheme="minorEastAsia"/>
          <w:b/>
          <w:sz w:val="28"/>
          <w:szCs w:val="28"/>
        </w:rPr>
        <w:t xml:space="preserve">          签订日期: </w:t>
      </w:r>
    </w:p>
    <w:p>
      <w:pPr>
        <w:adjustRightInd w:val="0"/>
        <w:snapToGrid w:val="0"/>
        <w:spacing w:line="600" w:lineRule="exact"/>
        <w:rPr>
          <w:rFonts w:asciiTheme="minorEastAsia" w:hAnsiTheme="minorEastAsia" w:eastAsiaTheme="minorEastAsia"/>
          <w:sz w:val="28"/>
          <w:szCs w:val="28"/>
        </w:rPr>
      </w:pPr>
    </w:p>
    <w:sectPr>
      <w:headerReference r:id="rId4" w:type="first"/>
      <w:footerReference r:id="rId6" w:type="first"/>
      <w:headerReference r:id="rId3" w:type="default"/>
      <w:footerReference r:id="rId5" w:type="even"/>
      <w:pgSz w:w="11906" w:h="16838"/>
      <w:pgMar w:top="936" w:right="992" w:bottom="936" w:left="1134" w:header="851" w:footer="567"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华文宋体">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swiss"/>
    <w:pitch w:val="default"/>
    <w:sig w:usb0="FFFFFFFF" w:usb1="E9FFFFFF" w:usb2="0000003F" w:usb3="00000000" w:csb0="603F01FF" w:csb1="FFFF0000"/>
  </w:font>
  <w:font w:name="Helvetica">
    <w:altName w:val="Arial"/>
    <w:panose1 w:val="020B0504020202020204"/>
    <w:charset w:val="00"/>
    <w:family w:val="swiss"/>
    <w:pitch w:val="default"/>
    <w:sig w:usb0="00000000" w:usb1="00000000" w:usb2="00000000" w:usb3="00000000" w:csb0="00000001" w:csb1="00000000"/>
  </w:font>
  <w:font w:name="楷体_GB2312">
    <w:altName w:val="楷体"/>
    <w:panose1 w:val="00000000000000000000"/>
    <w:charset w:val="86"/>
    <w:family w:val="modern"/>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Microsoft YaHei UI">
    <w:panose1 w:val="020B0503020204020204"/>
    <w:charset w:val="86"/>
    <w:family w:val="swiss"/>
    <w:pitch w:val="default"/>
    <w:sig w:usb0="80000287" w:usb1="2ACF3C50" w:usb2="00000016" w:usb3="00000000" w:csb0="0004001F" w:csb1="00000000"/>
  </w:font>
  <w:font w:name="Univers 57 Condensed">
    <w:altName w:val="Segoe Print"/>
    <w:panose1 w:val="00000000000000000000"/>
    <w:charset w:val="00"/>
    <w:family w:val="swiss"/>
    <w:pitch w:val="default"/>
    <w:sig w:usb0="00000000" w:usb1="00000000" w:usb2="00000000" w:usb3="00000000" w:csb0="00000001"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framePr w:wrap="around" w:vAnchor="text" w:hAnchor="margin" w:xAlign="right" w:y="1"/>
      <w:rPr>
        <w:rStyle w:val="38"/>
      </w:rPr>
    </w:pPr>
    <w:r>
      <w:fldChar w:fldCharType="begin"/>
    </w:r>
    <w:r>
      <w:rPr>
        <w:rStyle w:val="38"/>
      </w:rPr>
      <w:instrText xml:space="preserve">PAGE  </w:instrText>
    </w:r>
    <w:r>
      <w:fldChar w:fldCharType="end"/>
    </w:r>
  </w:p>
  <w:p>
    <w:pPr>
      <w:pStyle w:val="2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5"/>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ascii="仿宋_GB2312" w:eastAsia="仿宋_GB2312"/>
        <w:kern w:val="0"/>
        <w:szCs w:val="21"/>
      </w:rPr>
      <w:t>1</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30</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6"/>
    </w:pPr>
    <w:r>
      <w:rPr>
        <w:rFonts w:hint="eastAsia"/>
      </w:rPr>
      <w:t>广州大学城能源发展有限公司及广州大学城能源发展有限公司公开询价文件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BA2E27"/>
    <w:multiLevelType w:val="multilevel"/>
    <w:tmpl w:val="03BA2E27"/>
    <w:lvl w:ilvl="0" w:tentative="0">
      <w:start w:val="1"/>
      <w:numFmt w:val="decimal"/>
      <w:lvlText w:val="%1、"/>
      <w:lvlJc w:val="left"/>
      <w:pPr>
        <w:ind w:left="1140" w:hanging="4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1">
    <w:nsid w:val="3F5A1648"/>
    <w:multiLevelType w:val="multilevel"/>
    <w:tmpl w:val="3F5A1648"/>
    <w:lvl w:ilvl="0" w:tentative="0">
      <w:start w:val="2"/>
      <w:numFmt w:val="japaneseCounting"/>
      <w:lvlText w:val="（%1）"/>
      <w:lvlJc w:val="left"/>
      <w:pPr>
        <w:ind w:left="1720" w:hanging="1080"/>
      </w:pPr>
      <w:rPr>
        <w:rFonts w:hint="default"/>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abstractNum w:abstractNumId="2">
    <w:nsid w:val="572DE5B4"/>
    <w:multiLevelType w:val="singleLevel"/>
    <w:tmpl w:val="572DE5B4"/>
    <w:lvl w:ilvl="0" w:tentative="0">
      <w:start w:val="1"/>
      <w:numFmt w:val="decimal"/>
      <w:suff w:val="nothing"/>
      <w:lvlText w:val="%1."/>
      <w:lvlJc w:val="left"/>
    </w:lvl>
  </w:abstractNum>
  <w:abstractNum w:abstractNumId="3">
    <w:nsid w:val="6787653F"/>
    <w:multiLevelType w:val="multilevel"/>
    <w:tmpl w:val="6787653F"/>
    <w:lvl w:ilvl="0" w:tentative="0">
      <w:start w:val="8"/>
      <w:numFmt w:val="japaneseCounting"/>
      <w:lvlText w:val="%1、"/>
      <w:lvlJc w:val="left"/>
      <w:pPr>
        <w:ind w:left="1320" w:hanging="720"/>
      </w:pPr>
      <w:rPr>
        <w:rFonts w:hint="default"/>
      </w:rPr>
    </w:lvl>
    <w:lvl w:ilvl="1" w:tentative="0">
      <w:start w:val="1"/>
      <w:numFmt w:val="lowerLetter"/>
      <w:lvlText w:val="%2)"/>
      <w:lvlJc w:val="left"/>
      <w:pPr>
        <w:ind w:left="1440" w:hanging="420"/>
      </w:pPr>
    </w:lvl>
    <w:lvl w:ilvl="2" w:tentative="0">
      <w:start w:val="1"/>
      <w:numFmt w:val="lowerRoman"/>
      <w:lvlText w:val="%3."/>
      <w:lvlJc w:val="right"/>
      <w:pPr>
        <w:ind w:left="1860" w:hanging="420"/>
      </w:pPr>
    </w:lvl>
    <w:lvl w:ilvl="3" w:tentative="0">
      <w:start w:val="1"/>
      <w:numFmt w:val="decimal"/>
      <w:lvlText w:val="%4."/>
      <w:lvlJc w:val="left"/>
      <w:pPr>
        <w:ind w:left="2280" w:hanging="420"/>
      </w:pPr>
    </w:lvl>
    <w:lvl w:ilvl="4" w:tentative="0">
      <w:start w:val="1"/>
      <w:numFmt w:val="lowerLetter"/>
      <w:lvlText w:val="%5)"/>
      <w:lvlJc w:val="left"/>
      <w:pPr>
        <w:ind w:left="2700" w:hanging="420"/>
      </w:pPr>
    </w:lvl>
    <w:lvl w:ilvl="5" w:tentative="0">
      <w:start w:val="1"/>
      <w:numFmt w:val="lowerRoman"/>
      <w:lvlText w:val="%6."/>
      <w:lvlJc w:val="right"/>
      <w:pPr>
        <w:ind w:left="3120" w:hanging="420"/>
      </w:pPr>
    </w:lvl>
    <w:lvl w:ilvl="6" w:tentative="0">
      <w:start w:val="1"/>
      <w:numFmt w:val="decimal"/>
      <w:lvlText w:val="%7."/>
      <w:lvlJc w:val="left"/>
      <w:pPr>
        <w:ind w:left="3540" w:hanging="420"/>
      </w:pPr>
    </w:lvl>
    <w:lvl w:ilvl="7" w:tentative="0">
      <w:start w:val="1"/>
      <w:numFmt w:val="lowerLetter"/>
      <w:lvlText w:val="%8)"/>
      <w:lvlJc w:val="left"/>
      <w:pPr>
        <w:ind w:left="3960" w:hanging="420"/>
      </w:pPr>
    </w:lvl>
    <w:lvl w:ilvl="8" w:tentative="0">
      <w:start w:val="1"/>
      <w:numFmt w:val="lowerRoman"/>
      <w:lvlText w:val="%9."/>
      <w:lvlJc w:val="right"/>
      <w:pPr>
        <w:ind w:left="4380" w:hanging="420"/>
      </w:pPr>
    </w:lvl>
  </w:abstractNum>
  <w:abstractNum w:abstractNumId="4">
    <w:nsid w:val="7AF028DE"/>
    <w:multiLevelType w:val="multilevel"/>
    <w:tmpl w:val="7AF028DE"/>
    <w:lvl w:ilvl="0" w:tentative="0">
      <w:start w:val="1"/>
      <w:numFmt w:val="decimal"/>
      <w:lvlText w:val="%1)"/>
      <w:lvlJc w:val="left"/>
      <w:pPr>
        <w:ind w:left="1140" w:hanging="420"/>
      </w:pPr>
      <w:rPr>
        <w:rFonts w:hint="default"/>
      </w:rPr>
    </w:lvl>
    <w:lvl w:ilvl="1" w:tentative="0">
      <w:start w:val="1"/>
      <w:numFmt w:val="lowerLetter"/>
      <w:lvlText w:val="%2)"/>
      <w:lvlJc w:val="left"/>
      <w:pPr>
        <w:ind w:left="1560" w:hanging="420"/>
      </w:pPr>
    </w:lvl>
    <w:lvl w:ilvl="2" w:tentative="0">
      <w:start w:val="1"/>
      <w:numFmt w:val="lowerRoman"/>
      <w:lvlText w:val="%3."/>
      <w:lvlJc w:val="right"/>
      <w:pPr>
        <w:ind w:left="1980" w:hanging="420"/>
      </w:pPr>
    </w:lvl>
    <w:lvl w:ilvl="3" w:tentative="0">
      <w:start w:val="1"/>
      <w:numFmt w:val="decimal"/>
      <w:lvlText w:val="%4."/>
      <w:lvlJc w:val="left"/>
      <w:pPr>
        <w:ind w:left="2400" w:hanging="420"/>
      </w:pPr>
    </w:lvl>
    <w:lvl w:ilvl="4" w:tentative="0">
      <w:start w:val="1"/>
      <w:numFmt w:val="lowerLetter"/>
      <w:lvlText w:val="%5)"/>
      <w:lvlJc w:val="left"/>
      <w:pPr>
        <w:ind w:left="2820" w:hanging="420"/>
      </w:pPr>
    </w:lvl>
    <w:lvl w:ilvl="5" w:tentative="0">
      <w:start w:val="1"/>
      <w:numFmt w:val="lowerRoman"/>
      <w:lvlText w:val="%6."/>
      <w:lvlJc w:val="right"/>
      <w:pPr>
        <w:ind w:left="3240" w:hanging="420"/>
      </w:pPr>
    </w:lvl>
    <w:lvl w:ilvl="6" w:tentative="0">
      <w:start w:val="1"/>
      <w:numFmt w:val="decimal"/>
      <w:lvlText w:val="%7."/>
      <w:lvlJc w:val="left"/>
      <w:pPr>
        <w:ind w:left="3660" w:hanging="420"/>
      </w:pPr>
    </w:lvl>
    <w:lvl w:ilvl="7" w:tentative="0">
      <w:start w:val="1"/>
      <w:numFmt w:val="lowerLetter"/>
      <w:lvlText w:val="%8)"/>
      <w:lvlJc w:val="left"/>
      <w:pPr>
        <w:ind w:left="4080" w:hanging="420"/>
      </w:pPr>
    </w:lvl>
    <w:lvl w:ilvl="8" w:tentative="0">
      <w:start w:val="1"/>
      <w:numFmt w:val="lowerRoman"/>
      <w:lvlText w:val="%9."/>
      <w:lvlJc w:val="right"/>
      <w:pPr>
        <w:ind w:left="4500" w:hanging="420"/>
      </w:pPr>
    </w:lvl>
  </w:abstractNum>
  <w:abstractNum w:abstractNumId="5">
    <w:nsid w:val="7CE70E6D"/>
    <w:multiLevelType w:val="singleLevel"/>
    <w:tmpl w:val="7CE70E6D"/>
    <w:lvl w:ilvl="0" w:tentative="0">
      <w:start w:val="1"/>
      <w:numFmt w:val="decimal"/>
      <w:suff w:val="nothing"/>
      <w:lvlText w:val="%1."/>
      <w:lvlJc w:val="left"/>
    </w:lvl>
  </w:abstractNum>
  <w:num w:numId="1">
    <w:abstractNumId w:val="1"/>
  </w:num>
  <w:num w:numId="2">
    <w:abstractNumId w:val="2"/>
  </w:num>
  <w:num w:numId="3">
    <w:abstractNumId w:val="5"/>
  </w:num>
  <w:num w:numId="4">
    <w:abstractNumId w:val="0"/>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047"/>
    <w:rsid w:val="000008EE"/>
    <w:rsid w:val="0000264B"/>
    <w:rsid w:val="000071A0"/>
    <w:rsid w:val="00007ECC"/>
    <w:rsid w:val="000244CC"/>
    <w:rsid w:val="00024DD3"/>
    <w:rsid w:val="00030305"/>
    <w:rsid w:val="0003382E"/>
    <w:rsid w:val="00033918"/>
    <w:rsid w:val="0004157B"/>
    <w:rsid w:val="00045626"/>
    <w:rsid w:val="00055590"/>
    <w:rsid w:val="00056AF0"/>
    <w:rsid w:val="0006794D"/>
    <w:rsid w:val="00070D64"/>
    <w:rsid w:val="000828C2"/>
    <w:rsid w:val="00085084"/>
    <w:rsid w:val="00093BBF"/>
    <w:rsid w:val="000A10A2"/>
    <w:rsid w:val="000A3F01"/>
    <w:rsid w:val="000B53CA"/>
    <w:rsid w:val="000C3FC3"/>
    <w:rsid w:val="000C4081"/>
    <w:rsid w:val="000C424C"/>
    <w:rsid w:val="000D4100"/>
    <w:rsid w:val="000E0402"/>
    <w:rsid w:val="000E54AB"/>
    <w:rsid w:val="000F2B80"/>
    <w:rsid w:val="000F355C"/>
    <w:rsid w:val="000F4D08"/>
    <w:rsid w:val="000F7FC8"/>
    <w:rsid w:val="0010064E"/>
    <w:rsid w:val="001102A3"/>
    <w:rsid w:val="0011528C"/>
    <w:rsid w:val="00117816"/>
    <w:rsid w:val="00117890"/>
    <w:rsid w:val="00123B43"/>
    <w:rsid w:val="00124178"/>
    <w:rsid w:val="00126A70"/>
    <w:rsid w:val="00130E1C"/>
    <w:rsid w:val="0013665C"/>
    <w:rsid w:val="001370CF"/>
    <w:rsid w:val="001402BD"/>
    <w:rsid w:val="00145767"/>
    <w:rsid w:val="00145AC4"/>
    <w:rsid w:val="00146BB8"/>
    <w:rsid w:val="00150B46"/>
    <w:rsid w:val="0016002D"/>
    <w:rsid w:val="00165D2C"/>
    <w:rsid w:val="00166641"/>
    <w:rsid w:val="001715C4"/>
    <w:rsid w:val="00171FD1"/>
    <w:rsid w:val="00172A27"/>
    <w:rsid w:val="00173DBD"/>
    <w:rsid w:val="00182F66"/>
    <w:rsid w:val="00183013"/>
    <w:rsid w:val="00186366"/>
    <w:rsid w:val="001867EA"/>
    <w:rsid w:val="00187B3C"/>
    <w:rsid w:val="001A169E"/>
    <w:rsid w:val="001A2F62"/>
    <w:rsid w:val="001B2859"/>
    <w:rsid w:val="001B44F6"/>
    <w:rsid w:val="001B5206"/>
    <w:rsid w:val="001B5705"/>
    <w:rsid w:val="001B5A78"/>
    <w:rsid w:val="001B7011"/>
    <w:rsid w:val="001C731D"/>
    <w:rsid w:val="001D48C7"/>
    <w:rsid w:val="001E0367"/>
    <w:rsid w:val="001E4CCB"/>
    <w:rsid w:val="001F1621"/>
    <w:rsid w:val="001F1BFE"/>
    <w:rsid w:val="001F4934"/>
    <w:rsid w:val="002063DC"/>
    <w:rsid w:val="002106DE"/>
    <w:rsid w:val="00220D60"/>
    <w:rsid w:val="002238CD"/>
    <w:rsid w:val="0022498E"/>
    <w:rsid w:val="002349D7"/>
    <w:rsid w:val="00235D5D"/>
    <w:rsid w:val="0024033A"/>
    <w:rsid w:val="002610FB"/>
    <w:rsid w:val="00261573"/>
    <w:rsid w:val="00264A1B"/>
    <w:rsid w:val="00264F7A"/>
    <w:rsid w:val="00267681"/>
    <w:rsid w:val="00267D95"/>
    <w:rsid w:val="002708EC"/>
    <w:rsid w:val="00272022"/>
    <w:rsid w:val="00274519"/>
    <w:rsid w:val="00284866"/>
    <w:rsid w:val="002859C0"/>
    <w:rsid w:val="002865E0"/>
    <w:rsid w:val="00295870"/>
    <w:rsid w:val="002A2714"/>
    <w:rsid w:val="002A2E01"/>
    <w:rsid w:val="002A3341"/>
    <w:rsid w:val="002A3C90"/>
    <w:rsid w:val="002A5964"/>
    <w:rsid w:val="002B4C08"/>
    <w:rsid w:val="002C30CB"/>
    <w:rsid w:val="002C38CC"/>
    <w:rsid w:val="002C70ED"/>
    <w:rsid w:val="002D6A59"/>
    <w:rsid w:val="002D7939"/>
    <w:rsid w:val="002D7FB8"/>
    <w:rsid w:val="002E02BB"/>
    <w:rsid w:val="002E5FF8"/>
    <w:rsid w:val="002F3B4C"/>
    <w:rsid w:val="002F3D3A"/>
    <w:rsid w:val="00300730"/>
    <w:rsid w:val="003007CE"/>
    <w:rsid w:val="00300874"/>
    <w:rsid w:val="00301AB8"/>
    <w:rsid w:val="003032BF"/>
    <w:rsid w:val="00303BBA"/>
    <w:rsid w:val="00307073"/>
    <w:rsid w:val="00313ACB"/>
    <w:rsid w:val="003152F3"/>
    <w:rsid w:val="00315E15"/>
    <w:rsid w:val="00323FC4"/>
    <w:rsid w:val="00324D1B"/>
    <w:rsid w:val="00330FE7"/>
    <w:rsid w:val="0033289D"/>
    <w:rsid w:val="00334B58"/>
    <w:rsid w:val="00336BC5"/>
    <w:rsid w:val="00337AE0"/>
    <w:rsid w:val="003404D0"/>
    <w:rsid w:val="00343693"/>
    <w:rsid w:val="00350E5A"/>
    <w:rsid w:val="003567A3"/>
    <w:rsid w:val="00362A29"/>
    <w:rsid w:val="003660F2"/>
    <w:rsid w:val="0037017F"/>
    <w:rsid w:val="00381E84"/>
    <w:rsid w:val="003869E5"/>
    <w:rsid w:val="003A2858"/>
    <w:rsid w:val="003A3F7B"/>
    <w:rsid w:val="003B05E2"/>
    <w:rsid w:val="003B0CB7"/>
    <w:rsid w:val="003B2A18"/>
    <w:rsid w:val="003B431B"/>
    <w:rsid w:val="003B54E1"/>
    <w:rsid w:val="003C1C34"/>
    <w:rsid w:val="003C2BF9"/>
    <w:rsid w:val="003C4AC8"/>
    <w:rsid w:val="003C7466"/>
    <w:rsid w:val="003D42B3"/>
    <w:rsid w:val="003D5452"/>
    <w:rsid w:val="003D65A3"/>
    <w:rsid w:val="003D6AC1"/>
    <w:rsid w:val="003E58E7"/>
    <w:rsid w:val="003E7385"/>
    <w:rsid w:val="003F4045"/>
    <w:rsid w:val="00404BEF"/>
    <w:rsid w:val="0041682D"/>
    <w:rsid w:val="00423B59"/>
    <w:rsid w:val="00424457"/>
    <w:rsid w:val="004327F5"/>
    <w:rsid w:val="00435439"/>
    <w:rsid w:val="0044316D"/>
    <w:rsid w:val="0045330E"/>
    <w:rsid w:val="0045758E"/>
    <w:rsid w:val="00461004"/>
    <w:rsid w:val="004711B7"/>
    <w:rsid w:val="004755F3"/>
    <w:rsid w:val="004757EA"/>
    <w:rsid w:val="0047637F"/>
    <w:rsid w:val="00483141"/>
    <w:rsid w:val="00483250"/>
    <w:rsid w:val="004A016D"/>
    <w:rsid w:val="004A1E72"/>
    <w:rsid w:val="004A6EF6"/>
    <w:rsid w:val="004B21C5"/>
    <w:rsid w:val="004B358B"/>
    <w:rsid w:val="004B4077"/>
    <w:rsid w:val="004C059C"/>
    <w:rsid w:val="004C5DB0"/>
    <w:rsid w:val="004D0193"/>
    <w:rsid w:val="004D24C2"/>
    <w:rsid w:val="004D538B"/>
    <w:rsid w:val="004D7952"/>
    <w:rsid w:val="004D7FEF"/>
    <w:rsid w:val="004E3096"/>
    <w:rsid w:val="004E34CD"/>
    <w:rsid w:val="004E6E16"/>
    <w:rsid w:val="004F0B82"/>
    <w:rsid w:val="004F3C4B"/>
    <w:rsid w:val="004F4F61"/>
    <w:rsid w:val="0050137D"/>
    <w:rsid w:val="00514531"/>
    <w:rsid w:val="0052536A"/>
    <w:rsid w:val="00532053"/>
    <w:rsid w:val="00533511"/>
    <w:rsid w:val="0054320B"/>
    <w:rsid w:val="005451C7"/>
    <w:rsid w:val="0055431B"/>
    <w:rsid w:val="0057320F"/>
    <w:rsid w:val="00577A07"/>
    <w:rsid w:val="00582807"/>
    <w:rsid w:val="0058573B"/>
    <w:rsid w:val="005921DE"/>
    <w:rsid w:val="00592FA0"/>
    <w:rsid w:val="00596F29"/>
    <w:rsid w:val="005A091A"/>
    <w:rsid w:val="005B11E9"/>
    <w:rsid w:val="005B3FC6"/>
    <w:rsid w:val="005B48E9"/>
    <w:rsid w:val="005B48FD"/>
    <w:rsid w:val="005C3610"/>
    <w:rsid w:val="005C5C9F"/>
    <w:rsid w:val="005C5DC7"/>
    <w:rsid w:val="005C6C44"/>
    <w:rsid w:val="005D0364"/>
    <w:rsid w:val="005D238A"/>
    <w:rsid w:val="005D38AD"/>
    <w:rsid w:val="005D4CCE"/>
    <w:rsid w:val="005E0225"/>
    <w:rsid w:val="005E7DEF"/>
    <w:rsid w:val="005F4BBD"/>
    <w:rsid w:val="00600A75"/>
    <w:rsid w:val="00605CFF"/>
    <w:rsid w:val="00607DB0"/>
    <w:rsid w:val="00611ACD"/>
    <w:rsid w:val="00612C2A"/>
    <w:rsid w:val="00620382"/>
    <w:rsid w:val="006303FA"/>
    <w:rsid w:val="0063133D"/>
    <w:rsid w:val="006313A6"/>
    <w:rsid w:val="0063173E"/>
    <w:rsid w:val="006378D3"/>
    <w:rsid w:val="00637FAD"/>
    <w:rsid w:val="0064371A"/>
    <w:rsid w:val="00643932"/>
    <w:rsid w:val="00643C92"/>
    <w:rsid w:val="006463DC"/>
    <w:rsid w:val="006534A9"/>
    <w:rsid w:val="006550C6"/>
    <w:rsid w:val="006623C6"/>
    <w:rsid w:val="00663E54"/>
    <w:rsid w:val="00671F86"/>
    <w:rsid w:val="006731D9"/>
    <w:rsid w:val="00674973"/>
    <w:rsid w:val="00675DEE"/>
    <w:rsid w:val="00676624"/>
    <w:rsid w:val="00676BBA"/>
    <w:rsid w:val="006844A4"/>
    <w:rsid w:val="00685A0D"/>
    <w:rsid w:val="0068638F"/>
    <w:rsid w:val="00694E9A"/>
    <w:rsid w:val="006A09F0"/>
    <w:rsid w:val="006A51E7"/>
    <w:rsid w:val="006B06C4"/>
    <w:rsid w:val="006B3705"/>
    <w:rsid w:val="006D40C2"/>
    <w:rsid w:val="006D642F"/>
    <w:rsid w:val="006D69E8"/>
    <w:rsid w:val="006E443F"/>
    <w:rsid w:val="006E5B51"/>
    <w:rsid w:val="006F1B80"/>
    <w:rsid w:val="0070069C"/>
    <w:rsid w:val="00702F0E"/>
    <w:rsid w:val="00706B6F"/>
    <w:rsid w:val="00712CBB"/>
    <w:rsid w:val="00715E24"/>
    <w:rsid w:val="00717815"/>
    <w:rsid w:val="0072315D"/>
    <w:rsid w:val="00727681"/>
    <w:rsid w:val="00727882"/>
    <w:rsid w:val="0073373C"/>
    <w:rsid w:val="00735308"/>
    <w:rsid w:val="0077355C"/>
    <w:rsid w:val="00775E65"/>
    <w:rsid w:val="00777293"/>
    <w:rsid w:val="007836C4"/>
    <w:rsid w:val="00785187"/>
    <w:rsid w:val="0079252B"/>
    <w:rsid w:val="0079428A"/>
    <w:rsid w:val="007A3F92"/>
    <w:rsid w:val="007A650B"/>
    <w:rsid w:val="007A665F"/>
    <w:rsid w:val="007B2855"/>
    <w:rsid w:val="007B745C"/>
    <w:rsid w:val="007C005D"/>
    <w:rsid w:val="007C2313"/>
    <w:rsid w:val="007C654D"/>
    <w:rsid w:val="007D3391"/>
    <w:rsid w:val="007D4850"/>
    <w:rsid w:val="007D4942"/>
    <w:rsid w:val="007F1A00"/>
    <w:rsid w:val="007F2DEB"/>
    <w:rsid w:val="00804D52"/>
    <w:rsid w:val="00810039"/>
    <w:rsid w:val="00812152"/>
    <w:rsid w:val="00812185"/>
    <w:rsid w:val="00812DCA"/>
    <w:rsid w:val="00812DD8"/>
    <w:rsid w:val="00820898"/>
    <w:rsid w:val="00826B27"/>
    <w:rsid w:val="00827E6A"/>
    <w:rsid w:val="008335C6"/>
    <w:rsid w:val="008375E2"/>
    <w:rsid w:val="008408FD"/>
    <w:rsid w:val="0084368C"/>
    <w:rsid w:val="008442A3"/>
    <w:rsid w:val="008450F0"/>
    <w:rsid w:val="0084759F"/>
    <w:rsid w:val="0087435E"/>
    <w:rsid w:val="008773BA"/>
    <w:rsid w:val="0089173A"/>
    <w:rsid w:val="008923C0"/>
    <w:rsid w:val="008965F6"/>
    <w:rsid w:val="008A1DF1"/>
    <w:rsid w:val="008A32D0"/>
    <w:rsid w:val="008A3A59"/>
    <w:rsid w:val="008A4215"/>
    <w:rsid w:val="008A5C83"/>
    <w:rsid w:val="008A5EDE"/>
    <w:rsid w:val="008B1C8F"/>
    <w:rsid w:val="008B683A"/>
    <w:rsid w:val="008B6B11"/>
    <w:rsid w:val="008B715E"/>
    <w:rsid w:val="008C05F2"/>
    <w:rsid w:val="008C11EA"/>
    <w:rsid w:val="008C2269"/>
    <w:rsid w:val="008C3E3C"/>
    <w:rsid w:val="008C6C5B"/>
    <w:rsid w:val="008C7889"/>
    <w:rsid w:val="008D305E"/>
    <w:rsid w:val="008E324A"/>
    <w:rsid w:val="008E5358"/>
    <w:rsid w:val="008E5C30"/>
    <w:rsid w:val="008F0A83"/>
    <w:rsid w:val="008F4268"/>
    <w:rsid w:val="008F665A"/>
    <w:rsid w:val="0090193B"/>
    <w:rsid w:val="00905B80"/>
    <w:rsid w:val="00910055"/>
    <w:rsid w:val="00911E2E"/>
    <w:rsid w:val="00914AB9"/>
    <w:rsid w:val="00915F4B"/>
    <w:rsid w:val="00916ECB"/>
    <w:rsid w:val="0092043B"/>
    <w:rsid w:val="00930450"/>
    <w:rsid w:val="00933792"/>
    <w:rsid w:val="00936E98"/>
    <w:rsid w:val="009418A2"/>
    <w:rsid w:val="00954107"/>
    <w:rsid w:val="00956711"/>
    <w:rsid w:val="009653DC"/>
    <w:rsid w:val="00973AFF"/>
    <w:rsid w:val="00976D0D"/>
    <w:rsid w:val="009822D8"/>
    <w:rsid w:val="0098405F"/>
    <w:rsid w:val="00987C80"/>
    <w:rsid w:val="00992689"/>
    <w:rsid w:val="0099450B"/>
    <w:rsid w:val="009A35A9"/>
    <w:rsid w:val="009A46BF"/>
    <w:rsid w:val="009B518C"/>
    <w:rsid w:val="009C0A09"/>
    <w:rsid w:val="009C22D7"/>
    <w:rsid w:val="009D1A52"/>
    <w:rsid w:val="009D68FD"/>
    <w:rsid w:val="009D7D52"/>
    <w:rsid w:val="009E191A"/>
    <w:rsid w:val="009E39E8"/>
    <w:rsid w:val="009E5974"/>
    <w:rsid w:val="009F0B05"/>
    <w:rsid w:val="009F3FB6"/>
    <w:rsid w:val="009F4383"/>
    <w:rsid w:val="009F59CA"/>
    <w:rsid w:val="00A0316A"/>
    <w:rsid w:val="00A0548A"/>
    <w:rsid w:val="00A102AF"/>
    <w:rsid w:val="00A12329"/>
    <w:rsid w:val="00A13F64"/>
    <w:rsid w:val="00A147EE"/>
    <w:rsid w:val="00A15D04"/>
    <w:rsid w:val="00A201D8"/>
    <w:rsid w:val="00A20EEF"/>
    <w:rsid w:val="00A22F19"/>
    <w:rsid w:val="00A23014"/>
    <w:rsid w:val="00A24430"/>
    <w:rsid w:val="00A2677B"/>
    <w:rsid w:val="00A3067D"/>
    <w:rsid w:val="00A32154"/>
    <w:rsid w:val="00A3409B"/>
    <w:rsid w:val="00A406C8"/>
    <w:rsid w:val="00A41CBF"/>
    <w:rsid w:val="00A536E0"/>
    <w:rsid w:val="00A53C54"/>
    <w:rsid w:val="00A53D09"/>
    <w:rsid w:val="00A5607A"/>
    <w:rsid w:val="00A60EB7"/>
    <w:rsid w:val="00A61786"/>
    <w:rsid w:val="00A64EE4"/>
    <w:rsid w:val="00A65B13"/>
    <w:rsid w:val="00A66AA4"/>
    <w:rsid w:val="00A844B8"/>
    <w:rsid w:val="00A93B59"/>
    <w:rsid w:val="00A95BAC"/>
    <w:rsid w:val="00AA1358"/>
    <w:rsid w:val="00AA2AFF"/>
    <w:rsid w:val="00AA565F"/>
    <w:rsid w:val="00AB0657"/>
    <w:rsid w:val="00AB3922"/>
    <w:rsid w:val="00AC2541"/>
    <w:rsid w:val="00AC2882"/>
    <w:rsid w:val="00AC323D"/>
    <w:rsid w:val="00AD0153"/>
    <w:rsid w:val="00AD0DF2"/>
    <w:rsid w:val="00AD23F9"/>
    <w:rsid w:val="00AD515A"/>
    <w:rsid w:val="00AE0F56"/>
    <w:rsid w:val="00AE505A"/>
    <w:rsid w:val="00AE6033"/>
    <w:rsid w:val="00AF0FFD"/>
    <w:rsid w:val="00AF4947"/>
    <w:rsid w:val="00AF668B"/>
    <w:rsid w:val="00B004DB"/>
    <w:rsid w:val="00B02A69"/>
    <w:rsid w:val="00B06761"/>
    <w:rsid w:val="00B06ADD"/>
    <w:rsid w:val="00B10ED6"/>
    <w:rsid w:val="00B21D8D"/>
    <w:rsid w:val="00B251B7"/>
    <w:rsid w:val="00B25BB5"/>
    <w:rsid w:val="00B2763D"/>
    <w:rsid w:val="00B35413"/>
    <w:rsid w:val="00B35F69"/>
    <w:rsid w:val="00B36565"/>
    <w:rsid w:val="00B375A3"/>
    <w:rsid w:val="00B40939"/>
    <w:rsid w:val="00B47321"/>
    <w:rsid w:val="00B616DB"/>
    <w:rsid w:val="00B62E9C"/>
    <w:rsid w:val="00B65696"/>
    <w:rsid w:val="00B65C82"/>
    <w:rsid w:val="00B70017"/>
    <w:rsid w:val="00B70FA6"/>
    <w:rsid w:val="00B81AB7"/>
    <w:rsid w:val="00B91CF1"/>
    <w:rsid w:val="00BA2CF5"/>
    <w:rsid w:val="00BA40C7"/>
    <w:rsid w:val="00BA581F"/>
    <w:rsid w:val="00BB0535"/>
    <w:rsid w:val="00BB224F"/>
    <w:rsid w:val="00BC0BA8"/>
    <w:rsid w:val="00BC3FE1"/>
    <w:rsid w:val="00BD0A9B"/>
    <w:rsid w:val="00BD4401"/>
    <w:rsid w:val="00BE1023"/>
    <w:rsid w:val="00BE264F"/>
    <w:rsid w:val="00BE27E1"/>
    <w:rsid w:val="00BE6600"/>
    <w:rsid w:val="00BF435C"/>
    <w:rsid w:val="00C0373F"/>
    <w:rsid w:val="00C04FF4"/>
    <w:rsid w:val="00C06DFE"/>
    <w:rsid w:val="00C11B1A"/>
    <w:rsid w:val="00C16F0F"/>
    <w:rsid w:val="00C2507D"/>
    <w:rsid w:val="00C25926"/>
    <w:rsid w:val="00C265FB"/>
    <w:rsid w:val="00C279A8"/>
    <w:rsid w:val="00C45CA4"/>
    <w:rsid w:val="00C66E6F"/>
    <w:rsid w:val="00C67607"/>
    <w:rsid w:val="00C73427"/>
    <w:rsid w:val="00C73AF4"/>
    <w:rsid w:val="00C76539"/>
    <w:rsid w:val="00C767E8"/>
    <w:rsid w:val="00C80718"/>
    <w:rsid w:val="00C82377"/>
    <w:rsid w:val="00C87E48"/>
    <w:rsid w:val="00C93F46"/>
    <w:rsid w:val="00C9459D"/>
    <w:rsid w:val="00C95377"/>
    <w:rsid w:val="00C954A3"/>
    <w:rsid w:val="00C95E34"/>
    <w:rsid w:val="00CA3788"/>
    <w:rsid w:val="00CA72D7"/>
    <w:rsid w:val="00CB0EF1"/>
    <w:rsid w:val="00CC15FE"/>
    <w:rsid w:val="00CC39E1"/>
    <w:rsid w:val="00CC454D"/>
    <w:rsid w:val="00CC6A57"/>
    <w:rsid w:val="00CD0A01"/>
    <w:rsid w:val="00CD2073"/>
    <w:rsid w:val="00CD21C9"/>
    <w:rsid w:val="00CD3992"/>
    <w:rsid w:val="00CD6D28"/>
    <w:rsid w:val="00CE6F75"/>
    <w:rsid w:val="00CF6F81"/>
    <w:rsid w:val="00CF74EF"/>
    <w:rsid w:val="00D00E56"/>
    <w:rsid w:val="00D05F38"/>
    <w:rsid w:val="00D0730F"/>
    <w:rsid w:val="00D10A1D"/>
    <w:rsid w:val="00D14284"/>
    <w:rsid w:val="00D24DB1"/>
    <w:rsid w:val="00D26A58"/>
    <w:rsid w:val="00D30F3D"/>
    <w:rsid w:val="00D33402"/>
    <w:rsid w:val="00D342DA"/>
    <w:rsid w:val="00D36AD8"/>
    <w:rsid w:val="00D40825"/>
    <w:rsid w:val="00D41837"/>
    <w:rsid w:val="00D45183"/>
    <w:rsid w:val="00D46E21"/>
    <w:rsid w:val="00D56D2E"/>
    <w:rsid w:val="00D5724D"/>
    <w:rsid w:val="00D57D8C"/>
    <w:rsid w:val="00D663A6"/>
    <w:rsid w:val="00D717D9"/>
    <w:rsid w:val="00D7305C"/>
    <w:rsid w:val="00D77545"/>
    <w:rsid w:val="00D829C1"/>
    <w:rsid w:val="00D84BA6"/>
    <w:rsid w:val="00D91EDC"/>
    <w:rsid w:val="00D92AF7"/>
    <w:rsid w:val="00D94331"/>
    <w:rsid w:val="00DA79C4"/>
    <w:rsid w:val="00DB2CB2"/>
    <w:rsid w:val="00DB59E3"/>
    <w:rsid w:val="00DC1E5E"/>
    <w:rsid w:val="00DC57EB"/>
    <w:rsid w:val="00DD378A"/>
    <w:rsid w:val="00DD52EE"/>
    <w:rsid w:val="00DD639F"/>
    <w:rsid w:val="00DF1BDD"/>
    <w:rsid w:val="00DF38B3"/>
    <w:rsid w:val="00DF3A4C"/>
    <w:rsid w:val="00DF5836"/>
    <w:rsid w:val="00E0050D"/>
    <w:rsid w:val="00E0408A"/>
    <w:rsid w:val="00E05643"/>
    <w:rsid w:val="00E215A0"/>
    <w:rsid w:val="00E3222E"/>
    <w:rsid w:val="00E329E1"/>
    <w:rsid w:val="00E32BE6"/>
    <w:rsid w:val="00E37DC0"/>
    <w:rsid w:val="00E42ABC"/>
    <w:rsid w:val="00E4474C"/>
    <w:rsid w:val="00E454BE"/>
    <w:rsid w:val="00E4653C"/>
    <w:rsid w:val="00E47C2A"/>
    <w:rsid w:val="00E56B89"/>
    <w:rsid w:val="00E65A3F"/>
    <w:rsid w:val="00E72334"/>
    <w:rsid w:val="00E72AF8"/>
    <w:rsid w:val="00E81A31"/>
    <w:rsid w:val="00E81B73"/>
    <w:rsid w:val="00E8293A"/>
    <w:rsid w:val="00E857B0"/>
    <w:rsid w:val="00E86FE9"/>
    <w:rsid w:val="00E9011A"/>
    <w:rsid w:val="00E92893"/>
    <w:rsid w:val="00EA01DD"/>
    <w:rsid w:val="00EA3F78"/>
    <w:rsid w:val="00EA7215"/>
    <w:rsid w:val="00EB12AA"/>
    <w:rsid w:val="00EB5F18"/>
    <w:rsid w:val="00EC1891"/>
    <w:rsid w:val="00EF44A1"/>
    <w:rsid w:val="00EF6163"/>
    <w:rsid w:val="00F01355"/>
    <w:rsid w:val="00F0512F"/>
    <w:rsid w:val="00F05EE7"/>
    <w:rsid w:val="00F06CA4"/>
    <w:rsid w:val="00F070EA"/>
    <w:rsid w:val="00F104AE"/>
    <w:rsid w:val="00F1259D"/>
    <w:rsid w:val="00F21FA0"/>
    <w:rsid w:val="00F33A9D"/>
    <w:rsid w:val="00F37593"/>
    <w:rsid w:val="00F4048E"/>
    <w:rsid w:val="00F41647"/>
    <w:rsid w:val="00F41D69"/>
    <w:rsid w:val="00F436DF"/>
    <w:rsid w:val="00F5079A"/>
    <w:rsid w:val="00F50DFB"/>
    <w:rsid w:val="00F52BCA"/>
    <w:rsid w:val="00F5608C"/>
    <w:rsid w:val="00F62E4B"/>
    <w:rsid w:val="00F86D44"/>
    <w:rsid w:val="00FD01D5"/>
    <w:rsid w:val="00FD30C5"/>
    <w:rsid w:val="00FF2572"/>
    <w:rsid w:val="00FF57ED"/>
    <w:rsid w:val="00FF7B13"/>
    <w:rsid w:val="0144285E"/>
    <w:rsid w:val="014B63A4"/>
    <w:rsid w:val="022046E5"/>
    <w:rsid w:val="02786ACB"/>
    <w:rsid w:val="028C0A4B"/>
    <w:rsid w:val="02B56D1A"/>
    <w:rsid w:val="02CD3508"/>
    <w:rsid w:val="03ED0096"/>
    <w:rsid w:val="043A5BE7"/>
    <w:rsid w:val="04CD4E4E"/>
    <w:rsid w:val="051E4142"/>
    <w:rsid w:val="060A2E39"/>
    <w:rsid w:val="06263253"/>
    <w:rsid w:val="078D1AC1"/>
    <w:rsid w:val="07B46E55"/>
    <w:rsid w:val="080B0F20"/>
    <w:rsid w:val="08525D14"/>
    <w:rsid w:val="089C46B3"/>
    <w:rsid w:val="09A94897"/>
    <w:rsid w:val="09C80998"/>
    <w:rsid w:val="0A632BBE"/>
    <w:rsid w:val="0AF42D67"/>
    <w:rsid w:val="0B45060A"/>
    <w:rsid w:val="0B830694"/>
    <w:rsid w:val="0C542280"/>
    <w:rsid w:val="0C594ED8"/>
    <w:rsid w:val="0C6A4A7B"/>
    <w:rsid w:val="0E5E4A53"/>
    <w:rsid w:val="0EA350FE"/>
    <w:rsid w:val="0F655E5C"/>
    <w:rsid w:val="110C175F"/>
    <w:rsid w:val="142A4B9C"/>
    <w:rsid w:val="159615D0"/>
    <w:rsid w:val="172855A6"/>
    <w:rsid w:val="17586C0E"/>
    <w:rsid w:val="176B6D76"/>
    <w:rsid w:val="17C63720"/>
    <w:rsid w:val="185F52F0"/>
    <w:rsid w:val="189A11BE"/>
    <w:rsid w:val="18A73BB5"/>
    <w:rsid w:val="194820DB"/>
    <w:rsid w:val="1A263123"/>
    <w:rsid w:val="1A633315"/>
    <w:rsid w:val="1AE85AAE"/>
    <w:rsid w:val="1B5633E7"/>
    <w:rsid w:val="1BBC1911"/>
    <w:rsid w:val="1C0403F3"/>
    <w:rsid w:val="1C412091"/>
    <w:rsid w:val="1CDA3F4D"/>
    <w:rsid w:val="1D4E2877"/>
    <w:rsid w:val="1D910296"/>
    <w:rsid w:val="1F356ECE"/>
    <w:rsid w:val="1F7475A5"/>
    <w:rsid w:val="2044159B"/>
    <w:rsid w:val="20CD575A"/>
    <w:rsid w:val="218D0B61"/>
    <w:rsid w:val="249C25FE"/>
    <w:rsid w:val="2B9A159D"/>
    <w:rsid w:val="2C982D24"/>
    <w:rsid w:val="2DFA16D9"/>
    <w:rsid w:val="2FCD027A"/>
    <w:rsid w:val="306C51D3"/>
    <w:rsid w:val="31CF19EB"/>
    <w:rsid w:val="339813DA"/>
    <w:rsid w:val="34141B2D"/>
    <w:rsid w:val="352148B6"/>
    <w:rsid w:val="37263892"/>
    <w:rsid w:val="37397F02"/>
    <w:rsid w:val="386A0FB4"/>
    <w:rsid w:val="39E02392"/>
    <w:rsid w:val="3A136A8D"/>
    <w:rsid w:val="3A9F1CB6"/>
    <w:rsid w:val="3B091C53"/>
    <w:rsid w:val="3B7C088A"/>
    <w:rsid w:val="3B7E3074"/>
    <w:rsid w:val="3BA57761"/>
    <w:rsid w:val="3F17729B"/>
    <w:rsid w:val="402F1236"/>
    <w:rsid w:val="40D73F35"/>
    <w:rsid w:val="419D0D45"/>
    <w:rsid w:val="419F5D32"/>
    <w:rsid w:val="433D794E"/>
    <w:rsid w:val="43C126AA"/>
    <w:rsid w:val="43C6773E"/>
    <w:rsid w:val="44D06A21"/>
    <w:rsid w:val="44EB2324"/>
    <w:rsid w:val="455331FB"/>
    <w:rsid w:val="4712672B"/>
    <w:rsid w:val="47207906"/>
    <w:rsid w:val="47926EC5"/>
    <w:rsid w:val="481A6EC5"/>
    <w:rsid w:val="48DF3CFA"/>
    <w:rsid w:val="4B204BCD"/>
    <w:rsid w:val="4BA61E59"/>
    <w:rsid w:val="4C691B93"/>
    <w:rsid w:val="4D0002B1"/>
    <w:rsid w:val="4D296157"/>
    <w:rsid w:val="4F213D8C"/>
    <w:rsid w:val="4F4D51B7"/>
    <w:rsid w:val="4F6524B5"/>
    <w:rsid w:val="4F684A57"/>
    <w:rsid w:val="50177F79"/>
    <w:rsid w:val="51037944"/>
    <w:rsid w:val="530B77F5"/>
    <w:rsid w:val="53696F18"/>
    <w:rsid w:val="5492434A"/>
    <w:rsid w:val="55CE196D"/>
    <w:rsid w:val="578B1800"/>
    <w:rsid w:val="579A435F"/>
    <w:rsid w:val="58625FF0"/>
    <w:rsid w:val="59DC4191"/>
    <w:rsid w:val="5A432FC1"/>
    <w:rsid w:val="5B5D4AF6"/>
    <w:rsid w:val="5C451B9E"/>
    <w:rsid w:val="5DA86318"/>
    <w:rsid w:val="5F20242B"/>
    <w:rsid w:val="5F6720EE"/>
    <w:rsid w:val="5FFC7A92"/>
    <w:rsid w:val="619F7045"/>
    <w:rsid w:val="653E3419"/>
    <w:rsid w:val="66FA3BB9"/>
    <w:rsid w:val="675D04F4"/>
    <w:rsid w:val="678A5379"/>
    <w:rsid w:val="678B6983"/>
    <w:rsid w:val="67FC200A"/>
    <w:rsid w:val="68112388"/>
    <w:rsid w:val="691B4B04"/>
    <w:rsid w:val="695F15CA"/>
    <w:rsid w:val="6A251EA5"/>
    <w:rsid w:val="6A3B7EE2"/>
    <w:rsid w:val="6A546A08"/>
    <w:rsid w:val="6F014B7B"/>
    <w:rsid w:val="6FA11186"/>
    <w:rsid w:val="70023BDD"/>
    <w:rsid w:val="730F13F3"/>
    <w:rsid w:val="742401F4"/>
    <w:rsid w:val="757F6C32"/>
    <w:rsid w:val="76EC5249"/>
    <w:rsid w:val="78593AE4"/>
    <w:rsid w:val="78EF3C70"/>
    <w:rsid w:val="794F4D49"/>
    <w:rsid w:val="79AD54FC"/>
    <w:rsid w:val="7AF41673"/>
    <w:rsid w:val="7B91176A"/>
    <w:rsid w:val="7D813D3D"/>
    <w:rsid w:val="7DC4313C"/>
    <w:rsid w:val="7E894024"/>
    <w:rsid w:val="7E9E5CDB"/>
    <w:rsid w:val="7EBF0C6E"/>
    <w:rsid w:val="7F4214D1"/>
    <w:rsid w:val="7FCD7D5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nhideWhenUsed="0" w:uiPriority="0" w:name="footnote text"/>
    <w:lsdException w:qFormat="1" w:unhideWhenUsed="0"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nhideWhenUsed="0" w:uiPriority="0" w:name="footnote reference"/>
    <w:lsdException w:qFormat="1" w:unhideWhenUsed="0"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nhideWhenUsed="0" w:uiPriority="0" w:semiHidden="0" w:name="List"/>
    <w:lsdException w:uiPriority="0" w:name="List Bullet"/>
    <w:lsdException w:unhideWhenUsed="0" w:uiPriority="0" w:semiHidden="0" w:name="List Number"/>
    <w:lsdException w:unhideWhenUsed="0" w:uiPriority="0" w:semiHidden="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semiHidden="0" w:name="Body Text"/>
    <w:lsdException w:qFormat="1" w:unhideWhenUsed="0" w:uiPriority="0" w:semiHidden="0" w:name="Body Text Indent"/>
    <w:lsdException w:qFormat="1" w:unhideWhenUsed="0" w:uiPriority="0" w:semiHidden="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nhideWhenUsed="0" w:uiPriority="0" w:semiHidden="0" w:name="Body Text 2"/>
    <w:lsdException w:unhideWhenUsed="0" w:uiPriority="0" w:semiHidden="0" w:name="Body Text 3"/>
    <w:lsdException w:qFormat="1" w:unhideWhenUsed="0" w:uiPriority="99" w:semiHidden="0" w:name="Body Text Indent 2"/>
    <w:lsdException w:qFormat="1" w:unhideWhenUsed="0" w:uiPriority="0" w:semiHidden="0" w:name="Body Text Indent 3"/>
    <w:lsdException w:uiPriority="0" w:name="Block Text"/>
    <w:lsdException w:qFormat="1" w:unhideWhenUsed="0" w:uiPriority="99" w:semiHidden="0" w:name="Hyperlink"/>
    <w:lsdException w:unhideWhenUsed="0" w:uiPriority="99"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nhideWhenUsed="0" w:uiPriority="0" w:semiHidden="0" w:name="HTML Preformatted"/>
    <w:lsdException w:uiPriority="0" w:name="HTML Sample"/>
    <w:lsdException w:uiPriority="0" w:name="HTML Typewriter"/>
    <w:lsdException w:uiPriority="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link w:val="97"/>
    <w:qFormat/>
    <w:uiPriority w:val="0"/>
    <w:pPr>
      <w:autoSpaceDE w:val="0"/>
      <w:autoSpaceDN w:val="0"/>
      <w:adjustRightInd w:val="0"/>
      <w:spacing w:line="360" w:lineRule="auto"/>
      <w:jc w:val="center"/>
      <w:outlineLvl w:val="0"/>
    </w:pPr>
    <w:rPr>
      <w:rFonts w:ascii="Times New Roman" w:hAnsi="Times New Roman" w:eastAsia="隶书"/>
      <w:b/>
      <w:bCs/>
      <w:kern w:val="0"/>
      <w:sz w:val="36"/>
      <w:szCs w:val="36"/>
    </w:rPr>
  </w:style>
  <w:style w:type="paragraph" w:styleId="4">
    <w:name w:val="heading 2"/>
    <w:basedOn w:val="1"/>
    <w:next w:val="1"/>
    <w:link w:val="68"/>
    <w:qFormat/>
    <w:uiPriority w:val="0"/>
    <w:pPr>
      <w:keepNext/>
      <w:keepLines/>
      <w:spacing w:before="260" w:after="260" w:line="413" w:lineRule="auto"/>
      <w:outlineLvl w:val="1"/>
    </w:pPr>
    <w:rPr>
      <w:rFonts w:ascii="Arial" w:hAnsi="Arial" w:eastAsia="黑体"/>
      <w:b/>
      <w:bCs/>
      <w:sz w:val="32"/>
      <w:szCs w:val="32"/>
    </w:rPr>
  </w:style>
  <w:style w:type="paragraph" w:styleId="5">
    <w:name w:val="heading 3"/>
    <w:basedOn w:val="1"/>
    <w:next w:val="1"/>
    <w:link w:val="69"/>
    <w:qFormat/>
    <w:uiPriority w:val="0"/>
    <w:pPr>
      <w:keepNext/>
      <w:keepLines/>
      <w:spacing w:before="260" w:after="260" w:line="413" w:lineRule="auto"/>
      <w:outlineLvl w:val="2"/>
    </w:pPr>
    <w:rPr>
      <w:rFonts w:ascii="Times New Roman" w:hAnsi="Times New Roman"/>
      <w:b/>
      <w:bCs/>
      <w:sz w:val="32"/>
      <w:szCs w:val="32"/>
    </w:rPr>
  </w:style>
  <w:style w:type="paragraph" w:styleId="6">
    <w:name w:val="heading 4"/>
    <w:basedOn w:val="1"/>
    <w:next w:val="1"/>
    <w:link w:val="70"/>
    <w:qFormat/>
    <w:uiPriority w:val="0"/>
    <w:pPr>
      <w:keepNext/>
      <w:keepLines/>
      <w:spacing w:before="280" w:after="290" w:line="372" w:lineRule="auto"/>
      <w:outlineLvl w:val="3"/>
    </w:pPr>
    <w:rPr>
      <w:rFonts w:ascii="Arial" w:hAnsi="Arial" w:eastAsia="黑体"/>
      <w:b/>
      <w:bCs/>
      <w:sz w:val="28"/>
      <w:szCs w:val="28"/>
    </w:rPr>
  </w:style>
  <w:style w:type="paragraph" w:styleId="7">
    <w:name w:val="heading 5"/>
    <w:basedOn w:val="1"/>
    <w:next w:val="1"/>
    <w:link w:val="71"/>
    <w:qFormat/>
    <w:uiPriority w:val="0"/>
    <w:pPr>
      <w:keepNext/>
      <w:keepLines/>
      <w:spacing w:before="280" w:after="290" w:line="372" w:lineRule="auto"/>
      <w:outlineLvl w:val="4"/>
    </w:pPr>
    <w:rPr>
      <w:rFonts w:ascii="Times New Roman" w:hAnsi="Times New Roman"/>
      <w:b/>
      <w:bCs/>
      <w:sz w:val="28"/>
      <w:szCs w:val="28"/>
    </w:rPr>
  </w:style>
  <w:style w:type="paragraph" w:styleId="8">
    <w:name w:val="heading 6"/>
    <w:basedOn w:val="1"/>
    <w:next w:val="1"/>
    <w:link w:val="72"/>
    <w:qFormat/>
    <w:uiPriority w:val="0"/>
    <w:pPr>
      <w:keepNext/>
      <w:keepLines/>
      <w:spacing w:before="240" w:after="64" w:line="317" w:lineRule="auto"/>
      <w:outlineLvl w:val="5"/>
    </w:pPr>
    <w:rPr>
      <w:rFonts w:ascii="Arial" w:hAnsi="Arial" w:eastAsia="黑体"/>
      <w:b/>
      <w:bCs/>
      <w:sz w:val="24"/>
      <w:szCs w:val="24"/>
    </w:rPr>
  </w:style>
  <w:style w:type="character" w:default="1" w:styleId="36">
    <w:name w:val="Default Paragraph Font"/>
    <w:semiHidden/>
    <w:unhideWhenUsed/>
    <w:uiPriority w:val="1"/>
  </w:style>
  <w:style w:type="table" w:default="1" w:styleId="44">
    <w:name w:val="Normal Table"/>
    <w:semiHidden/>
    <w:unhideWhenUsed/>
    <w:uiPriority w:val="99"/>
    <w:tblPr>
      <w:tblLayout w:type="fixed"/>
      <w:tblCellMar>
        <w:top w:w="0" w:type="dxa"/>
        <w:left w:w="108" w:type="dxa"/>
        <w:bottom w:w="0" w:type="dxa"/>
        <w:right w:w="108" w:type="dxa"/>
      </w:tblCellMar>
    </w:tblPr>
  </w:style>
  <w:style w:type="paragraph" w:styleId="2">
    <w:name w:val="Body Text Indent 2"/>
    <w:basedOn w:val="1"/>
    <w:link w:val="155"/>
    <w:qFormat/>
    <w:uiPriority w:val="99"/>
    <w:pPr>
      <w:spacing w:after="120" w:line="480" w:lineRule="auto"/>
      <w:ind w:left="420" w:leftChars="200"/>
    </w:pPr>
  </w:style>
  <w:style w:type="paragraph" w:styleId="9">
    <w:name w:val="annotation subject"/>
    <w:basedOn w:val="10"/>
    <w:next w:val="10"/>
    <w:link w:val="57"/>
    <w:qFormat/>
    <w:uiPriority w:val="0"/>
    <w:rPr>
      <w:b/>
      <w:bCs/>
    </w:rPr>
  </w:style>
  <w:style w:type="paragraph" w:styleId="10">
    <w:name w:val="annotation text"/>
    <w:basedOn w:val="1"/>
    <w:link w:val="56"/>
    <w:qFormat/>
    <w:uiPriority w:val="99"/>
    <w:pPr>
      <w:jc w:val="left"/>
    </w:pPr>
  </w:style>
  <w:style w:type="paragraph" w:styleId="11">
    <w:name w:val="Body Text First Indent"/>
    <w:basedOn w:val="12"/>
    <w:link w:val="114"/>
    <w:uiPriority w:val="0"/>
    <w:pPr>
      <w:ind w:firstLine="420" w:firstLineChars="100"/>
    </w:pPr>
    <w:rPr>
      <w:szCs w:val="22"/>
    </w:rPr>
  </w:style>
  <w:style w:type="paragraph" w:styleId="12">
    <w:name w:val="Body Text"/>
    <w:basedOn w:val="1"/>
    <w:link w:val="113"/>
    <w:unhideWhenUsed/>
    <w:uiPriority w:val="0"/>
    <w:pPr>
      <w:spacing w:after="120"/>
    </w:pPr>
  </w:style>
  <w:style w:type="paragraph" w:styleId="13">
    <w:name w:val="List Number"/>
    <w:basedOn w:val="1"/>
    <w:uiPriority w:val="0"/>
    <w:pPr>
      <w:widowControl/>
      <w:tabs>
        <w:tab w:val="left" w:pos="454"/>
        <w:tab w:val="left" w:pos="720"/>
      </w:tabs>
      <w:spacing w:afterLines="50"/>
      <w:ind w:left="454" w:hanging="284"/>
      <w:jc w:val="left"/>
    </w:pPr>
    <w:rPr>
      <w:rFonts w:ascii="Times New Roman" w:hAnsi="Times New Roman"/>
      <w:kern w:val="0"/>
      <w:sz w:val="24"/>
    </w:rPr>
  </w:style>
  <w:style w:type="paragraph" w:styleId="14">
    <w:name w:val="Normal Indent"/>
    <w:basedOn w:val="1"/>
    <w:link w:val="82"/>
    <w:uiPriority w:val="0"/>
    <w:pPr>
      <w:ind w:firstLine="420"/>
    </w:pPr>
    <w:rPr>
      <w:rFonts w:ascii="Times New Roman" w:hAnsi="Times New Roman"/>
    </w:rPr>
  </w:style>
  <w:style w:type="paragraph" w:styleId="15">
    <w:name w:val="caption"/>
    <w:basedOn w:val="1"/>
    <w:next w:val="1"/>
    <w:qFormat/>
    <w:uiPriority w:val="0"/>
    <w:pPr>
      <w:spacing w:before="152" w:after="160"/>
    </w:pPr>
    <w:rPr>
      <w:rFonts w:ascii="Arial" w:hAnsi="Arial" w:eastAsia="黑体" w:cs="Arial"/>
      <w:sz w:val="20"/>
    </w:rPr>
  </w:style>
  <w:style w:type="paragraph" w:styleId="16">
    <w:name w:val="Document Map"/>
    <w:basedOn w:val="1"/>
    <w:link w:val="79"/>
    <w:uiPriority w:val="0"/>
    <w:rPr>
      <w:rFonts w:ascii="宋体" w:hAnsi="Times New Roman"/>
      <w:sz w:val="18"/>
      <w:szCs w:val="18"/>
    </w:rPr>
  </w:style>
  <w:style w:type="paragraph" w:styleId="17">
    <w:name w:val="Body Text 3"/>
    <w:basedOn w:val="1"/>
    <w:link w:val="129"/>
    <w:uiPriority w:val="0"/>
    <w:pPr>
      <w:snapToGrid w:val="0"/>
      <w:spacing w:before="50" w:after="50"/>
    </w:pPr>
    <w:rPr>
      <w:rFonts w:ascii="Times New Roman" w:hAnsi="宋体" w:eastAsia="仿宋_GB2312"/>
      <w:b/>
      <w:bCs/>
      <w:sz w:val="24"/>
    </w:rPr>
  </w:style>
  <w:style w:type="paragraph" w:styleId="18">
    <w:name w:val="Body Text Indent"/>
    <w:basedOn w:val="1"/>
    <w:qFormat/>
    <w:uiPriority w:val="0"/>
    <w:pPr>
      <w:spacing w:after="120"/>
      <w:ind w:left="420" w:leftChars="200"/>
    </w:pPr>
  </w:style>
  <w:style w:type="paragraph" w:styleId="19">
    <w:name w:val="List Number 3"/>
    <w:basedOn w:val="1"/>
    <w:uiPriority w:val="0"/>
    <w:pPr>
      <w:tabs>
        <w:tab w:val="left" w:pos="1200"/>
      </w:tabs>
      <w:ind w:left="1200" w:hanging="360"/>
    </w:pPr>
    <w:rPr>
      <w:rFonts w:ascii="Times New Roman" w:hAnsi="Times New Roman"/>
      <w:szCs w:val="24"/>
    </w:rPr>
  </w:style>
  <w:style w:type="paragraph" w:styleId="20">
    <w:name w:val="List 2"/>
    <w:basedOn w:val="1"/>
    <w:uiPriority w:val="0"/>
    <w:pPr>
      <w:ind w:left="100" w:leftChars="200" w:hanging="200" w:hangingChars="200"/>
    </w:pPr>
    <w:rPr>
      <w:rFonts w:ascii="Times New Roman" w:hAnsi="Times New Roman"/>
      <w:sz w:val="28"/>
      <w:szCs w:val="24"/>
    </w:rPr>
  </w:style>
  <w:style w:type="paragraph" w:styleId="21">
    <w:name w:val="List Continue"/>
    <w:basedOn w:val="1"/>
    <w:qFormat/>
    <w:uiPriority w:val="0"/>
    <w:pPr>
      <w:snapToGrid w:val="0"/>
      <w:spacing w:after="120" w:line="360" w:lineRule="auto"/>
      <w:ind w:left="420" w:leftChars="200"/>
      <w:contextualSpacing/>
    </w:pPr>
    <w:rPr>
      <w:rFonts w:ascii="宋体" w:hAnsi="宋体"/>
      <w:color w:val="000000"/>
      <w:szCs w:val="21"/>
    </w:rPr>
  </w:style>
  <w:style w:type="paragraph" w:styleId="22">
    <w:name w:val="Plain Text"/>
    <w:basedOn w:val="1"/>
    <w:link w:val="54"/>
    <w:unhideWhenUsed/>
    <w:qFormat/>
    <w:uiPriority w:val="0"/>
    <w:pPr>
      <w:widowControl/>
      <w:adjustRightInd w:val="0"/>
      <w:snapToGrid w:val="0"/>
      <w:ind w:firstLine="200" w:firstLineChars="200"/>
      <w:jc w:val="left"/>
    </w:pPr>
    <w:rPr>
      <w:rFonts w:ascii="宋体" w:hAnsi="Courier New"/>
      <w:kern w:val="0"/>
      <w:sz w:val="22"/>
      <w:szCs w:val="24"/>
    </w:rPr>
  </w:style>
  <w:style w:type="paragraph" w:styleId="23">
    <w:name w:val="Date"/>
    <w:basedOn w:val="1"/>
    <w:next w:val="1"/>
    <w:link w:val="134"/>
    <w:uiPriority w:val="0"/>
    <w:pPr>
      <w:ind w:left="2500" w:leftChars="2500"/>
    </w:pPr>
    <w:rPr>
      <w:rFonts w:ascii="Times New Roman" w:hAnsi="Times New Roman" w:eastAsia="楷体_GB2312"/>
      <w:sz w:val="32"/>
    </w:rPr>
  </w:style>
  <w:style w:type="paragraph" w:styleId="24">
    <w:name w:val="Balloon Text"/>
    <w:basedOn w:val="1"/>
    <w:qFormat/>
    <w:uiPriority w:val="0"/>
    <w:rPr>
      <w:sz w:val="18"/>
      <w:szCs w:val="18"/>
    </w:rPr>
  </w:style>
  <w:style w:type="paragraph" w:styleId="25">
    <w:name w:val="footer"/>
    <w:basedOn w:val="1"/>
    <w:link w:val="53"/>
    <w:qFormat/>
    <w:uiPriority w:val="99"/>
    <w:pPr>
      <w:tabs>
        <w:tab w:val="center" w:pos="4153"/>
        <w:tab w:val="right" w:pos="8306"/>
      </w:tabs>
      <w:snapToGrid w:val="0"/>
      <w:jc w:val="left"/>
    </w:pPr>
    <w:rPr>
      <w:sz w:val="18"/>
    </w:rPr>
  </w:style>
  <w:style w:type="paragraph" w:styleId="26">
    <w:name w:val="header"/>
    <w:basedOn w:val="1"/>
    <w:link w:val="52"/>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27">
    <w:name w:val="toc 1"/>
    <w:basedOn w:val="1"/>
    <w:next w:val="1"/>
    <w:uiPriority w:val="39"/>
    <w:rPr>
      <w:rFonts w:ascii="Times New Roman" w:hAnsi="Times New Roman"/>
      <w:szCs w:val="24"/>
    </w:rPr>
  </w:style>
  <w:style w:type="paragraph" w:styleId="28">
    <w:name w:val="List"/>
    <w:basedOn w:val="1"/>
    <w:qFormat/>
    <w:uiPriority w:val="0"/>
    <w:pPr>
      <w:tabs>
        <w:tab w:val="left" w:pos="360"/>
        <w:tab w:val="left" w:pos="425"/>
        <w:tab w:val="left" w:pos="709"/>
      </w:tabs>
      <w:snapToGrid w:val="0"/>
      <w:spacing w:line="300" w:lineRule="auto"/>
    </w:pPr>
    <w:rPr>
      <w:rFonts w:ascii="宋体" w:hAnsi="宋体"/>
      <w:color w:val="000000"/>
      <w:spacing w:val="20"/>
    </w:rPr>
  </w:style>
  <w:style w:type="paragraph" w:styleId="29">
    <w:name w:val="footnote text"/>
    <w:basedOn w:val="1"/>
    <w:link w:val="107"/>
    <w:semiHidden/>
    <w:uiPriority w:val="0"/>
    <w:pPr>
      <w:snapToGrid w:val="0"/>
      <w:jc w:val="left"/>
    </w:pPr>
    <w:rPr>
      <w:rFonts w:ascii="Times New Roman" w:hAnsi="Times New Roman"/>
      <w:sz w:val="18"/>
      <w:szCs w:val="18"/>
    </w:rPr>
  </w:style>
  <w:style w:type="paragraph" w:styleId="30">
    <w:name w:val="Body Text Indent 3"/>
    <w:basedOn w:val="1"/>
    <w:qFormat/>
    <w:uiPriority w:val="0"/>
    <w:pPr>
      <w:spacing w:line="360" w:lineRule="auto"/>
      <w:ind w:firstLine="480" w:firstLineChars="200"/>
    </w:pPr>
    <w:rPr>
      <w:rFonts w:ascii="华文宋体" w:hAnsi="华文宋体" w:eastAsia="华文宋体"/>
      <w:sz w:val="24"/>
    </w:rPr>
  </w:style>
  <w:style w:type="paragraph" w:styleId="31">
    <w:name w:val="toc 2"/>
    <w:basedOn w:val="1"/>
    <w:next w:val="1"/>
    <w:uiPriority w:val="39"/>
    <w:pPr>
      <w:ind w:left="420" w:leftChars="200"/>
    </w:pPr>
    <w:rPr>
      <w:rFonts w:ascii="Times New Roman" w:hAnsi="Times New Roman"/>
      <w:szCs w:val="22"/>
    </w:rPr>
  </w:style>
  <w:style w:type="paragraph" w:styleId="32">
    <w:name w:val="Body Text 2"/>
    <w:basedOn w:val="1"/>
    <w:link w:val="123"/>
    <w:uiPriority w:val="0"/>
    <w:pPr>
      <w:widowControl/>
      <w:snapToGrid w:val="0"/>
      <w:spacing w:before="50" w:afterLines="50" w:line="400" w:lineRule="exact"/>
      <w:jc w:val="left"/>
    </w:pPr>
    <w:rPr>
      <w:rFonts w:ascii="宋体" w:hAnsi="宋体"/>
      <w:color w:val="000000"/>
      <w:sz w:val="24"/>
      <w:szCs w:val="24"/>
    </w:rPr>
  </w:style>
  <w:style w:type="paragraph" w:styleId="33">
    <w:name w:val="HTML Preformatted"/>
    <w:basedOn w:val="1"/>
    <w:link w:val="106"/>
    <w:uiPriority w:val="0"/>
    <w:rPr>
      <w:rFonts w:ascii="Courier New" w:hAnsi="Courier New"/>
      <w:sz w:val="20"/>
    </w:rPr>
  </w:style>
  <w:style w:type="paragraph" w:styleId="34">
    <w:name w:val="Normal (Web)"/>
    <w:basedOn w:val="1"/>
    <w:qFormat/>
    <w:uiPriority w:val="0"/>
    <w:rPr>
      <w:sz w:val="24"/>
    </w:rPr>
  </w:style>
  <w:style w:type="paragraph" w:styleId="35">
    <w:name w:val="Title"/>
    <w:basedOn w:val="1"/>
    <w:next w:val="1"/>
    <w:link w:val="87"/>
    <w:qFormat/>
    <w:uiPriority w:val="0"/>
    <w:pPr>
      <w:spacing w:before="240" w:after="60"/>
      <w:jc w:val="center"/>
      <w:outlineLvl w:val="0"/>
    </w:pPr>
    <w:rPr>
      <w:rFonts w:ascii="Cambria" w:hAnsi="Cambria"/>
      <w:b/>
      <w:bCs/>
      <w:kern w:val="0"/>
      <w:sz w:val="32"/>
      <w:szCs w:val="32"/>
    </w:rPr>
  </w:style>
  <w:style w:type="character" w:styleId="37">
    <w:name w:val="Strong"/>
    <w:qFormat/>
    <w:uiPriority w:val="0"/>
    <w:rPr>
      <w:b/>
      <w:bCs/>
    </w:rPr>
  </w:style>
  <w:style w:type="character" w:styleId="38">
    <w:name w:val="page number"/>
    <w:basedOn w:val="36"/>
    <w:qFormat/>
    <w:uiPriority w:val="0"/>
  </w:style>
  <w:style w:type="character" w:styleId="39">
    <w:name w:val="FollowedHyperlink"/>
    <w:uiPriority w:val="99"/>
    <w:rPr>
      <w:color w:val="800080"/>
      <w:u w:val="single"/>
    </w:rPr>
  </w:style>
  <w:style w:type="character" w:styleId="40">
    <w:name w:val="Emphasis"/>
    <w:qFormat/>
    <w:uiPriority w:val="0"/>
    <w:rPr>
      <w:color w:val="CC0033"/>
    </w:rPr>
  </w:style>
  <w:style w:type="character" w:styleId="41">
    <w:name w:val="Hyperlink"/>
    <w:qFormat/>
    <w:uiPriority w:val="99"/>
    <w:rPr>
      <w:color w:val="0563C1"/>
      <w:u w:val="single"/>
    </w:rPr>
  </w:style>
  <w:style w:type="character" w:styleId="42">
    <w:name w:val="annotation reference"/>
    <w:basedOn w:val="36"/>
    <w:qFormat/>
    <w:uiPriority w:val="99"/>
    <w:rPr>
      <w:sz w:val="21"/>
      <w:szCs w:val="21"/>
    </w:rPr>
  </w:style>
  <w:style w:type="character" w:styleId="43">
    <w:name w:val="footnote reference"/>
    <w:semiHidden/>
    <w:uiPriority w:val="0"/>
    <w:rPr>
      <w:vertAlign w:val="superscript"/>
    </w:rPr>
  </w:style>
  <w:style w:type="table" w:styleId="45">
    <w:name w:val="Table Grid"/>
    <w:basedOn w:val="44"/>
    <w:qFormat/>
    <w:uiPriority w:val="59"/>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46">
    <w:name w:val="样式2"/>
    <w:basedOn w:val="26"/>
    <w:link w:val="55"/>
    <w:qFormat/>
    <w:uiPriority w:val="0"/>
    <w:pPr>
      <w:pBdr>
        <w:top w:val="none" w:color="auto" w:sz="0" w:space="0"/>
        <w:left w:val="none" w:color="auto" w:sz="0" w:space="0"/>
        <w:bottom w:val="single" w:color="auto" w:sz="6" w:space="1"/>
        <w:right w:val="none" w:color="auto" w:sz="0" w:space="0"/>
      </w:pBdr>
      <w:jc w:val="center"/>
    </w:pPr>
    <w:rPr>
      <w:szCs w:val="24"/>
    </w:rPr>
  </w:style>
  <w:style w:type="paragraph" w:customStyle="1" w:styleId="47">
    <w:name w:val="1_0"/>
    <w:basedOn w:val="1"/>
    <w:next w:val="48"/>
    <w:qFormat/>
    <w:uiPriority w:val="0"/>
    <w:rPr>
      <w:rFonts w:ascii="宋体" w:hAnsi="Courier New"/>
      <w:szCs w:val="22"/>
    </w:rPr>
  </w:style>
  <w:style w:type="paragraph" w:customStyle="1" w:styleId="48">
    <w:name w:val="纯文本1"/>
    <w:basedOn w:val="1"/>
    <w:qFormat/>
    <w:uiPriority w:val="0"/>
    <w:pPr>
      <w:widowControl/>
      <w:jc w:val="left"/>
    </w:pPr>
    <w:rPr>
      <w:rFonts w:ascii="宋体" w:hAnsi="Courier New" w:eastAsia="微软雅黑"/>
      <w:kern w:val="0"/>
      <w:sz w:val="20"/>
      <w:szCs w:val="21"/>
    </w:rPr>
  </w:style>
  <w:style w:type="paragraph" w:customStyle="1" w:styleId="49">
    <w:name w:val="无间隔1"/>
    <w:unhideWhenUsed/>
    <w:qFormat/>
    <w:uiPriority w:val="99"/>
    <w:pPr>
      <w:adjustRightInd w:val="0"/>
      <w:snapToGrid w:val="0"/>
    </w:pPr>
    <w:rPr>
      <w:rFonts w:ascii="Tahoma" w:hAnsi="Tahoma" w:eastAsia="微软雅黑" w:cs="Times New Roman"/>
      <w:sz w:val="22"/>
      <w:lang w:val="en-US" w:eastAsia="zh-CN" w:bidi="ar-SA"/>
    </w:rPr>
  </w:style>
  <w:style w:type="paragraph" w:customStyle="1" w:styleId="50">
    <w:name w:val="列出段落1"/>
    <w:basedOn w:val="1"/>
    <w:link w:val="74"/>
    <w:unhideWhenUsed/>
    <w:qFormat/>
    <w:uiPriority w:val="99"/>
    <w:pPr>
      <w:ind w:firstLine="420" w:firstLineChars="200"/>
    </w:pPr>
    <w:rPr>
      <w:szCs w:val="24"/>
    </w:rPr>
  </w:style>
  <w:style w:type="paragraph" w:styleId="51">
    <w:name w:val="List Paragraph"/>
    <w:basedOn w:val="1"/>
    <w:link w:val="94"/>
    <w:unhideWhenUsed/>
    <w:qFormat/>
    <w:uiPriority w:val="34"/>
    <w:pPr>
      <w:ind w:firstLine="420" w:firstLineChars="200"/>
    </w:pPr>
    <w:rPr>
      <w:szCs w:val="24"/>
    </w:rPr>
  </w:style>
  <w:style w:type="character" w:customStyle="1" w:styleId="52">
    <w:name w:val="页眉 Char"/>
    <w:link w:val="26"/>
    <w:qFormat/>
    <w:uiPriority w:val="0"/>
    <w:rPr>
      <w:rFonts w:eastAsia="宋体"/>
      <w:kern w:val="2"/>
      <w:sz w:val="18"/>
      <w:lang w:val="en-US" w:eastAsia="zh-CN" w:bidi="ar-SA"/>
    </w:rPr>
  </w:style>
  <w:style w:type="character" w:customStyle="1" w:styleId="53">
    <w:name w:val="页脚 Char"/>
    <w:link w:val="25"/>
    <w:qFormat/>
    <w:uiPriority w:val="99"/>
    <w:rPr>
      <w:rFonts w:eastAsia="宋体"/>
      <w:kern w:val="2"/>
      <w:sz w:val="18"/>
      <w:lang w:val="en-US" w:eastAsia="zh-CN" w:bidi="ar-SA"/>
    </w:rPr>
  </w:style>
  <w:style w:type="character" w:customStyle="1" w:styleId="54">
    <w:name w:val="纯文本 Char"/>
    <w:link w:val="22"/>
    <w:qFormat/>
    <w:uiPriority w:val="0"/>
    <w:rPr>
      <w:rFonts w:ascii="宋体" w:hAnsi="Courier New"/>
      <w:sz w:val="22"/>
      <w:szCs w:val="24"/>
    </w:rPr>
  </w:style>
  <w:style w:type="character" w:customStyle="1" w:styleId="55">
    <w:name w:val="样式2 Char"/>
    <w:link w:val="46"/>
    <w:qFormat/>
    <w:uiPriority w:val="0"/>
    <w:rPr>
      <w:rFonts w:eastAsia="宋体"/>
      <w:kern w:val="2"/>
      <w:sz w:val="18"/>
      <w:szCs w:val="24"/>
      <w:lang w:val="en-US" w:eastAsia="zh-CN" w:bidi="ar-SA"/>
    </w:rPr>
  </w:style>
  <w:style w:type="character" w:customStyle="1" w:styleId="56">
    <w:name w:val="批注文字 Char"/>
    <w:basedOn w:val="36"/>
    <w:link w:val="10"/>
    <w:qFormat/>
    <w:uiPriority w:val="99"/>
    <w:rPr>
      <w:rFonts w:ascii="Calibri" w:hAnsi="Calibri"/>
      <w:kern w:val="2"/>
      <w:sz w:val="21"/>
    </w:rPr>
  </w:style>
  <w:style w:type="character" w:customStyle="1" w:styleId="57">
    <w:name w:val="批注主题 Char"/>
    <w:basedOn w:val="56"/>
    <w:link w:val="9"/>
    <w:qFormat/>
    <w:uiPriority w:val="0"/>
    <w:rPr>
      <w:rFonts w:ascii="Calibri" w:hAnsi="Calibri"/>
      <w:b/>
      <w:bCs/>
      <w:kern w:val="2"/>
      <w:sz w:val="21"/>
    </w:rPr>
  </w:style>
  <w:style w:type="paragraph" w:customStyle="1" w:styleId="58">
    <w:name w:val="修订1"/>
    <w:hidden/>
    <w:unhideWhenUsed/>
    <w:qFormat/>
    <w:uiPriority w:val="99"/>
    <w:rPr>
      <w:rFonts w:ascii="Calibri" w:hAnsi="Calibri" w:eastAsia="宋体" w:cs="Times New Roman"/>
      <w:kern w:val="2"/>
      <w:sz w:val="21"/>
      <w:lang w:val="en-US" w:eastAsia="zh-CN" w:bidi="ar-SA"/>
    </w:rPr>
  </w:style>
  <w:style w:type="paragraph" w:customStyle="1" w:styleId="59">
    <w:name w:val="修订2"/>
    <w:hidden/>
    <w:unhideWhenUsed/>
    <w:qFormat/>
    <w:uiPriority w:val="99"/>
    <w:rPr>
      <w:rFonts w:ascii="Calibri" w:hAnsi="Calibri" w:eastAsia="宋体" w:cs="Times New Roman"/>
      <w:kern w:val="2"/>
      <w:sz w:val="21"/>
      <w:lang w:val="en-US" w:eastAsia="zh-CN" w:bidi="ar-SA"/>
    </w:rPr>
  </w:style>
  <w:style w:type="character" w:customStyle="1" w:styleId="60">
    <w:name w:val="文一 Char"/>
    <w:link w:val="61"/>
    <w:qFormat/>
    <w:uiPriority w:val="0"/>
    <w:rPr>
      <w:snapToGrid w:val="0"/>
      <w:spacing w:val="4"/>
      <w:sz w:val="24"/>
      <w:szCs w:val="24"/>
    </w:rPr>
  </w:style>
  <w:style w:type="paragraph" w:customStyle="1" w:styleId="61">
    <w:name w:val="文一"/>
    <w:link w:val="60"/>
    <w:qFormat/>
    <w:uiPriority w:val="0"/>
    <w:pPr>
      <w:topLinePunct/>
      <w:adjustRightInd w:val="0"/>
      <w:snapToGrid w:val="0"/>
      <w:spacing w:line="360" w:lineRule="auto"/>
      <w:ind w:firstLine="200" w:firstLineChars="200"/>
    </w:pPr>
    <w:rPr>
      <w:rFonts w:ascii="Times New Roman" w:hAnsi="Times New Roman" w:eastAsia="宋体" w:cs="Times New Roman"/>
      <w:snapToGrid w:val="0"/>
      <w:spacing w:val="4"/>
      <w:sz w:val="24"/>
      <w:szCs w:val="24"/>
      <w:lang w:val="en-US" w:eastAsia="zh-CN" w:bidi="ar-SA"/>
    </w:rPr>
  </w:style>
  <w:style w:type="character" w:customStyle="1" w:styleId="62">
    <w:name w:val="font01"/>
    <w:basedOn w:val="36"/>
    <w:qFormat/>
    <w:uiPriority w:val="0"/>
    <w:rPr>
      <w:rFonts w:hint="eastAsia" w:ascii="宋体" w:hAnsi="宋体" w:eastAsia="宋体" w:cs="宋体"/>
      <w:color w:val="000000"/>
      <w:sz w:val="24"/>
      <w:szCs w:val="24"/>
      <w:u w:val="none"/>
    </w:rPr>
  </w:style>
  <w:style w:type="character" w:customStyle="1" w:styleId="63">
    <w:name w:val="font41"/>
    <w:basedOn w:val="36"/>
    <w:qFormat/>
    <w:uiPriority w:val="0"/>
    <w:rPr>
      <w:rFonts w:hint="eastAsia" w:ascii="宋体" w:hAnsi="宋体" w:eastAsia="宋体" w:cs="宋体"/>
      <w:color w:val="FF0000"/>
      <w:sz w:val="22"/>
      <w:szCs w:val="22"/>
      <w:u w:val="none"/>
    </w:rPr>
  </w:style>
  <w:style w:type="character" w:customStyle="1" w:styleId="64">
    <w:name w:val="font21"/>
    <w:basedOn w:val="36"/>
    <w:qFormat/>
    <w:uiPriority w:val="0"/>
    <w:rPr>
      <w:rFonts w:hint="eastAsia" w:ascii="宋体" w:hAnsi="宋体" w:eastAsia="宋体" w:cs="宋体"/>
      <w:color w:val="000000"/>
      <w:sz w:val="22"/>
      <w:szCs w:val="22"/>
      <w:u w:val="none"/>
    </w:rPr>
  </w:style>
  <w:style w:type="character" w:customStyle="1" w:styleId="65">
    <w:name w:val="font11"/>
    <w:basedOn w:val="36"/>
    <w:uiPriority w:val="0"/>
    <w:rPr>
      <w:rFonts w:hint="eastAsia" w:ascii="宋体" w:hAnsi="宋体" w:eastAsia="宋体" w:cs="宋体"/>
      <w:b/>
      <w:color w:val="000000"/>
      <w:sz w:val="18"/>
      <w:szCs w:val="18"/>
      <w:u w:val="none"/>
    </w:rPr>
  </w:style>
  <w:style w:type="character" w:customStyle="1" w:styleId="66">
    <w:name w:val="font31"/>
    <w:basedOn w:val="36"/>
    <w:uiPriority w:val="0"/>
    <w:rPr>
      <w:rFonts w:hint="eastAsia" w:ascii="宋体" w:hAnsi="宋体" w:eastAsia="宋体" w:cs="宋体"/>
      <w:color w:val="000000"/>
      <w:sz w:val="18"/>
      <w:szCs w:val="18"/>
      <w:u w:val="none"/>
    </w:rPr>
  </w:style>
  <w:style w:type="character" w:customStyle="1" w:styleId="67">
    <w:name w:val="标题 1 Char"/>
    <w:basedOn w:val="36"/>
    <w:uiPriority w:val="0"/>
    <w:rPr>
      <w:rFonts w:ascii="Calibri" w:hAnsi="Calibri"/>
      <w:b/>
      <w:bCs/>
      <w:kern w:val="44"/>
      <w:sz w:val="44"/>
      <w:szCs w:val="44"/>
    </w:rPr>
  </w:style>
  <w:style w:type="character" w:customStyle="1" w:styleId="68">
    <w:name w:val="标题 2 Char"/>
    <w:basedOn w:val="36"/>
    <w:link w:val="4"/>
    <w:uiPriority w:val="0"/>
    <w:rPr>
      <w:rFonts w:ascii="Arial" w:hAnsi="Arial" w:eastAsia="黑体"/>
      <w:b/>
      <w:bCs/>
      <w:kern w:val="2"/>
      <w:sz w:val="32"/>
      <w:szCs w:val="32"/>
    </w:rPr>
  </w:style>
  <w:style w:type="character" w:customStyle="1" w:styleId="69">
    <w:name w:val="标题 3 Char"/>
    <w:basedOn w:val="36"/>
    <w:link w:val="5"/>
    <w:uiPriority w:val="0"/>
    <w:rPr>
      <w:b/>
      <w:bCs/>
      <w:kern w:val="2"/>
      <w:sz w:val="32"/>
      <w:szCs w:val="32"/>
    </w:rPr>
  </w:style>
  <w:style w:type="character" w:customStyle="1" w:styleId="70">
    <w:name w:val="标题 4 Char"/>
    <w:basedOn w:val="36"/>
    <w:link w:val="6"/>
    <w:uiPriority w:val="0"/>
    <w:rPr>
      <w:rFonts w:ascii="Arial" w:hAnsi="Arial" w:eastAsia="黑体"/>
      <w:b/>
      <w:bCs/>
      <w:kern w:val="2"/>
      <w:sz w:val="28"/>
      <w:szCs w:val="28"/>
    </w:rPr>
  </w:style>
  <w:style w:type="character" w:customStyle="1" w:styleId="71">
    <w:name w:val="标题 5 Char"/>
    <w:basedOn w:val="36"/>
    <w:link w:val="7"/>
    <w:uiPriority w:val="0"/>
    <w:rPr>
      <w:b/>
      <w:bCs/>
      <w:kern w:val="2"/>
      <w:sz w:val="28"/>
      <w:szCs w:val="28"/>
    </w:rPr>
  </w:style>
  <w:style w:type="character" w:customStyle="1" w:styleId="72">
    <w:name w:val="标题 6 Char"/>
    <w:basedOn w:val="36"/>
    <w:link w:val="8"/>
    <w:uiPriority w:val="0"/>
    <w:rPr>
      <w:rFonts w:ascii="Arial" w:hAnsi="Arial" w:eastAsia="黑体"/>
      <w:b/>
      <w:bCs/>
      <w:kern w:val="2"/>
      <w:sz w:val="24"/>
      <w:szCs w:val="24"/>
    </w:rPr>
  </w:style>
  <w:style w:type="character" w:customStyle="1" w:styleId="73">
    <w:name w:val="apple-style-span"/>
    <w:uiPriority w:val="0"/>
  </w:style>
  <w:style w:type="character" w:customStyle="1" w:styleId="74">
    <w:name w:val="列出段落1 Char"/>
    <w:link w:val="50"/>
    <w:uiPriority w:val="0"/>
    <w:rPr>
      <w:rFonts w:ascii="Calibri" w:hAnsi="Calibri"/>
      <w:kern w:val="2"/>
      <w:sz w:val="21"/>
      <w:szCs w:val="24"/>
    </w:rPr>
  </w:style>
  <w:style w:type="character" w:customStyle="1" w:styleId="75">
    <w:name w:val="正文2 Char Char"/>
    <w:uiPriority w:val="0"/>
    <w:rPr>
      <w:rFonts w:eastAsia="宋体"/>
      <w:sz w:val="24"/>
    </w:rPr>
  </w:style>
  <w:style w:type="character" w:customStyle="1" w:styleId="76">
    <w:name w:val="para"/>
    <w:basedOn w:val="36"/>
    <w:uiPriority w:val="0"/>
  </w:style>
  <w:style w:type="character" w:customStyle="1" w:styleId="77">
    <w:name w:val="样式1 Char"/>
    <w:link w:val="78"/>
    <w:uiPriority w:val="0"/>
    <w:rPr>
      <w:rFonts w:ascii="Arial" w:hAnsi="Arial"/>
      <w:kern w:val="2"/>
      <w:sz w:val="21"/>
    </w:rPr>
  </w:style>
  <w:style w:type="paragraph" w:customStyle="1" w:styleId="78">
    <w:name w:val="样式1"/>
    <w:basedOn w:val="1"/>
    <w:link w:val="77"/>
    <w:uiPriority w:val="0"/>
    <w:pPr>
      <w:spacing w:line="360" w:lineRule="exact"/>
      <w:ind w:firstLine="200" w:firstLineChars="200"/>
    </w:pPr>
    <w:rPr>
      <w:rFonts w:ascii="Arial" w:hAnsi="Arial"/>
    </w:rPr>
  </w:style>
  <w:style w:type="character" w:customStyle="1" w:styleId="79">
    <w:name w:val="文档结构图 Char"/>
    <w:link w:val="16"/>
    <w:uiPriority w:val="0"/>
    <w:rPr>
      <w:rFonts w:ascii="宋体"/>
      <w:kern w:val="2"/>
      <w:sz w:val="18"/>
      <w:szCs w:val="18"/>
    </w:rPr>
  </w:style>
  <w:style w:type="character" w:customStyle="1" w:styleId="80">
    <w:name w:val="heading 1 Char2"/>
    <w:uiPriority w:val="0"/>
    <w:rPr>
      <w:rFonts w:ascii="仿宋_GB2312" w:eastAsia="仿宋_GB2312"/>
      <w:b/>
      <w:bCs/>
      <w:kern w:val="44"/>
      <w:sz w:val="44"/>
      <w:szCs w:val="44"/>
    </w:rPr>
  </w:style>
  <w:style w:type="character" w:customStyle="1" w:styleId="81">
    <w:name w:val="Char Char1"/>
    <w:uiPriority w:val="0"/>
    <w:rPr>
      <w:kern w:val="2"/>
      <w:sz w:val="18"/>
      <w:szCs w:val="18"/>
    </w:rPr>
  </w:style>
  <w:style w:type="character" w:customStyle="1" w:styleId="82">
    <w:name w:val="正文缩进 Char"/>
    <w:link w:val="14"/>
    <w:uiPriority w:val="0"/>
    <w:rPr>
      <w:kern w:val="2"/>
      <w:sz w:val="21"/>
    </w:rPr>
  </w:style>
  <w:style w:type="character" w:customStyle="1" w:styleId="83">
    <w:name w:val="normal_text"/>
    <w:basedOn w:val="36"/>
    <w:uiPriority w:val="0"/>
  </w:style>
  <w:style w:type="character" w:customStyle="1" w:styleId="84">
    <w:name w:val="Char Char"/>
    <w:uiPriority w:val="0"/>
    <w:rPr>
      <w:rFonts w:ascii="宋体" w:hAnsi="Courier New" w:eastAsia="宋体"/>
      <w:kern w:val="2"/>
      <w:sz w:val="21"/>
      <w:lang w:val="en-US" w:eastAsia="zh-CN" w:bidi="ar-SA"/>
    </w:rPr>
  </w:style>
  <w:style w:type="character" w:customStyle="1" w:styleId="85">
    <w:name w:val="maywed421"/>
    <w:uiPriority w:val="0"/>
    <w:rPr>
      <w:color w:val="366FB6"/>
      <w:u w:val="none"/>
    </w:rPr>
  </w:style>
  <w:style w:type="character" w:customStyle="1" w:styleId="86">
    <w:name w:val="spelle"/>
    <w:basedOn w:val="36"/>
    <w:uiPriority w:val="0"/>
  </w:style>
  <w:style w:type="character" w:customStyle="1" w:styleId="87">
    <w:name w:val="标题 Char"/>
    <w:link w:val="35"/>
    <w:uiPriority w:val="0"/>
    <w:rPr>
      <w:rFonts w:ascii="Cambria" w:hAnsi="Cambria"/>
      <w:b/>
      <w:bCs/>
      <w:sz w:val="32"/>
      <w:szCs w:val="32"/>
    </w:rPr>
  </w:style>
  <w:style w:type="character" w:customStyle="1" w:styleId="88">
    <w:name w:val="正文2 Char"/>
    <w:link w:val="89"/>
    <w:uiPriority w:val="0"/>
    <w:rPr>
      <w:sz w:val="24"/>
      <w:szCs w:val="22"/>
    </w:rPr>
  </w:style>
  <w:style w:type="paragraph" w:customStyle="1" w:styleId="89">
    <w:name w:val="正文2"/>
    <w:next w:val="27"/>
    <w:link w:val="88"/>
    <w:uiPriority w:val="0"/>
    <w:pPr>
      <w:widowControl w:val="0"/>
      <w:spacing w:before="156" w:line="360" w:lineRule="auto"/>
      <w:ind w:firstLine="200" w:firstLineChars="200"/>
      <w:jc w:val="both"/>
    </w:pPr>
    <w:rPr>
      <w:rFonts w:ascii="Times New Roman" w:hAnsi="Times New Roman" w:eastAsia="宋体" w:cs="Times New Roman"/>
      <w:sz w:val="24"/>
      <w:szCs w:val="22"/>
      <w:lang w:val="en-US" w:eastAsia="zh-CN" w:bidi="ar-SA"/>
    </w:rPr>
  </w:style>
  <w:style w:type="character" w:customStyle="1" w:styleId="90">
    <w:name w:val="a Char"/>
    <w:link w:val="91"/>
    <w:uiPriority w:val="0"/>
    <w:rPr>
      <w:rFonts w:ascii="宋体" w:hAnsi="宋体" w:eastAsia="仿宋_GB2312"/>
      <w:sz w:val="24"/>
    </w:rPr>
  </w:style>
  <w:style w:type="paragraph" w:customStyle="1" w:styleId="91">
    <w:name w:val="a"/>
    <w:basedOn w:val="1"/>
    <w:link w:val="90"/>
    <w:uiPriority w:val="0"/>
    <w:pPr>
      <w:widowControl/>
      <w:spacing w:before="100" w:beforeAutospacing="1" w:after="100" w:afterAutospacing="1"/>
      <w:jc w:val="left"/>
    </w:pPr>
    <w:rPr>
      <w:rFonts w:ascii="宋体" w:hAnsi="宋体" w:eastAsia="仿宋_GB2312"/>
      <w:kern w:val="0"/>
      <w:sz w:val="24"/>
    </w:rPr>
  </w:style>
  <w:style w:type="character" w:customStyle="1" w:styleId="92">
    <w:name w:val="标题 1 Char Char"/>
    <w:uiPriority w:val="0"/>
    <w:rPr>
      <w:rFonts w:eastAsia="宋体"/>
      <w:b/>
      <w:spacing w:val="-2"/>
      <w:sz w:val="24"/>
      <w:lang w:val="en-US" w:eastAsia="zh-CN" w:bidi="ar-SA"/>
    </w:rPr>
  </w:style>
  <w:style w:type="character" w:customStyle="1" w:styleId="93">
    <w:name w:val="b titlename wangputoptitle"/>
    <w:basedOn w:val="36"/>
    <w:uiPriority w:val="0"/>
  </w:style>
  <w:style w:type="character" w:customStyle="1" w:styleId="94">
    <w:name w:val="列出段落 Char"/>
    <w:link w:val="51"/>
    <w:uiPriority w:val="0"/>
    <w:rPr>
      <w:rFonts w:ascii="Calibri" w:hAnsi="Calibri"/>
      <w:kern w:val="2"/>
      <w:sz w:val="21"/>
      <w:szCs w:val="24"/>
    </w:rPr>
  </w:style>
  <w:style w:type="character" w:customStyle="1" w:styleId="95">
    <w:name w:val="font3"/>
    <w:basedOn w:val="36"/>
    <w:uiPriority w:val="0"/>
  </w:style>
  <w:style w:type="character" w:customStyle="1" w:styleId="96">
    <w:name w:val="表正文 Char"/>
    <w:uiPriority w:val="0"/>
    <w:rPr>
      <w:rFonts w:eastAsia="宋体"/>
      <w:kern w:val="2"/>
      <w:sz w:val="21"/>
      <w:lang w:val="en-US" w:eastAsia="zh-CN" w:bidi="ar-SA"/>
    </w:rPr>
  </w:style>
  <w:style w:type="character" w:customStyle="1" w:styleId="97">
    <w:name w:val="标题 1 Char1"/>
    <w:link w:val="3"/>
    <w:uiPriority w:val="0"/>
    <w:rPr>
      <w:rFonts w:eastAsia="隶书"/>
      <w:b/>
      <w:bCs/>
      <w:sz w:val="36"/>
      <w:szCs w:val="36"/>
    </w:rPr>
  </w:style>
  <w:style w:type="character" w:customStyle="1" w:styleId="98">
    <w:name w:val="Char Char2"/>
    <w:uiPriority w:val="0"/>
    <w:rPr>
      <w:rFonts w:ascii="宋体" w:hAnsi="Courier New" w:eastAsia="宋体"/>
      <w:sz w:val="21"/>
      <w:lang w:val="en-US" w:eastAsia="zh-CN" w:bidi="ar-SA"/>
    </w:rPr>
  </w:style>
  <w:style w:type="character" w:customStyle="1" w:styleId="99">
    <w:name w:val="Char Char3"/>
    <w:uiPriority w:val="0"/>
    <w:rPr>
      <w:rFonts w:ascii="宋体" w:hAnsi="Courier New"/>
      <w:kern w:val="2"/>
      <w:sz w:val="21"/>
      <w:lang w:bidi="ar-SA"/>
    </w:rPr>
  </w:style>
  <w:style w:type="character" w:customStyle="1" w:styleId="100">
    <w:name w:val="title14"/>
    <w:basedOn w:val="36"/>
    <w:uiPriority w:val="0"/>
  </w:style>
  <w:style w:type="character" w:customStyle="1" w:styleId="101">
    <w:name w:val="flname7"/>
    <w:basedOn w:val="36"/>
    <w:uiPriority w:val="0"/>
  </w:style>
  <w:style w:type="paragraph" w:customStyle="1" w:styleId="102">
    <w:name w:val="WPSOffice手动目录 1"/>
    <w:uiPriority w:val="0"/>
    <w:rPr>
      <w:rFonts w:ascii="Times New Roman" w:hAnsi="Times New Roman" w:eastAsia="宋体" w:cs="Times New Roman"/>
      <w:lang w:val="en-US" w:eastAsia="zh-CN" w:bidi="ar-SA"/>
    </w:rPr>
  </w:style>
  <w:style w:type="paragraph" w:customStyle="1" w:styleId="103">
    <w:name w:val="项目圆"/>
    <w:basedOn w:val="1"/>
    <w:uiPriority w:val="0"/>
    <w:pPr>
      <w:tabs>
        <w:tab w:val="left" w:pos="840"/>
      </w:tabs>
      <w:spacing w:beforeLines="50" w:afterLines="50" w:line="360" w:lineRule="auto"/>
      <w:ind w:left="454"/>
    </w:pPr>
    <w:rPr>
      <w:rFonts w:ascii="Times New Roman" w:hAnsi="Times New Roman"/>
      <w:szCs w:val="24"/>
    </w:rPr>
  </w:style>
  <w:style w:type="paragraph" w:customStyle="1" w:styleId="104">
    <w:name w:val="正文段"/>
    <w:basedOn w:val="1"/>
    <w:uiPriority w:val="0"/>
    <w:pPr>
      <w:widowControl/>
      <w:snapToGrid w:val="0"/>
      <w:spacing w:afterLines="50"/>
      <w:ind w:firstLine="200" w:firstLineChars="200"/>
    </w:pPr>
    <w:rPr>
      <w:rFonts w:ascii="Times New Roman" w:hAnsi="Times New Roman"/>
      <w:kern w:val="0"/>
      <w:sz w:val="24"/>
    </w:rPr>
  </w:style>
  <w:style w:type="paragraph" w:customStyle="1" w:styleId="105">
    <w:name w:val="xl34"/>
    <w:basedOn w:val="1"/>
    <w:uiPriority w:val="0"/>
    <w:pPr>
      <w:widowControl/>
      <w:spacing w:before="100" w:beforeAutospacing="1" w:after="100" w:afterAutospacing="1"/>
      <w:jc w:val="center"/>
      <w:textAlignment w:val="top"/>
    </w:pPr>
    <w:rPr>
      <w:rFonts w:ascii="Arial Unicode MS" w:hAnsi="Arial Unicode MS" w:eastAsia="Arial Unicode MS" w:cs="Arial Unicode MS"/>
      <w:b/>
      <w:bCs/>
      <w:kern w:val="0"/>
      <w:sz w:val="32"/>
      <w:szCs w:val="32"/>
    </w:rPr>
  </w:style>
  <w:style w:type="character" w:customStyle="1" w:styleId="106">
    <w:name w:val="HTML 预设格式 Char"/>
    <w:basedOn w:val="36"/>
    <w:link w:val="33"/>
    <w:uiPriority w:val="0"/>
    <w:rPr>
      <w:rFonts w:ascii="Courier New" w:hAnsi="Courier New"/>
      <w:kern w:val="2"/>
    </w:rPr>
  </w:style>
  <w:style w:type="character" w:customStyle="1" w:styleId="107">
    <w:name w:val="脚注文本 Char"/>
    <w:basedOn w:val="36"/>
    <w:link w:val="29"/>
    <w:semiHidden/>
    <w:uiPriority w:val="0"/>
    <w:rPr>
      <w:kern w:val="2"/>
      <w:sz w:val="18"/>
      <w:szCs w:val="18"/>
    </w:rPr>
  </w:style>
  <w:style w:type="paragraph" w:customStyle="1" w:styleId="108">
    <w:name w:val="1"/>
    <w:basedOn w:val="1"/>
    <w:uiPriority w:val="0"/>
    <w:rPr>
      <w:rFonts w:ascii="Times New Roman" w:hAnsi="Times New Roman"/>
      <w:sz w:val="24"/>
      <w:szCs w:val="24"/>
    </w:rPr>
  </w:style>
  <w:style w:type="paragraph" w:customStyle="1" w:styleId="109">
    <w:name w:val="表格文字"/>
    <w:basedOn w:val="1"/>
    <w:uiPriority w:val="0"/>
    <w:pPr>
      <w:jc w:val="left"/>
      <w:textAlignment w:val="top"/>
    </w:pPr>
    <w:rPr>
      <w:rFonts w:ascii="Times New Roman" w:hAnsi="Times New Roman"/>
      <w:sz w:val="18"/>
      <w:szCs w:val="24"/>
    </w:rPr>
  </w:style>
  <w:style w:type="paragraph" w:customStyle="1" w:styleId="110">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11">
    <w:name w:val="正文首行缩进:2字符"/>
    <w:basedOn w:val="1"/>
    <w:uiPriority w:val="0"/>
    <w:pPr>
      <w:spacing w:line="360" w:lineRule="auto"/>
      <w:ind w:firstLine="480" w:firstLineChars="200"/>
    </w:pPr>
    <w:rPr>
      <w:rFonts w:ascii="Times New Roman" w:hAnsi="Times New Roman" w:cs="宋体"/>
    </w:rPr>
  </w:style>
  <w:style w:type="paragraph" w:customStyle="1" w:styleId="112">
    <w:name w:val="部分1"/>
    <w:basedOn w:val="1"/>
    <w:uiPriority w:val="0"/>
    <w:pPr>
      <w:keepNext/>
      <w:pageBreakBefore/>
      <w:tabs>
        <w:tab w:val="left" w:pos="720"/>
      </w:tabs>
      <w:spacing w:line="360" w:lineRule="auto"/>
      <w:jc w:val="center"/>
      <w:outlineLvl w:val="0"/>
    </w:pPr>
    <w:rPr>
      <w:rFonts w:ascii="Times New Roman" w:hAnsi="Times New Roman" w:eastAsia="黑体"/>
      <w:b/>
      <w:kern w:val="44"/>
      <w:sz w:val="36"/>
    </w:rPr>
  </w:style>
  <w:style w:type="character" w:customStyle="1" w:styleId="113">
    <w:name w:val="正文文本 Char"/>
    <w:basedOn w:val="36"/>
    <w:link w:val="12"/>
    <w:semiHidden/>
    <w:uiPriority w:val="0"/>
    <w:rPr>
      <w:rFonts w:ascii="Calibri" w:hAnsi="Calibri"/>
      <w:kern w:val="2"/>
      <w:sz w:val="21"/>
    </w:rPr>
  </w:style>
  <w:style w:type="character" w:customStyle="1" w:styleId="114">
    <w:name w:val="正文首行缩进 Char"/>
    <w:basedOn w:val="113"/>
    <w:link w:val="11"/>
    <w:uiPriority w:val="0"/>
    <w:rPr>
      <w:rFonts w:ascii="Calibri" w:hAnsi="Calibri"/>
      <w:kern w:val="2"/>
      <w:sz w:val="21"/>
      <w:szCs w:val="22"/>
    </w:rPr>
  </w:style>
  <w:style w:type="paragraph" w:customStyle="1" w:styleId="115">
    <w:name w:val="paragraph1"/>
    <w:basedOn w:val="1"/>
    <w:uiPriority w:val="0"/>
    <w:pPr>
      <w:spacing w:afterLines="30" w:line="360" w:lineRule="auto"/>
      <w:ind w:firstLine="420" w:firstLineChars="200"/>
    </w:pPr>
    <w:rPr>
      <w:rFonts w:ascii="Times New Roman" w:hAnsi="Times New Roman" w:eastAsia="楷体_GB2312"/>
      <w:sz w:val="24"/>
    </w:rPr>
  </w:style>
  <w:style w:type="paragraph" w:customStyle="1" w:styleId="116">
    <w:name w:val="7.表小四"/>
    <w:basedOn w:val="1"/>
    <w:uiPriority w:val="0"/>
    <w:pPr>
      <w:spacing w:beforeLines="50" w:afterLines="50"/>
    </w:pPr>
    <w:rPr>
      <w:rFonts w:ascii="宋体" w:hAnsi="宋体"/>
      <w:sz w:val="24"/>
      <w:szCs w:val="24"/>
    </w:rPr>
  </w:style>
  <w:style w:type="paragraph" w:customStyle="1" w:styleId="117">
    <w:name w:val="Char Char Char Char Char Char Char Char Char"/>
    <w:basedOn w:val="1"/>
    <w:uiPriority w:val="0"/>
    <w:rPr>
      <w:rFonts w:ascii="Times New Roman" w:hAnsi="Times New Roman"/>
      <w:szCs w:val="22"/>
    </w:rPr>
  </w:style>
  <w:style w:type="character" w:customStyle="1" w:styleId="118">
    <w:name w:val="标题 Char1"/>
    <w:basedOn w:val="36"/>
    <w:uiPriority w:val="0"/>
    <w:rPr>
      <w:rFonts w:asciiTheme="majorHAnsi" w:hAnsiTheme="majorHAnsi" w:cstheme="majorBidi"/>
      <w:b/>
      <w:bCs/>
      <w:kern w:val="2"/>
      <w:sz w:val="32"/>
      <w:szCs w:val="32"/>
    </w:rPr>
  </w:style>
  <w:style w:type="paragraph" w:customStyle="1" w:styleId="119">
    <w:name w:val="Defaul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20">
    <w:name w:val="大表 mt"/>
    <w:basedOn w:val="1"/>
    <w:uiPriority w:val="99"/>
    <w:pPr>
      <w:widowControl/>
      <w:jc w:val="left"/>
    </w:pPr>
    <w:rPr>
      <w:rFonts w:ascii="宋体" w:hAnsi="宋体" w:cs="宋体"/>
      <w:kern w:val="0"/>
      <w:szCs w:val="21"/>
    </w:rPr>
  </w:style>
  <w:style w:type="paragraph" w:customStyle="1" w:styleId="121">
    <w:name w:val="Char"/>
    <w:basedOn w:val="1"/>
    <w:uiPriority w:val="0"/>
    <w:pPr>
      <w:widowControl/>
      <w:spacing w:after="160" w:line="240" w:lineRule="exact"/>
      <w:jc w:val="left"/>
    </w:pPr>
    <w:rPr>
      <w:rFonts w:ascii="Verdana" w:hAnsi="Verdana"/>
      <w:kern w:val="0"/>
      <w:sz w:val="20"/>
      <w:lang w:eastAsia="en-US"/>
    </w:rPr>
  </w:style>
  <w:style w:type="paragraph" w:customStyle="1" w:styleId="122">
    <w:name w:val="p0"/>
    <w:basedOn w:val="1"/>
    <w:uiPriority w:val="0"/>
    <w:pPr>
      <w:widowControl/>
      <w:jc w:val="left"/>
    </w:pPr>
    <w:rPr>
      <w:rFonts w:ascii="Arial" w:hAnsi="Arial" w:cs="Arial"/>
      <w:kern w:val="0"/>
      <w:sz w:val="20"/>
    </w:rPr>
  </w:style>
  <w:style w:type="character" w:customStyle="1" w:styleId="123">
    <w:name w:val="正文文本 2 Char"/>
    <w:basedOn w:val="36"/>
    <w:link w:val="32"/>
    <w:uiPriority w:val="0"/>
    <w:rPr>
      <w:rFonts w:ascii="宋体" w:hAnsi="宋体"/>
      <w:color w:val="000000"/>
      <w:kern w:val="2"/>
      <w:sz w:val="24"/>
      <w:szCs w:val="24"/>
    </w:rPr>
  </w:style>
  <w:style w:type="paragraph" w:customStyle="1" w:styleId="124">
    <w:name w:val="样式 标题 1 + 段后: 0.5 行"/>
    <w:basedOn w:val="3"/>
    <w:uiPriority w:val="0"/>
    <w:pPr>
      <w:keepNext/>
      <w:tabs>
        <w:tab w:val="left" w:pos="360"/>
      </w:tabs>
      <w:autoSpaceDE/>
      <w:autoSpaceDN/>
      <w:adjustRightInd/>
      <w:spacing w:before="120" w:afterLines="50" w:line="240" w:lineRule="auto"/>
      <w:jc w:val="left"/>
    </w:pPr>
    <w:rPr>
      <w:rFonts w:ascii="宋体" w:eastAsia="宋体"/>
      <w:bCs w:val="0"/>
      <w:snapToGrid w:val="0"/>
      <w:sz w:val="28"/>
      <w:szCs w:val="20"/>
    </w:rPr>
  </w:style>
  <w:style w:type="character" w:customStyle="1" w:styleId="125">
    <w:name w:val="文档结构图 Char1"/>
    <w:basedOn w:val="36"/>
    <w:semiHidden/>
    <w:uiPriority w:val="0"/>
    <w:rPr>
      <w:rFonts w:ascii="Microsoft YaHei UI" w:hAnsi="Calibri" w:eastAsia="Microsoft YaHei UI"/>
      <w:kern w:val="2"/>
      <w:sz w:val="18"/>
      <w:szCs w:val="18"/>
    </w:rPr>
  </w:style>
  <w:style w:type="paragraph" w:customStyle="1" w:styleId="126">
    <w:name w:val="样式 +中文正文 四号 左 悬挂缩进: 0.84 字符 行距: 固定值 28 磅 左  0.71 字符 首行缩进: ..."/>
    <w:basedOn w:val="1"/>
    <w:uiPriority w:val="0"/>
    <w:pPr>
      <w:spacing w:line="560" w:lineRule="exact"/>
      <w:ind w:left="384" w:leftChars="71" w:hanging="235" w:hangingChars="84"/>
      <w:jc w:val="left"/>
    </w:pPr>
    <w:rPr>
      <w:rFonts w:ascii="宋体" w:hAnsi="宋体" w:cs="宋体"/>
      <w:kern w:val="0"/>
      <w:sz w:val="28"/>
    </w:rPr>
  </w:style>
  <w:style w:type="paragraph" w:customStyle="1" w:styleId="127">
    <w:name w:val="af17cgridlangnp1033langf"/>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128">
    <w:name w:val="正文文本 21"/>
    <w:basedOn w:val="1"/>
    <w:uiPriority w:val="0"/>
    <w:pPr>
      <w:adjustRightInd w:val="0"/>
      <w:spacing w:line="300" w:lineRule="auto"/>
      <w:jc w:val="center"/>
    </w:pPr>
    <w:rPr>
      <w:rFonts w:hint="eastAsia" w:ascii="宋体" w:hAnsi="宋体"/>
      <w:snapToGrid w:val="0"/>
      <w:kern w:val="0"/>
      <w:sz w:val="24"/>
    </w:rPr>
  </w:style>
  <w:style w:type="character" w:customStyle="1" w:styleId="129">
    <w:name w:val="正文文本 3 Char"/>
    <w:basedOn w:val="36"/>
    <w:link w:val="17"/>
    <w:uiPriority w:val="0"/>
    <w:rPr>
      <w:rFonts w:hAnsi="宋体" w:eastAsia="仿宋_GB2312"/>
      <w:b/>
      <w:bCs/>
      <w:kern w:val="2"/>
      <w:sz w:val="24"/>
    </w:rPr>
  </w:style>
  <w:style w:type="paragraph" w:customStyle="1" w:styleId="130">
    <w:name w:val="Char Char Char Char Char Char Char"/>
    <w:basedOn w:val="1"/>
    <w:uiPriority w:val="0"/>
    <w:pPr>
      <w:tabs>
        <w:tab w:val="left" w:pos="432"/>
      </w:tabs>
      <w:ind w:left="432" w:hanging="432"/>
    </w:pPr>
    <w:rPr>
      <w:rFonts w:ascii="Tahoma" w:hAnsi="Tahoma"/>
      <w:sz w:val="24"/>
    </w:rPr>
  </w:style>
  <w:style w:type="paragraph" w:customStyle="1" w:styleId="131">
    <w:name w:val="Char Char Char Char"/>
    <w:basedOn w:val="1"/>
    <w:uiPriority w:val="0"/>
    <w:pPr>
      <w:widowControl/>
      <w:spacing w:after="160" w:line="240" w:lineRule="exact"/>
      <w:jc w:val="left"/>
    </w:pPr>
    <w:rPr>
      <w:rFonts w:ascii="Arial" w:hAnsi="Arial" w:eastAsia="Times New Roman" w:cs="Verdana"/>
      <w:b/>
      <w:kern w:val="0"/>
      <w:sz w:val="24"/>
      <w:lang w:eastAsia="en-US"/>
    </w:rPr>
  </w:style>
  <w:style w:type="paragraph" w:customStyle="1" w:styleId="132">
    <w:name w:val="Proposals body"/>
    <w:basedOn w:val="1"/>
    <w:next w:val="1"/>
    <w:uiPriority w:val="0"/>
    <w:pPr>
      <w:widowControl/>
      <w:spacing w:line="360" w:lineRule="auto"/>
      <w:jc w:val="left"/>
    </w:pPr>
    <w:rPr>
      <w:rFonts w:ascii="宋体" w:hAnsi="Times New Roman"/>
      <w:snapToGrid w:val="0"/>
      <w:color w:val="000000"/>
      <w:kern w:val="0"/>
      <w:sz w:val="24"/>
    </w:rPr>
  </w:style>
  <w:style w:type="paragraph" w:customStyle="1" w:styleId="133">
    <w:name w:val="样式 标题 1标题1(cj) +"/>
    <w:basedOn w:val="3"/>
    <w:uiPriority w:val="0"/>
    <w:pPr>
      <w:keepNext/>
      <w:keepLines/>
      <w:tabs>
        <w:tab w:val="left" w:pos="360"/>
      </w:tabs>
      <w:spacing w:before="340" w:after="330"/>
      <w:jc w:val="left"/>
      <w:textAlignment w:val="baseline"/>
    </w:pPr>
    <w:rPr>
      <w:rFonts w:ascii="宋体" w:hAnsi="Arial" w:eastAsia="仿宋_GB2312"/>
      <w:bCs w:val="0"/>
      <w:color w:val="000000"/>
      <w:sz w:val="32"/>
      <w:szCs w:val="20"/>
    </w:rPr>
  </w:style>
  <w:style w:type="character" w:customStyle="1" w:styleId="134">
    <w:name w:val="日期 Char"/>
    <w:basedOn w:val="36"/>
    <w:link w:val="23"/>
    <w:uiPriority w:val="0"/>
    <w:rPr>
      <w:rFonts w:eastAsia="楷体_GB2312"/>
      <w:kern w:val="2"/>
      <w:sz w:val="32"/>
    </w:rPr>
  </w:style>
  <w:style w:type="paragraph" w:customStyle="1" w:styleId="135">
    <w:name w:val="文档正文 Char"/>
    <w:basedOn w:val="1"/>
    <w:uiPriority w:val="0"/>
    <w:pPr>
      <w:adjustRightInd w:val="0"/>
      <w:spacing w:line="500" w:lineRule="exact"/>
      <w:ind w:firstLine="567"/>
      <w:textAlignment w:val="baseline"/>
    </w:pPr>
    <w:rPr>
      <w:rFonts w:ascii="仿宋_GB2312" w:hAnsi="Times New Roman" w:eastAsia="仿宋_GB2312"/>
      <w:sz w:val="28"/>
      <w:szCs w:val="24"/>
    </w:rPr>
  </w:style>
  <w:style w:type="paragraph" w:customStyle="1" w:styleId="136">
    <w:name w:val="序号"/>
    <w:basedOn w:val="1"/>
    <w:uiPriority w:val="0"/>
    <w:pPr>
      <w:tabs>
        <w:tab w:val="left" w:pos="840"/>
      </w:tabs>
      <w:spacing w:line="360" w:lineRule="auto"/>
      <w:ind w:left="840" w:hanging="420"/>
    </w:pPr>
    <w:rPr>
      <w:rFonts w:ascii="Times New Roman" w:hAnsi="Times New Roman"/>
      <w:bCs/>
      <w:szCs w:val="24"/>
    </w:rPr>
  </w:style>
  <w:style w:type="paragraph" w:customStyle="1" w:styleId="137">
    <w:name w:val="列出段落[858D7CFB-ED40-4347-BF05-701D383B685F][858D7CFB-ED40-4347-BF05-701D383B685F]"/>
    <w:basedOn w:val="1"/>
    <w:uiPriority w:val="0"/>
    <w:pPr>
      <w:ind w:firstLine="200" w:firstLineChars="200"/>
    </w:pPr>
    <w:rPr>
      <w:szCs w:val="22"/>
    </w:rPr>
  </w:style>
  <w:style w:type="paragraph" w:customStyle="1" w:styleId="138">
    <w:name w:val="a2"/>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139">
    <w:name w:val="样式 首行缩进:  2 字符"/>
    <w:basedOn w:val="1"/>
    <w:uiPriority w:val="0"/>
    <w:pPr>
      <w:spacing w:line="348" w:lineRule="auto"/>
      <w:ind w:firstLine="480" w:firstLineChars="200"/>
    </w:pPr>
    <w:rPr>
      <w:rFonts w:ascii="Times New Roman" w:hAnsi="Times New Roman" w:cs="宋体"/>
      <w:sz w:val="24"/>
    </w:rPr>
  </w:style>
  <w:style w:type="paragraph" w:customStyle="1" w:styleId="140">
    <w:name w:val="图文框"/>
    <w:basedOn w:val="1"/>
    <w:uiPriority w:val="0"/>
    <w:pPr>
      <w:jc w:val="center"/>
    </w:pPr>
    <w:rPr>
      <w:rFonts w:ascii="仿宋_GB2312" w:hAnsi="Times New Roman" w:eastAsia="仿宋_GB2312"/>
      <w:szCs w:val="24"/>
    </w:rPr>
  </w:style>
  <w:style w:type="paragraph" w:customStyle="1" w:styleId="141">
    <w:name w:val="WPSOffice手动目录 2"/>
    <w:uiPriority w:val="0"/>
    <w:pPr>
      <w:ind w:left="200" w:leftChars="200"/>
    </w:pPr>
    <w:rPr>
      <w:rFonts w:ascii="Times New Roman" w:hAnsi="Times New Roman" w:eastAsia="宋体" w:cs="Times New Roman"/>
      <w:lang w:val="en-US" w:eastAsia="zh-CN" w:bidi="ar-SA"/>
    </w:rPr>
  </w:style>
  <w:style w:type="paragraph" w:customStyle="1" w:styleId="142">
    <w:name w:val="纯文本2"/>
    <w:basedOn w:val="1"/>
    <w:uiPriority w:val="0"/>
    <w:pPr>
      <w:spacing w:beforeLines="50" w:afterLines="50" w:line="400" w:lineRule="exact"/>
    </w:pPr>
    <w:rPr>
      <w:rFonts w:ascii="宋体" w:hAnsi="Courier New" w:eastAsia="黑体"/>
      <w:sz w:val="24"/>
      <w:szCs w:val="24"/>
    </w:rPr>
  </w:style>
  <w:style w:type="paragraph" w:customStyle="1" w:styleId="143">
    <w:name w:val="Char1"/>
    <w:basedOn w:val="1"/>
    <w:uiPriority w:val="0"/>
    <w:rPr>
      <w:rFonts w:ascii="仿宋_GB2312" w:hAnsi="Times New Roman" w:eastAsia="仿宋_GB2312"/>
      <w:b/>
      <w:sz w:val="32"/>
      <w:szCs w:val="32"/>
    </w:rPr>
  </w:style>
  <w:style w:type="paragraph" w:customStyle="1" w:styleId="144">
    <w:name w:val="列出段落2"/>
    <w:basedOn w:val="1"/>
    <w:uiPriority w:val="0"/>
    <w:pPr>
      <w:ind w:firstLine="420" w:firstLineChars="200"/>
    </w:pPr>
    <w:rPr>
      <w:rFonts w:ascii="Times New Roman" w:hAnsi="Times New Roman" w:cs="Calibri"/>
      <w:szCs w:val="21"/>
    </w:rPr>
  </w:style>
  <w:style w:type="paragraph" w:customStyle="1" w:styleId="145">
    <w:name w:val="Char Char Char Char Char Char Char1"/>
    <w:basedOn w:val="1"/>
    <w:uiPriority w:val="0"/>
    <w:pPr>
      <w:tabs>
        <w:tab w:val="left" w:pos="432"/>
      </w:tabs>
      <w:ind w:left="432" w:hanging="432"/>
    </w:pPr>
    <w:rPr>
      <w:rFonts w:ascii="Tahoma" w:hAnsi="Tahoma"/>
      <w:sz w:val="24"/>
    </w:rPr>
  </w:style>
  <w:style w:type="paragraph" w:customStyle="1" w:styleId="146">
    <w:name w:val="Char1 Char Char Char"/>
    <w:basedOn w:val="1"/>
    <w:uiPriority w:val="0"/>
    <w:rPr>
      <w:rFonts w:ascii="Tahoma" w:hAnsi="Tahoma"/>
      <w:sz w:val="24"/>
    </w:rPr>
  </w:style>
  <w:style w:type="paragraph" w:customStyle="1" w:styleId="147">
    <w:name w:val="Pa3"/>
    <w:basedOn w:val="1"/>
    <w:next w:val="1"/>
    <w:uiPriority w:val="0"/>
    <w:pPr>
      <w:widowControl/>
      <w:autoSpaceDE w:val="0"/>
      <w:autoSpaceDN w:val="0"/>
      <w:adjustRightInd w:val="0"/>
      <w:spacing w:line="141" w:lineRule="atLeast"/>
      <w:jc w:val="left"/>
    </w:pPr>
    <w:rPr>
      <w:rFonts w:ascii="Univers 57 Condensed" w:hAnsi="Times New Roman" w:eastAsia="Univers 57 Condensed"/>
      <w:kern w:val="0"/>
      <w:sz w:val="24"/>
      <w:szCs w:val="24"/>
    </w:rPr>
  </w:style>
  <w:style w:type="paragraph" w:customStyle="1" w:styleId="148">
    <w:name w:val="样式 正文缩进 + 首行缩进:  2 字符"/>
    <w:basedOn w:val="14"/>
    <w:uiPriority w:val="0"/>
    <w:pPr>
      <w:tabs>
        <w:tab w:val="left" w:pos="1080"/>
      </w:tabs>
      <w:spacing w:line="360" w:lineRule="auto"/>
      <w:ind w:left="1080" w:hanging="540"/>
    </w:pPr>
    <w:rPr>
      <w:rFonts w:ascii="宋体" w:hAnsi="宋体"/>
      <w:sz w:val="24"/>
      <w:szCs w:val="24"/>
    </w:rPr>
  </w:style>
  <w:style w:type="paragraph" w:customStyle="1" w:styleId="149">
    <w:name w:val="xl32"/>
    <w:basedOn w:val="1"/>
    <w:uiPriority w:val="0"/>
    <w:pPr>
      <w:widowControl/>
      <w:spacing w:before="100" w:beforeAutospacing="1" w:after="100" w:afterAutospacing="1"/>
      <w:jc w:val="center"/>
      <w:textAlignment w:val="top"/>
    </w:pPr>
    <w:rPr>
      <w:rFonts w:ascii="宋体" w:hAnsi="宋体"/>
      <w:b/>
      <w:bCs/>
      <w:kern w:val="0"/>
      <w:sz w:val="32"/>
      <w:szCs w:val="32"/>
    </w:rPr>
  </w:style>
  <w:style w:type="paragraph" w:customStyle="1" w:styleId="150">
    <w:name w:val="List Paragraph1"/>
    <w:basedOn w:val="1"/>
    <w:uiPriority w:val="99"/>
    <w:pPr>
      <w:ind w:firstLine="420" w:firstLineChars="200"/>
    </w:pPr>
    <w:rPr>
      <w:rFonts w:ascii="Times New Roman" w:hAnsi="Times New Roman"/>
      <w:szCs w:val="24"/>
    </w:rPr>
  </w:style>
  <w:style w:type="paragraph" w:customStyle="1" w:styleId="151">
    <w:name w:val="默认段落字体 Para Char Char Char Char Char Char Char Char Char1 Char Char Char Char"/>
    <w:basedOn w:val="1"/>
    <w:uiPriority w:val="0"/>
    <w:rPr>
      <w:rFonts w:ascii="Tahoma" w:hAnsi="Tahoma"/>
      <w:sz w:val="24"/>
    </w:rPr>
  </w:style>
  <w:style w:type="paragraph" w:customStyle="1" w:styleId="152">
    <w:name w:val="Char11"/>
    <w:basedOn w:val="1"/>
    <w:uiPriority w:val="0"/>
    <w:rPr>
      <w:rFonts w:ascii="仿宋_GB2312" w:hAnsi="Times New Roman" w:eastAsia="仿宋_GB2312"/>
      <w:b/>
      <w:sz w:val="32"/>
      <w:szCs w:val="32"/>
    </w:rPr>
  </w:style>
  <w:style w:type="paragraph" w:customStyle="1" w:styleId="153">
    <w:name w:val="表内文字"/>
    <w:basedOn w:val="1"/>
    <w:uiPriority w:val="0"/>
    <w:pPr>
      <w:tabs>
        <w:tab w:val="left" w:pos="1418"/>
      </w:tabs>
      <w:spacing w:line="360" w:lineRule="auto"/>
      <w:jc w:val="center"/>
    </w:pPr>
    <w:rPr>
      <w:rFonts w:ascii="仿宋_GB2312" w:hAnsi="Times New Roman" w:eastAsia="仿宋_GB2312"/>
      <w:spacing w:val="-20"/>
      <w:kern w:val="0"/>
      <w:sz w:val="24"/>
      <w:szCs w:val="24"/>
    </w:rPr>
  </w:style>
  <w:style w:type="paragraph" w:customStyle="1" w:styleId="154">
    <w:name w:val="Char3 Char Char Char"/>
    <w:basedOn w:val="1"/>
    <w:uiPriority w:val="0"/>
    <w:pPr>
      <w:widowControl/>
      <w:spacing w:after="160" w:line="240" w:lineRule="exact"/>
      <w:jc w:val="left"/>
    </w:pPr>
    <w:rPr>
      <w:rFonts w:ascii="Times New Roman" w:hAnsi="Times New Roman"/>
    </w:rPr>
  </w:style>
  <w:style w:type="character" w:customStyle="1" w:styleId="155">
    <w:name w:val="正文文本缩进 2 Char"/>
    <w:basedOn w:val="36"/>
    <w:link w:val="2"/>
    <w:uiPriority w:val="99"/>
    <w:rPr>
      <w:rFonts w:ascii="Calibri" w:hAnsi="Calibri"/>
      <w:kern w:val="2"/>
      <w:sz w:val="21"/>
    </w:rPr>
  </w:style>
  <w:style w:type="paragraph" w:customStyle="1" w:styleId="156">
    <w:name w:val="font5"/>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57">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158">
    <w:name w:val="xl7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59">
    <w:name w:val="xl71"/>
    <w:basedOn w:val="1"/>
    <w:uiPriority w:val="0"/>
    <w:pPr>
      <w:widowControl/>
      <w:spacing w:before="100" w:beforeAutospacing="1" w:after="100" w:afterAutospacing="1"/>
      <w:jc w:val="center"/>
    </w:pPr>
    <w:rPr>
      <w:rFonts w:ascii="宋体" w:hAnsi="宋体" w:cs="宋体"/>
      <w:b/>
      <w:bCs/>
      <w:kern w:val="0"/>
      <w:sz w:val="24"/>
      <w:szCs w:val="24"/>
    </w:rPr>
  </w:style>
  <w:style w:type="paragraph" w:customStyle="1" w:styleId="160">
    <w:name w:val="xl7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61">
    <w:name w:val="xl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62">
    <w:name w:val="xl7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63">
    <w:name w:val="xl7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rPr>
  </w:style>
  <w:style w:type="paragraph" w:customStyle="1" w:styleId="164">
    <w:name w:val="xl7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65">
    <w:name w:val="xl7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rPr>
  </w:style>
  <w:style w:type="paragraph" w:customStyle="1" w:styleId="166">
    <w:name w:val="xl7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rPr>
  </w:style>
  <w:style w:type="paragraph" w:customStyle="1" w:styleId="167">
    <w:name w:val="xl79"/>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68">
    <w:name w:val="xl80"/>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69">
    <w:name w:val="xl81"/>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center"/>
    </w:pPr>
    <w:rPr>
      <w:rFonts w:ascii="宋体" w:hAnsi="宋体" w:cs="宋体"/>
      <w:kern w:val="0"/>
      <w:sz w:val="20"/>
    </w:rPr>
  </w:style>
  <w:style w:type="paragraph" w:customStyle="1" w:styleId="170">
    <w:name w:val="xl8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szCs w:val="24"/>
    </w:rPr>
  </w:style>
  <w:style w:type="paragraph" w:customStyle="1" w:styleId="171">
    <w:name w:val="xl83"/>
    <w:basedOn w:val="1"/>
    <w:uiPriority w:val="0"/>
    <w:pPr>
      <w:widowControl/>
      <w:pBdr>
        <w:top w:val="single" w:color="auto" w:sz="4" w:space="0"/>
        <w:left w:val="single" w:color="auto" w:sz="4" w:space="0"/>
        <w:bottom w:val="single" w:color="auto" w:sz="4" w:space="0"/>
        <w:right w:val="single" w:color="auto" w:sz="4" w:space="0"/>
      </w:pBdr>
      <w:shd w:val="clear" w:color="000000" w:fill="FFFFFF"/>
      <w:spacing w:before="100" w:beforeAutospacing="1" w:after="100" w:afterAutospacing="1"/>
      <w:jc w:val="left"/>
    </w:pPr>
    <w:rPr>
      <w:rFonts w:ascii="宋体" w:hAnsi="宋体" w:cs="宋体"/>
      <w:kern w:val="0"/>
      <w:sz w:val="20"/>
    </w:rPr>
  </w:style>
  <w:style w:type="paragraph" w:customStyle="1" w:styleId="172">
    <w:name w:val="xl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rPr>
  </w:style>
  <w:style w:type="paragraph" w:customStyle="1" w:styleId="173">
    <w:name w:val="xl85"/>
    <w:basedOn w:val="1"/>
    <w:uiPriority w:val="0"/>
    <w:pPr>
      <w:widowControl/>
      <w:pBdr>
        <w:top w:val="single" w:color="auto" w:sz="4" w:space="0"/>
        <w:left w:val="single" w:color="auto" w:sz="4" w:space="0"/>
        <w:bottom w:val="single" w:color="auto" w:sz="4" w:space="0"/>
        <w:right w:val="single" w:color="auto" w:sz="4" w:space="0"/>
      </w:pBdr>
      <w:shd w:val="clear" w:color="000000" w:fill="BFBFBF"/>
      <w:spacing w:before="100" w:beforeAutospacing="1" w:after="100" w:afterAutospacing="1"/>
      <w:jc w:val="left"/>
    </w:pPr>
    <w:rPr>
      <w:rFonts w:ascii="宋体" w:hAnsi="宋体" w:cs="宋体"/>
      <w:b/>
      <w:bCs/>
      <w:kern w:val="0"/>
      <w:sz w:val="24"/>
      <w:szCs w:val="24"/>
    </w:rPr>
  </w:style>
  <w:style w:type="paragraph" w:customStyle="1" w:styleId="174">
    <w:name w:val="xl86"/>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szCs w:val="24"/>
    </w:rPr>
  </w:style>
  <w:style w:type="paragraph" w:customStyle="1" w:styleId="175">
    <w:name w:val="xl8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176">
    <w:name w:val="保留正文"/>
    <w:basedOn w:val="12"/>
    <w:uiPriority w:val="0"/>
    <w:pPr>
      <w:keepNext/>
      <w:spacing w:after="160"/>
    </w:pPr>
    <w:rPr>
      <w:rFonts w:ascii="Times New Roman" w:hAnsi="Times New Roman"/>
      <w:szCs w:val="24"/>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2.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7A84A4-4F46-455D-AA96-BF0906B2400D}">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26</Pages>
  <Words>1909</Words>
  <Characters>10884</Characters>
  <Lines>90</Lines>
  <Paragraphs>25</Paragraphs>
  <TotalTime>420</TotalTime>
  <ScaleCrop>false</ScaleCrop>
  <LinksUpToDate>false</LinksUpToDate>
  <CharactersWithSpaces>12768</CharactersWithSpaces>
  <Application>WPS Office_11.8.2.8053_F1E327BC-269C-435d-A152-05C5408002CA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2021-04-26T08:56:00Z</dcterms:created>
  <dc:creator>Tian</dc:creator>
  <cp:lastModifiedBy>蒋明君</cp:lastModifiedBy>
  <cp:lastPrinted>2021-03-02T00:56:00Z</cp:lastPrinted>
  <dcterms:modified xsi:type="dcterms:W3CDTF">2021-05-06T08:59:45Z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2052-11.8.2.8053</vt:lpwstr>
  </property>
</Properties>
</file>