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28"/>
          <w:szCs w:val="28"/>
        </w:rPr>
      </w:pPr>
      <w:bookmarkStart w:id="0" w:name="_Hlk56153099"/>
      <w:bookmarkEnd w:id="0"/>
      <w:r>
        <w:rPr>
          <w:rFonts w:hint="eastAsia"/>
          <w:b/>
          <w:sz w:val="28"/>
          <w:szCs w:val="28"/>
        </w:rPr>
        <w:t>广州大学城投资经营管理有限公司</w:t>
      </w:r>
    </w:p>
    <w:p>
      <w:pPr>
        <w:tabs>
          <w:tab w:val="left" w:pos="720"/>
        </w:tabs>
        <w:spacing w:before="120" w:beforeLines="50" w:after="120" w:afterLines="50" w:line="360" w:lineRule="auto"/>
        <w:jc w:val="center"/>
        <w:rPr>
          <w:b/>
          <w:sz w:val="28"/>
          <w:szCs w:val="28"/>
        </w:rPr>
      </w:pPr>
      <w:r>
        <w:rPr>
          <w:rFonts w:hint="eastAsia"/>
          <w:b/>
          <w:sz w:val="28"/>
          <w:szCs w:val="28"/>
        </w:rPr>
        <w:t>大学城</w:t>
      </w:r>
      <w:r>
        <w:rPr>
          <w:rFonts w:hint="eastAsia"/>
          <w:b/>
          <w:sz w:val="28"/>
          <w:szCs w:val="28"/>
          <w:lang w:val="en-US" w:eastAsia="zh-CN"/>
        </w:rPr>
        <w:t>小</w:t>
      </w:r>
      <w:r>
        <w:rPr>
          <w:rFonts w:hint="eastAsia"/>
          <w:b/>
          <w:sz w:val="28"/>
          <w:szCs w:val="28"/>
        </w:rPr>
        <w:t>谷围街政务服务中心搬迁及升级改造供冷工程</w:t>
      </w:r>
    </w:p>
    <w:p>
      <w:pPr>
        <w:tabs>
          <w:tab w:val="left" w:pos="720"/>
        </w:tabs>
        <w:spacing w:before="120" w:beforeLines="50" w:after="120" w:afterLines="50" w:line="360" w:lineRule="auto"/>
        <w:jc w:val="center"/>
        <w:rPr>
          <w:b/>
          <w:sz w:val="28"/>
          <w:szCs w:val="28"/>
        </w:rPr>
      </w:pP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项目名称：大学城</w:t>
      </w:r>
      <w:r>
        <w:rPr>
          <w:rFonts w:hint="eastAsia"/>
          <w:sz w:val="24"/>
          <w:lang w:val="en-US" w:eastAsia="zh-CN"/>
        </w:rPr>
        <w:t>小</w:t>
      </w:r>
      <w:r>
        <w:rPr>
          <w:rFonts w:hint="eastAsia"/>
          <w:sz w:val="24"/>
        </w:rPr>
        <w:t>谷围街政务服务中心搬迁及升级改造供冷工程</w:t>
      </w:r>
    </w:p>
    <w:p>
      <w:pPr>
        <w:numPr>
          <w:ilvl w:val="0"/>
          <w:numId w:val="2"/>
        </w:numPr>
        <w:spacing w:before="120" w:beforeLines="50" w:after="120" w:afterLines="50" w:line="360" w:lineRule="auto"/>
        <w:ind w:left="0" w:firstLine="480" w:firstLineChars="200"/>
        <w:rPr>
          <w:sz w:val="24"/>
        </w:rPr>
      </w:pPr>
      <w:r>
        <w:rPr>
          <w:rFonts w:hint="eastAsia"/>
          <w:sz w:val="24"/>
        </w:rPr>
        <w:t>项目地点：广州大学城</w:t>
      </w:r>
    </w:p>
    <w:p>
      <w:pPr>
        <w:numPr>
          <w:ilvl w:val="0"/>
          <w:numId w:val="2"/>
        </w:numPr>
        <w:spacing w:before="120" w:beforeLines="50" w:after="120" w:afterLines="50" w:line="360" w:lineRule="auto"/>
        <w:ind w:left="0" w:firstLine="480" w:firstLineChars="200"/>
        <w:rPr>
          <w:sz w:val="24"/>
        </w:rPr>
      </w:pPr>
      <w:r>
        <w:rPr>
          <w:rFonts w:hint="eastAsia"/>
          <w:sz w:val="24"/>
        </w:rPr>
        <w:t>采购限</w:t>
      </w:r>
      <w:r>
        <w:rPr>
          <w:rFonts w:hint="eastAsia" w:asciiTheme="minorEastAsia" w:hAnsiTheme="minorEastAsia" w:eastAsiaTheme="minorEastAsia"/>
          <w:sz w:val="24"/>
        </w:rPr>
        <w:t>价：人民币</w:t>
      </w:r>
      <w:bookmarkStart w:id="1" w:name="_Hlk95165479"/>
      <w:r>
        <w:rPr>
          <w:rFonts w:asciiTheme="minorEastAsia" w:hAnsiTheme="minorEastAsia" w:eastAsiaTheme="minorEastAsia"/>
          <w:sz w:val="24"/>
        </w:rPr>
        <w:t>39</w:t>
      </w:r>
      <w:r>
        <w:rPr>
          <w:rFonts w:hint="eastAsia" w:asciiTheme="minorEastAsia" w:hAnsiTheme="minorEastAsia" w:eastAsiaTheme="minorEastAsia"/>
          <w:sz w:val="24"/>
        </w:rPr>
        <w:t>万</w:t>
      </w:r>
      <w:bookmarkEnd w:id="1"/>
      <w:r>
        <w:rPr>
          <w:rFonts w:hint="eastAsia" w:asciiTheme="minorEastAsia" w:hAnsiTheme="minorEastAsia" w:eastAsiaTheme="minorEastAsia"/>
          <w:sz w:val="24"/>
        </w:rPr>
        <w:t>元（投标报</w:t>
      </w:r>
      <w:r>
        <w:rPr>
          <w:rFonts w:hint="eastAsia"/>
          <w:sz w:val="24"/>
        </w:rPr>
        <w:t>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before="120" w:beforeLines="50" w:after="120" w:afterLines="50" w:line="360" w:lineRule="auto"/>
        <w:ind w:firstLine="480" w:firstLineChars="200"/>
        <w:rPr>
          <w:rFonts w:ascii="宋体"/>
          <w:sz w:val="24"/>
        </w:rPr>
      </w:pPr>
      <w:r>
        <w:rPr>
          <w:rFonts w:hint="eastAsia" w:ascii="宋体"/>
          <w:sz w:val="24"/>
        </w:rPr>
        <w:t>小谷围政务服务中心计划将广州大学城综合商业服务区南区一部分作为新的办公场地，分两层布置，总建筑面积约1777㎡。空调总负荷约为339.3kW。空调冷源拟采用大学城区域集中供冷冷源。</w:t>
      </w:r>
    </w:p>
    <w:p>
      <w:pPr>
        <w:spacing w:before="120" w:beforeLines="50" w:after="120" w:afterLines="50" w:line="360" w:lineRule="auto"/>
        <w:ind w:firstLine="480" w:firstLineChars="200"/>
        <w:rPr>
          <w:sz w:val="24"/>
        </w:rPr>
      </w:pPr>
      <w:r>
        <w:rPr>
          <w:sz w:val="24"/>
        </w:rPr>
        <w:t>注：</w:t>
      </w:r>
      <w:r>
        <w:rPr>
          <w:rFonts w:hint="eastAsia"/>
          <w:sz w:val="24"/>
        </w:rPr>
        <w:t>本文件中甲方特指采购人，乙方特指中标单位。</w:t>
      </w: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numPr>
          <w:ilvl w:val="0"/>
          <w:numId w:val="3"/>
        </w:numPr>
        <w:spacing w:before="120" w:beforeLines="50" w:after="120" w:afterLines="50" w:line="360" w:lineRule="auto"/>
        <w:ind w:left="0" w:firstLine="480" w:firstLineChars="200"/>
        <w:rPr>
          <w:sz w:val="24"/>
        </w:rPr>
      </w:pPr>
      <w:r>
        <w:rPr>
          <w:rFonts w:hint="eastAsia"/>
          <w:sz w:val="24"/>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rPr>
      </w:pPr>
      <w:r>
        <w:rPr>
          <w:rFonts w:hint="eastAsia"/>
          <w:sz w:val="24"/>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sz w:val="24"/>
        </w:rPr>
      </w:pPr>
      <w:r>
        <w:rPr>
          <w:sz w:val="24"/>
        </w:rPr>
        <w:t>已办理合法税务登记，具有开具相应增值税专用发票资格</w:t>
      </w:r>
      <w:r>
        <w:rPr>
          <w:rFonts w:hint="eastAsia"/>
          <w:sz w:val="24"/>
        </w:rPr>
        <w:t>。</w:t>
      </w:r>
    </w:p>
    <w:p>
      <w:pPr>
        <w:numPr>
          <w:ilvl w:val="0"/>
          <w:numId w:val="3"/>
        </w:numPr>
        <w:spacing w:before="120" w:beforeLines="50" w:after="120" w:afterLines="50" w:line="360" w:lineRule="auto"/>
        <w:ind w:left="0" w:firstLine="480" w:firstLineChars="200"/>
        <w:rPr>
          <w:rFonts w:ascii="宋体" w:hAnsi="宋体"/>
          <w:sz w:val="24"/>
        </w:rPr>
      </w:pPr>
      <w:bookmarkStart w:id="2" w:name="_Hlk50641340"/>
      <w:bookmarkStart w:id="3" w:name="_Hlk45716001"/>
      <w:bookmarkStart w:id="4" w:name="_Hlk79507756"/>
      <w:bookmarkStart w:id="5" w:name="_Hlk76652374"/>
      <w:r>
        <w:rPr>
          <w:rFonts w:hint="eastAsia" w:ascii="宋体" w:hAnsi="宋体"/>
          <w:sz w:val="24"/>
        </w:rPr>
        <w:t>具备以下其中一种资质：</w:t>
      </w:r>
    </w:p>
    <w:p>
      <w:pPr>
        <w:pStyle w:val="35"/>
        <w:numPr>
          <w:ilvl w:val="3"/>
          <w:numId w:val="4"/>
        </w:numPr>
        <w:spacing w:before="120" w:beforeLines="50" w:after="120" w:afterLines="50" w:line="360" w:lineRule="auto"/>
        <w:ind w:firstLineChars="0"/>
        <w:rPr>
          <w:rFonts w:ascii="宋体" w:hAnsi="宋体"/>
          <w:sz w:val="24"/>
        </w:rPr>
      </w:pPr>
      <w:r>
        <w:rPr>
          <w:rFonts w:hint="eastAsia" w:ascii="宋体" w:hAnsi="宋体"/>
          <w:sz w:val="24"/>
        </w:rPr>
        <w:t>市政公用工程施工总承包三级或以上资质。</w:t>
      </w:r>
    </w:p>
    <w:p>
      <w:pPr>
        <w:pStyle w:val="35"/>
        <w:numPr>
          <w:ilvl w:val="3"/>
          <w:numId w:val="4"/>
        </w:numPr>
        <w:spacing w:before="120" w:beforeLines="50" w:after="120" w:afterLines="50" w:line="360" w:lineRule="auto"/>
        <w:ind w:firstLineChars="0"/>
        <w:rPr>
          <w:rFonts w:ascii="宋体" w:hAnsi="宋体"/>
          <w:sz w:val="24"/>
        </w:rPr>
      </w:pPr>
      <w:r>
        <w:rPr>
          <w:rFonts w:hint="eastAsia" w:ascii="宋体" w:hAnsi="宋体"/>
          <w:sz w:val="24"/>
        </w:rPr>
        <w:t>建筑机电安装工程专业承包三级资质或以上资质。</w:t>
      </w:r>
    </w:p>
    <w:bookmarkEnd w:id="2"/>
    <w:bookmarkEnd w:id="3"/>
    <w:bookmarkEnd w:id="4"/>
    <w:bookmarkEnd w:id="5"/>
    <w:p>
      <w:pPr>
        <w:numPr>
          <w:ilvl w:val="0"/>
          <w:numId w:val="3"/>
        </w:numPr>
        <w:spacing w:before="120" w:beforeLines="50" w:after="120" w:afterLines="50" w:line="360" w:lineRule="auto"/>
        <w:ind w:left="0" w:firstLine="480" w:firstLineChars="200"/>
        <w:rPr>
          <w:sz w:val="24"/>
        </w:rPr>
      </w:pPr>
      <w:r>
        <w:rPr>
          <w:rFonts w:hint="eastAsia"/>
          <w:sz w:val="24"/>
        </w:rPr>
        <w:t>投标人近3年内(2018年1月1日至今) 完成过质量合格的类似项目业绩（需提供合同和验收报告等相关证明材料复印件，完成时间以竣工验收时间为准）。</w:t>
      </w:r>
    </w:p>
    <w:p>
      <w:pPr>
        <w:numPr>
          <w:ilvl w:val="0"/>
          <w:numId w:val="3"/>
        </w:numPr>
        <w:spacing w:before="120" w:beforeLines="50" w:after="120" w:afterLines="50" w:line="360" w:lineRule="auto"/>
        <w:ind w:left="0" w:firstLine="480" w:firstLineChars="200"/>
        <w:rPr>
          <w:sz w:val="24"/>
        </w:rPr>
      </w:pPr>
      <w:r>
        <w:rPr>
          <w:rFonts w:hint="eastAsia"/>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项目内容及要求</w:t>
      </w:r>
    </w:p>
    <w:p>
      <w:pPr>
        <w:numPr>
          <w:ilvl w:val="0"/>
          <w:numId w:val="5"/>
        </w:numPr>
        <w:spacing w:before="120" w:beforeLines="50" w:after="120" w:afterLines="50" w:line="360" w:lineRule="auto"/>
        <w:ind w:left="0" w:firstLine="480" w:firstLineChars="200"/>
        <w:rPr>
          <w:rFonts w:ascii="宋体" w:hAnsi="宋体"/>
          <w:sz w:val="24"/>
        </w:rPr>
      </w:pPr>
      <w:r>
        <w:rPr>
          <w:rFonts w:hint="eastAsia" w:ascii="宋体" w:hAnsi="宋体"/>
          <w:sz w:val="24"/>
        </w:rPr>
        <w:t>工作范围</w:t>
      </w:r>
    </w:p>
    <w:p>
      <w:pPr>
        <w:ind w:left="720"/>
        <w:jc w:val="center"/>
        <w:rPr>
          <w:rFonts w:asciiTheme="minorEastAsia" w:hAnsiTheme="minorEastAsia"/>
          <w:sz w:val="28"/>
          <w:szCs w:val="28"/>
        </w:rPr>
      </w:pPr>
      <w:r>
        <w:rPr>
          <w:rFonts w:asciiTheme="minorEastAsia" w:hAnsiTheme="minorEastAsia"/>
          <w:sz w:val="28"/>
          <w:szCs w:val="28"/>
        </w:rPr>
        <w:drawing>
          <wp:inline distT="0" distB="0" distL="0" distR="0">
            <wp:extent cx="3933825" cy="3700145"/>
            <wp:effectExtent l="0" t="0" r="0" b="0"/>
            <wp:docPr id="2" name="图片 2" descr="C:\Users\cenyc\AppData\Local\Temp\WeChat Files\8034ba8a58ca0760d3cad1d7114d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enyc\AppData\Local\Temp\WeChat Files\8034ba8a58ca0760d3cad1d7114d77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32917" cy="3699572"/>
                    </a:xfrm>
                    <a:prstGeom prst="rect">
                      <a:avLst/>
                    </a:prstGeom>
                    <a:noFill/>
                    <a:ln>
                      <a:noFill/>
                    </a:ln>
                  </pic:spPr>
                </pic:pic>
              </a:graphicData>
            </a:graphic>
          </wp:inline>
        </w:drawing>
      </w:r>
    </w:p>
    <w:p>
      <w:pPr>
        <w:spacing w:before="120" w:beforeLines="50" w:after="120" w:afterLines="50" w:line="360" w:lineRule="auto"/>
        <w:ind w:firstLine="560" w:firstLineChars="200"/>
        <w:rPr>
          <w:rFonts w:ascii="宋体" w:hAnsi="宋体"/>
          <w:sz w:val="24"/>
        </w:rPr>
      </w:pPr>
      <w:r>
        <w:rPr>
          <w:rFonts w:hint="eastAsia" w:asciiTheme="minorEastAsia" w:hAnsiTheme="minorEastAsia"/>
          <w:sz w:val="28"/>
          <w:szCs w:val="28"/>
        </w:rPr>
        <w:t>如上图所示，</w:t>
      </w:r>
      <w:r>
        <w:rPr>
          <w:rFonts w:hint="eastAsia" w:asciiTheme="minorEastAsia" w:hAnsiTheme="minorEastAsia"/>
          <w:sz w:val="28"/>
          <w:szCs w:val="28"/>
          <w:lang w:val="en-US" w:eastAsia="zh-CN"/>
        </w:rPr>
        <w:t>小</w:t>
      </w:r>
      <w:bookmarkStart w:id="22" w:name="_GoBack"/>
      <w:bookmarkEnd w:id="22"/>
      <w:r>
        <w:rPr>
          <w:rFonts w:hint="eastAsia" w:asciiTheme="minorEastAsia" w:hAnsiTheme="minorEastAsia"/>
          <w:sz w:val="28"/>
          <w:szCs w:val="28"/>
        </w:rPr>
        <w:t>谷围街政务服务中心位于广州大学城中心南大街广州市环境监测中心西北面，主要包括供冷管道焊接敷设、附属件（如阀门、双法兰管道松套偿接头、Y型过滤器等）安装、阀门井及防水套管的制作、室内冷量计的安装及橡塑保温施工</w:t>
      </w:r>
      <w:r>
        <w:rPr>
          <w:rFonts w:hint="eastAsia" w:ascii="宋体" w:hAnsi="宋体"/>
          <w:sz w:val="24"/>
        </w:rPr>
        <w:t>。</w:t>
      </w:r>
    </w:p>
    <w:p>
      <w:pPr>
        <w:numPr>
          <w:ilvl w:val="0"/>
          <w:numId w:val="5"/>
        </w:numPr>
        <w:spacing w:before="120" w:beforeLines="50" w:after="120" w:afterLines="50" w:line="360" w:lineRule="auto"/>
        <w:ind w:left="0" w:firstLine="480" w:firstLineChars="200"/>
        <w:rPr>
          <w:rFonts w:ascii="宋体" w:hAnsi="宋体"/>
          <w:sz w:val="24"/>
        </w:rPr>
      </w:pPr>
      <w:r>
        <w:rPr>
          <w:rFonts w:hint="eastAsia" w:ascii="宋体" w:hAnsi="宋体"/>
          <w:sz w:val="24"/>
        </w:rPr>
        <w:t>施工内容：</w:t>
      </w:r>
    </w:p>
    <w:p>
      <w:pPr>
        <w:spacing w:before="120" w:beforeLines="50" w:after="120" w:afterLines="50" w:line="360" w:lineRule="auto"/>
        <w:rPr>
          <w:rFonts w:ascii="宋体" w:hAnsi="宋体"/>
          <w:sz w:val="24"/>
        </w:rPr>
      </w:pPr>
      <w:r>
        <w:drawing>
          <wp:inline distT="0" distB="0" distL="0" distR="0">
            <wp:extent cx="5443855" cy="4672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45387" cy="4674405"/>
                    </a:xfrm>
                    <a:prstGeom prst="rect">
                      <a:avLst/>
                    </a:prstGeom>
                  </pic:spPr>
                </pic:pic>
              </a:graphicData>
            </a:graphic>
          </wp:inline>
        </w:drawing>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如上图所示，政务服务中心空调冷源在大学城内环东路西北人行道内已敷设的DN500供冷母管上引出DN125供冷支管，横穿半条内环东路后，沿中心南大街北人行道下地埋敷设接至政务中心，与政务服务中心室内预留的空调冷水管道对接。施工内容如下：</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①大学城内环东路市政行车道、内环东路西北人行道、中心南大街人行道开挖及管沟回填、路面恢复；</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②DN125供、回水聚氨酯保温碳钢管（含45°、90°聚氨酯保温弯头、DN125转DN200同心异径聚氨酯保温管件焊接）、敷设约各130米；</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③管道附件，供、回水管上DN125手动蝶阀安装各1个，供水管上DN125的Y型过滤器安装；</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④供冷管道施工及附近安装后焊缝探伤，防锈刷漆，接口聚氨酯发泡保温、聚乙烯保温外护壳施工；</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⑤DN125支路阀阀门井砌筑，穿井壁防水套管安装；</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⑥管道施工完成后，补水试压；</w:t>
      </w:r>
    </w:p>
    <w:p>
      <w:pPr>
        <w:spacing w:before="120" w:beforeLines="50" w:after="120" w:afterLines="50" w:line="360" w:lineRule="auto"/>
        <w:ind w:firstLine="560" w:firstLineChars="200"/>
        <w:rPr>
          <w:rFonts w:ascii="宋体" w:hAnsi="宋体"/>
          <w:sz w:val="24"/>
        </w:rPr>
      </w:pPr>
      <w:r>
        <w:rPr>
          <w:rFonts w:hint="eastAsia" w:asciiTheme="minorEastAsia" w:hAnsiTheme="minorEastAsia"/>
          <w:sz w:val="28"/>
          <w:szCs w:val="28"/>
        </w:rPr>
        <w:t>⑦政务服务中心计量间内电磁冷量计安装、橡塑保温施工、接电、调试</w:t>
      </w:r>
    </w:p>
    <w:p>
      <w:pPr>
        <w:numPr>
          <w:ilvl w:val="0"/>
          <w:numId w:val="5"/>
        </w:numPr>
        <w:spacing w:before="120" w:beforeLines="50" w:after="120" w:afterLines="50" w:line="360" w:lineRule="auto"/>
        <w:ind w:left="0" w:firstLine="480" w:firstLineChars="200"/>
        <w:rPr>
          <w:rFonts w:ascii="宋体" w:hAnsi="宋体"/>
          <w:sz w:val="24"/>
        </w:rPr>
      </w:pPr>
      <w:r>
        <w:rPr>
          <w:rFonts w:hint="eastAsia" w:ascii="宋体" w:hAnsi="宋体"/>
          <w:sz w:val="24"/>
        </w:rPr>
        <w:t>施工方法及技术要求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1、碳钢管焊接安装技术要求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1）因此次施工管道均埋地预制聚氨酯发泡保温管道及管件，规格为DN125管道及管件,管道壁厚≥4.5mm。</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2）管道焊接应符合下列要求：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a）管道的对接焊缝采用氩电联焊，氩弧焊打底并以电弧焊盖面。</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b）焊接前，端面应进行坡口加工，焊缝附近管道杂质清理。</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c）焊缝间距应符合CJJ 28-2004《城镇供热管网工程施工及验收规范》的规定。</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d）对接焊缝应进行100%超声波无损探伤，角焊缝应进行100%磁粉无损探伤，焊缝质量应达到《承压设备无损检测 第三部分：超声检测》（</w:t>
      </w:r>
      <w:r>
        <w:rPr>
          <w:rFonts w:asciiTheme="minorEastAsia" w:hAnsiTheme="minorEastAsia"/>
          <w:sz w:val="28"/>
          <w:szCs w:val="28"/>
        </w:rPr>
        <w:t>NB/T 47013.</w:t>
      </w:r>
      <w:r>
        <w:rPr>
          <w:rFonts w:hint="eastAsia" w:asciiTheme="minorEastAsia" w:hAnsiTheme="minorEastAsia"/>
          <w:sz w:val="28"/>
          <w:szCs w:val="28"/>
        </w:rPr>
        <w:t>3</w:t>
      </w:r>
      <w:r>
        <w:rPr>
          <w:rFonts w:asciiTheme="minorEastAsia" w:hAnsiTheme="minorEastAsia"/>
          <w:sz w:val="28"/>
          <w:szCs w:val="28"/>
        </w:rPr>
        <w:t>—2015</w:t>
      </w:r>
      <w:r>
        <w:rPr>
          <w:rFonts w:hint="eastAsia" w:asciiTheme="minorEastAsia" w:hAnsiTheme="minorEastAsia"/>
          <w:sz w:val="28"/>
          <w:szCs w:val="28"/>
        </w:rPr>
        <w:t>）；《承压设备无损检测 第四部分：磁粉检测》（</w:t>
      </w:r>
      <w:r>
        <w:rPr>
          <w:rFonts w:asciiTheme="minorEastAsia" w:hAnsiTheme="minorEastAsia"/>
          <w:sz w:val="28"/>
          <w:szCs w:val="28"/>
        </w:rPr>
        <w:t>NB/T 47013.4—2015</w:t>
      </w:r>
      <w:r>
        <w:rPr>
          <w:rFonts w:hint="eastAsia" w:asciiTheme="minorEastAsia" w:hAnsiTheme="minorEastAsia"/>
          <w:sz w:val="28"/>
          <w:szCs w:val="28"/>
        </w:rPr>
        <w:t>）等质量要求。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2、橡塑保温施工技术要求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1）此次施工的室内碳钢管及冷量计外包橡塑保温厚度≥50mm。</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2）施工时应注意胶水桶上的使用说明，打开胶水罐时先要搅拌均匀；在施工时使用小罐，这样胶水不至于挥发得太快，当需要时从大罐中补充，当不使用时把罐盖严。</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2</w:t>
      </w:r>
      <w:r>
        <w:rPr>
          <w:rFonts w:hint="eastAsia" w:asciiTheme="minorEastAsia" w:hAnsiTheme="minorEastAsia"/>
          <w:sz w:val="28"/>
          <w:szCs w:val="28"/>
        </w:rPr>
        <w:t>）涂胶水时，要在粘贴的两个表面都涂抹并且为满涂，涂抹厚度要薄，且同时保证均匀（涂抹工具应该使用短刷或刮铲）。</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3</w:t>
      </w:r>
      <w:r>
        <w:rPr>
          <w:rFonts w:hint="eastAsia" w:asciiTheme="minorEastAsia" w:hAnsiTheme="minorEastAsia"/>
          <w:sz w:val="28"/>
          <w:szCs w:val="28"/>
        </w:rPr>
        <w:t>）本次保温所有接合面也需满涂胶水。</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4）涂过胶水的材料要等待“初干”才可粘接在一起，方可获得保温胶水最大粘接力，但涂完胶水的表面在任何情况下“放干”时间不能超过20分钟；并且粘接表面要挤压在一起，决不能让接缝或接头承受拉伸力。</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（5）管道表面等要注意保持清洁无灰尘、污物及锈渣等。</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（6）施工时，需保证旧的保温或管道表面都在无冷凝水、表面干燥的情况下，方可安装新的橡塑保温。</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（7）直管段保温要注意相邻两层的接头和纵向接缝必须错开（见下图）。</w:t>
      </w:r>
    </w:p>
    <w:p>
      <w:pPr>
        <w:spacing w:before="120" w:beforeLines="50" w:after="120" w:afterLines="50" w:line="360" w:lineRule="auto"/>
        <w:ind w:firstLine="560" w:firstLineChars="200"/>
        <w:rPr>
          <w:rFonts w:asciiTheme="minorEastAsia" w:hAnsiTheme="minorEastAsia"/>
          <w:sz w:val="28"/>
          <w:szCs w:val="28"/>
        </w:rPr>
      </w:pPr>
      <w:r>
        <w:rPr>
          <w:rFonts w:asciiTheme="minorEastAsia" w:hAnsiTheme="minorEastAsia"/>
          <w:sz w:val="28"/>
          <w:szCs w:val="28"/>
        </w:rPr>
        <w:drawing>
          <wp:inline distT="0" distB="0" distL="0" distR="0">
            <wp:extent cx="2076450" cy="1304925"/>
            <wp:effectExtent l="0" t="0" r="0" b="0"/>
            <wp:docPr id="5" name="图片 5"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746"/>
                    <pic:cNvPicPr>
                      <a:picLocks noChangeAspect="1" noChangeArrowheads="1"/>
                    </pic:cNvPicPr>
                  </pic:nvPicPr>
                  <pic:blipFill>
                    <a:blip r:embed="rId6" cstate="print">
                      <a:extLst>
                        <a:ext uri="{28A0092B-C50C-407E-A947-70E740481C1C}">
                          <a14:useLocalDpi xmlns:a14="http://schemas.microsoft.com/office/drawing/2010/main" val="0"/>
                        </a:ext>
                      </a:extLst>
                    </a:blip>
                    <a:srcRect t="4608" b="12521"/>
                    <a:stretch>
                      <a:fillRect/>
                    </a:stretch>
                  </pic:blipFill>
                  <pic:spPr>
                    <a:xfrm>
                      <a:off x="0" y="0"/>
                      <a:ext cx="2076450" cy="1304925"/>
                    </a:xfrm>
                    <a:prstGeom prst="rect">
                      <a:avLst/>
                    </a:prstGeom>
                    <a:noFill/>
                    <a:ln>
                      <a:noFill/>
                    </a:ln>
                  </pic:spPr>
                </pic:pic>
              </a:graphicData>
            </a:graphic>
          </wp:inline>
        </w:drawing>
      </w:r>
      <w:r>
        <w:rPr>
          <w:rFonts w:asciiTheme="minorEastAsia" w:hAnsiTheme="minorEastAsia"/>
          <w:sz w:val="28"/>
          <w:szCs w:val="28"/>
        </w:rPr>
        <w:drawing>
          <wp:inline distT="0" distB="0" distL="0" distR="0">
            <wp:extent cx="2876550" cy="1304925"/>
            <wp:effectExtent l="0" t="0" r="0" b="0"/>
            <wp:docPr id="4" name="图片 4"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747"/>
                    <pic:cNvPicPr>
                      <a:picLocks noChangeAspect="1" noChangeArrowheads="1"/>
                    </pic:cNvPicPr>
                  </pic:nvPicPr>
                  <pic:blipFill>
                    <a:blip r:embed="rId7" cstate="print">
                      <a:extLst>
                        <a:ext uri="{28A0092B-C50C-407E-A947-70E740481C1C}">
                          <a14:useLocalDpi xmlns:a14="http://schemas.microsoft.com/office/drawing/2010/main" val="0"/>
                        </a:ext>
                      </a:extLst>
                    </a:blip>
                    <a:srcRect t="4311" r="233" b="36108"/>
                    <a:stretch>
                      <a:fillRect/>
                    </a:stretch>
                  </pic:blipFill>
                  <pic:spPr>
                    <a:xfrm>
                      <a:off x="0" y="0"/>
                      <a:ext cx="2876550" cy="1304925"/>
                    </a:xfrm>
                    <a:prstGeom prst="rect">
                      <a:avLst/>
                    </a:prstGeom>
                    <a:noFill/>
                    <a:ln>
                      <a:noFill/>
                    </a:ln>
                  </pic:spPr>
                </pic:pic>
              </a:graphicData>
            </a:graphic>
          </wp:inline>
        </w:drawing>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（8）本次保温施工人员应充分考虑、综合利用、最大化的合理切割保温板材，对于法兰螺栓缝、阀门的填充应尽可能利用边角废料。</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（9）本次保温工程中第二层保温开始每层保温要在前一层保温完成</w:t>
      </w:r>
      <w:r>
        <w:rPr>
          <w:rFonts w:asciiTheme="minorEastAsia" w:hAnsiTheme="minorEastAsia"/>
          <w:sz w:val="28"/>
          <w:szCs w:val="28"/>
        </w:rPr>
        <w:t>24</w:t>
      </w:r>
      <w:r>
        <w:rPr>
          <w:rFonts w:hint="eastAsia" w:asciiTheme="minorEastAsia" w:hAnsiTheme="minorEastAsia"/>
          <w:sz w:val="28"/>
          <w:szCs w:val="28"/>
        </w:rPr>
        <w:t>小时后进行。</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（10）保温层须经甲乙双方相关人员现场检查确认。</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3、电磁冷量计安装要求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（1）传感器安装时注意保证两极轴线尽可能处于水平位置；</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（2）传感器安装时注意水流方向；</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（3）安装要保证预留足够的直管空间，一般原则为管道直径的前“5”后“3”长度；</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（4）不在传感器附近安装铁质支架；</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（5）搬运吊装传感器时，切忌在测量管内套入管棒或用绳索穿过测量管吊装，避免损坏衬里，否则介质会流入衬里背面而损坏绝缘；</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（6）传感器安装螺栓不可任意地拧紧，必须使用力矩扳手上紧；</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7）流量计测量精度取决于接地效果，在电磁流量测量系统中，被测介质起导电体作用，接地必须保证测量不受任何外加电磁干扰。接地导线必须不传送任何干扰电压，因此传感器的接地必须接至一个独立的接地点，接地要求符合</w:t>
      </w:r>
      <w:r>
        <w:rPr>
          <w:rFonts w:asciiTheme="minorEastAsia" w:hAnsiTheme="minorEastAsia"/>
          <w:sz w:val="28"/>
          <w:szCs w:val="28"/>
        </w:rPr>
        <w:t xml:space="preserve">VDE0100 </w:t>
      </w:r>
      <w:r>
        <w:rPr>
          <w:rFonts w:hint="eastAsia" w:asciiTheme="minorEastAsia" w:hAnsiTheme="minorEastAsia"/>
          <w:sz w:val="28"/>
          <w:szCs w:val="28"/>
        </w:rPr>
        <w:t>规则，接地电阻小于</w:t>
      </w:r>
      <w:r>
        <w:rPr>
          <w:rFonts w:asciiTheme="minorEastAsia" w:hAnsiTheme="minorEastAsia"/>
          <w:sz w:val="28"/>
          <w:szCs w:val="28"/>
        </w:rPr>
        <w:t>4</w:t>
      </w:r>
      <w:r>
        <w:rPr>
          <w:rFonts w:hint="eastAsia" w:asciiTheme="minorEastAsia" w:hAnsiTheme="minorEastAsia"/>
          <w:sz w:val="28"/>
          <w:szCs w:val="28"/>
        </w:rPr>
        <w:t>Ω；</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（8）信号转换器安装，应避免阳光直晒或受强烈振动，并尽可能靠近传感器安装，以减少信号传输线的干扰；</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（9）所有电缆不应在传感器的接线匣或转换器上跨越或绕圈；</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（10）传感器与转换器按出厂时的配对安装。</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4、阀门和法兰安装技术要求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1）阀门安装前应查验随机资料、合格证等文件，对外观检查无缺陷，开闭灵活。</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2）阀门的开关手轮应放在便于操作的位置，阀门要在关闭状态下进行安装。</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3）阀门到货时两端所附之薄片保护装置于安装时再拆除，免除异物渗入至阀门构件受损。 </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4）不得用阀门手轮作为吊装的承重点。</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5）法兰密封面及密封垫片应进行外观检查，不得有影响密封性能的缺陷存在。</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6）安装法兰端面要平行，偏差应不大于法兰外径的1.5%，即不大于2mm。不得采用加偏垫，多层垫或强力拧紧法兰一侧螺栓的方法，消除法兰接口端面的缝隙。</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7）法兰连接应保持同轴、螺栓中心偏差不超过孔径的5%，并保证螺栓能自由穿入。</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8）垫片的材质、型号应符合设计规定，垫片尺寸与法兰密封面相等。</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9）严禁采用先加好垫片并拧紧法兰螺栓，再焊接法兰焊口的方法进行法兰焊接。</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10）法兰连接应使用同一规格的螺栓，安装方向应一致，紧固螺栓时应对称，均匀的进行，松紧适度，紧固后丝扣外露长度应不超过2～3倍螺距，需要用垫圈调整时，每个螺栓只能用一个垫圈。</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5、发泡聚氨酯保温层技术要求：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（1）硬质发泡聚氨酯保温层应满足GB/T 29047-2012标准的要求。聚氨酯泡沫塑料保温层应使用不含氟利昂的发泡剂。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2</w:t>
      </w:r>
      <w:r>
        <w:rPr>
          <w:rFonts w:hint="eastAsia" w:asciiTheme="minorEastAsia" w:hAnsiTheme="minorEastAsia"/>
          <w:sz w:val="28"/>
          <w:szCs w:val="28"/>
        </w:rPr>
        <w:t>）泡沫结构符合GB/T 29047-2012中第5.4条规定。泡沫气孔结构平均径向尺寸应小于0.5mm，闭孔率应大于88%。</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3</w:t>
      </w:r>
      <w:r>
        <w:rPr>
          <w:rFonts w:hint="eastAsia" w:asciiTheme="minorEastAsia" w:hAnsiTheme="minorEastAsia"/>
          <w:sz w:val="28"/>
          <w:szCs w:val="28"/>
        </w:rPr>
        <w:t>）发泡聚氨酯保温层厚度≥3mm。</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4</w:t>
      </w:r>
      <w:r>
        <w:rPr>
          <w:rFonts w:hint="eastAsia" w:asciiTheme="minorEastAsia" w:hAnsiTheme="minorEastAsia"/>
          <w:sz w:val="28"/>
          <w:szCs w:val="28"/>
        </w:rPr>
        <w:t>）保温管的投料密度必须保证成品管的保温层任何位置的密度不得小于60kg/m3。</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5</w:t>
      </w:r>
      <w:r>
        <w:rPr>
          <w:rFonts w:hint="eastAsia" w:asciiTheme="minorEastAsia" w:hAnsiTheme="minorEastAsia"/>
          <w:sz w:val="28"/>
          <w:szCs w:val="28"/>
        </w:rPr>
        <w:t>）保温层压缩强度应大于0.3 MPa。</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）保温层应选用环保型催化剂进行聚氨酯发泡。</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7</w:t>
      </w:r>
      <w:r>
        <w:rPr>
          <w:rFonts w:hint="eastAsia" w:asciiTheme="minorEastAsia" w:hAnsiTheme="minorEastAsia"/>
          <w:sz w:val="28"/>
          <w:szCs w:val="28"/>
        </w:rPr>
        <w:t>）保温层温度导热系数不大于0.033W/（m·K）。</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8</w:t>
      </w:r>
      <w:r>
        <w:rPr>
          <w:rFonts w:hint="eastAsia" w:asciiTheme="minorEastAsia" w:hAnsiTheme="minorEastAsia"/>
          <w:sz w:val="28"/>
          <w:szCs w:val="28"/>
        </w:rPr>
        <w:t>）保温层吸水率不大于10%。</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9</w:t>
      </w:r>
      <w:r>
        <w:rPr>
          <w:rFonts w:hint="eastAsia" w:asciiTheme="minorEastAsia" w:hAnsiTheme="minorEastAsia"/>
          <w:sz w:val="28"/>
          <w:szCs w:val="28"/>
        </w:rPr>
        <w:t>）聚氨酯泡沫的原材料生产厂商应提供发泡原料类型、型号及各项技术指标的检测报告及授权保证书。</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6、接口保温施工要求：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埋地管道的保温全部采用发泡，发泡前应将管道表面、焊口表面脏污清理干净。焊接接口处安装相对应的电热熔套，两端搭接距离不小于500mm</w:t>
      </w:r>
      <w:r>
        <w:rPr>
          <w:rFonts w:asciiTheme="minorEastAsia" w:hAnsiTheme="minorEastAsia"/>
          <w:sz w:val="28"/>
          <w:szCs w:val="28"/>
        </w:rPr>
        <w:t>,</w:t>
      </w:r>
      <w:r>
        <w:rPr>
          <w:rFonts w:hint="eastAsia" w:asciiTheme="minorEastAsia" w:hAnsiTheme="minorEastAsia"/>
          <w:sz w:val="28"/>
          <w:szCs w:val="28"/>
        </w:rPr>
        <w:t>将该电熔套固定，连接电热熔焊机，对其进行焊接，密封好之后开3</w:t>
      </w:r>
      <w:r>
        <w:rPr>
          <w:rFonts w:asciiTheme="minorEastAsia" w:hAnsiTheme="minorEastAsia"/>
          <w:sz w:val="28"/>
          <w:szCs w:val="28"/>
        </w:rPr>
        <w:t>0mm</w:t>
      </w:r>
      <w:r>
        <w:rPr>
          <w:rFonts w:hint="eastAsia" w:asciiTheme="minorEastAsia" w:hAnsiTheme="minorEastAsia"/>
          <w:sz w:val="28"/>
          <w:szCs w:val="28"/>
        </w:rPr>
        <w:t>孔，将聚氨酯混合料搅拌均匀倒入注料孔，发泡完成之后用专用堵塞堵孔。地面以上弯头保温至少两层橡塑保温，胶水均匀薄涂，管道处和保温材料处均要涂抹保温，内外层保温错缝角度需要大于90度。</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7、高密度聚乙烯保护层技术参数要求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1）高密度聚乙烯外护管的制造检验符合GB/T 29046-2012的要求。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2）高密度聚乙烯树脂应按照GB/T 18475-2001的规定进行分级，应采用PE100及以上等级原料进行挤塑。聚乙烯树脂密度应大于935Kg/m3。其余添加原料应符合GB/T 29047中第5.3.1.1条规定。原料中不得掺用回用料。</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3）外护管密度应大于940 Kg/m3，碳黑含量符合GB/T 29047中第5.3.1.3条规定。</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4）两个外护管焊接时熔体流动速率之差≤0.5g/10min。</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5）外护管任意位置的屈服强度及断裂伸长率符合GB/T 29047中第5.3.2.3条规定。</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6）长期机械性能应符合GB/T 29047中第5.3.2.6条规定。</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7）外护管内表面应电晕处理，表面张力系数大于50dyn/cm。</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8）外护管耐稳定性开裂F50大于300小时。</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9）外护管热稳定性在210℃氧化诱导期大于20分钟。</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10)生产厂商应提供以上各项技术指标的检测报告及授权保证书。</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11)聚乙烯原料采用高密度聚乙烯塑料，其各项性能应符合GB/T29047-2012要求。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9、管道基坑回填施工要求：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1）在管道安装与铺设完毕后应立即回填，回填时间宜在气温较低时进行。回填时沟槽内应无积水，不得带水回填，不得回填淤泥、有机物。回填土中不得含有石块、砖及其它杂硬物体。</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2）管沟回填一般分为两次进行。铺设管道的同时，宜用石粉同时回填管道的两侧，一次回填高度以为0.1～0.15米，夯实后再回填第二层，直到回填到管顶以上至少0.1米处，回填过程中，管道下部与沟底间的空隙必须填实；管道接口前后0.2米范围内不得回填，以便后期焊缝探伤、观察试压情况等。管道焊缝探伤全部合格、试压合格后，在管道满水的情况下再大面积回填。采用机械回填时，要从管道两侧同时回填，机械不得在管道上行驶。</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3）管道在试压前，管顶以上回填厚度不应少于0.5米，以防试压时管道移动。</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4）沟槽回填材料及密实度等详情可参考下图方法实施：</w:t>
      </w:r>
    </w:p>
    <w:p>
      <w:pPr>
        <w:spacing w:before="120" w:beforeLines="50" w:after="120" w:afterLines="50" w:line="360" w:lineRule="auto"/>
        <w:ind w:firstLine="560" w:firstLineChars="200"/>
        <w:rPr>
          <w:rFonts w:asciiTheme="minorEastAsia" w:hAnsiTheme="minorEastAsia"/>
          <w:sz w:val="28"/>
          <w:szCs w:val="28"/>
        </w:rPr>
      </w:pPr>
      <w:r>
        <w:rPr>
          <w:rFonts w:asciiTheme="minorEastAsia" w:hAnsiTheme="minorEastAsia"/>
          <w:sz w:val="28"/>
          <w:szCs w:val="28"/>
        </w:rPr>
        <w:drawing>
          <wp:inline distT="0" distB="0" distL="0" distR="0">
            <wp:extent cx="5274310" cy="26193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2619452"/>
                    </a:xfrm>
                    <a:prstGeom prst="rect">
                      <a:avLst/>
                    </a:prstGeom>
                  </pic:spPr>
                </pic:pic>
              </a:graphicData>
            </a:graphic>
          </wp:inline>
        </w:drawing>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详细回填方法参见设计图资料。</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10、施工注意事项：</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1）乙方施工</w:t>
      </w:r>
      <w:r>
        <w:rPr>
          <w:rFonts w:asciiTheme="minorEastAsia" w:hAnsiTheme="minorEastAsia"/>
          <w:sz w:val="28"/>
          <w:szCs w:val="28"/>
        </w:rPr>
        <w:t>单位</w:t>
      </w:r>
      <w:r>
        <w:rPr>
          <w:rFonts w:hint="eastAsia" w:asciiTheme="minorEastAsia" w:hAnsiTheme="minorEastAsia"/>
          <w:sz w:val="28"/>
          <w:szCs w:val="28"/>
        </w:rPr>
        <w:t>必须提前联系甲方项目负责人到</w:t>
      </w:r>
      <w:r>
        <w:rPr>
          <w:rFonts w:asciiTheme="minorEastAsia" w:hAnsiTheme="minorEastAsia"/>
          <w:sz w:val="28"/>
          <w:szCs w:val="28"/>
        </w:rPr>
        <w:t>施工现场察看，</w:t>
      </w:r>
      <w:r>
        <w:rPr>
          <w:rFonts w:hint="eastAsia" w:asciiTheme="minorEastAsia" w:hAnsiTheme="minorEastAsia"/>
          <w:sz w:val="28"/>
          <w:szCs w:val="28"/>
        </w:rPr>
        <w:t>清晰</w:t>
      </w:r>
      <w:r>
        <w:rPr>
          <w:rFonts w:asciiTheme="minorEastAsia" w:hAnsiTheme="minorEastAsia"/>
          <w:sz w:val="28"/>
          <w:szCs w:val="28"/>
        </w:rPr>
        <w:t>了解</w:t>
      </w:r>
      <w:r>
        <w:rPr>
          <w:rFonts w:hint="eastAsia" w:asciiTheme="minorEastAsia" w:hAnsiTheme="minorEastAsia"/>
          <w:sz w:val="28"/>
          <w:szCs w:val="28"/>
        </w:rPr>
        <w:t>每个</w:t>
      </w:r>
      <w:r>
        <w:rPr>
          <w:rFonts w:asciiTheme="minorEastAsia" w:hAnsiTheme="minorEastAsia"/>
          <w:sz w:val="28"/>
          <w:szCs w:val="28"/>
        </w:rPr>
        <w:t>项目的施工要求及</w:t>
      </w:r>
      <w:r>
        <w:rPr>
          <w:rFonts w:hint="eastAsia" w:asciiTheme="minorEastAsia" w:hAnsiTheme="minorEastAsia"/>
          <w:sz w:val="28"/>
          <w:szCs w:val="28"/>
        </w:rPr>
        <w:t>其工程量</w:t>
      </w:r>
      <w:r>
        <w:rPr>
          <w:rFonts w:asciiTheme="minorEastAsia" w:hAnsiTheme="minorEastAsia"/>
          <w:sz w:val="28"/>
          <w:szCs w:val="28"/>
        </w:rPr>
        <w:t>。</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2）施工前</w:t>
      </w:r>
      <w:r>
        <w:rPr>
          <w:rFonts w:asciiTheme="minorEastAsia" w:hAnsiTheme="minorEastAsia"/>
          <w:sz w:val="28"/>
          <w:szCs w:val="28"/>
        </w:rPr>
        <w:t>，乙方施工负责人必须熟悉</w:t>
      </w:r>
      <w:r>
        <w:rPr>
          <w:rFonts w:hint="eastAsia" w:asciiTheme="minorEastAsia" w:hAnsiTheme="minorEastAsia"/>
          <w:sz w:val="28"/>
          <w:szCs w:val="28"/>
        </w:rPr>
        <w:t>本工程内</w:t>
      </w:r>
      <w:r>
        <w:rPr>
          <w:rFonts w:asciiTheme="minorEastAsia" w:hAnsiTheme="minorEastAsia"/>
          <w:sz w:val="28"/>
          <w:szCs w:val="28"/>
        </w:rPr>
        <w:t>每个细分</w:t>
      </w:r>
      <w:r>
        <w:rPr>
          <w:rFonts w:hint="eastAsia" w:asciiTheme="minorEastAsia" w:hAnsiTheme="minorEastAsia"/>
          <w:sz w:val="28"/>
          <w:szCs w:val="28"/>
        </w:rPr>
        <w:t>项目</w:t>
      </w:r>
      <w:r>
        <w:rPr>
          <w:rFonts w:asciiTheme="minorEastAsia" w:hAnsiTheme="minorEastAsia"/>
          <w:sz w:val="28"/>
          <w:szCs w:val="28"/>
        </w:rPr>
        <w:t>的内容及要求。</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3）本项目</w:t>
      </w:r>
      <w:r>
        <w:rPr>
          <w:rFonts w:asciiTheme="minorEastAsia" w:hAnsiTheme="minorEastAsia"/>
          <w:sz w:val="28"/>
          <w:szCs w:val="28"/>
        </w:rPr>
        <w:t>所涉及的管道焊接</w:t>
      </w:r>
      <w:r>
        <w:rPr>
          <w:rFonts w:hint="eastAsia" w:asciiTheme="minorEastAsia" w:hAnsiTheme="minorEastAsia"/>
          <w:sz w:val="28"/>
          <w:szCs w:val="28"/>
        </w:rPr>
        <w:t>，施工方需按我司《焊接质量管理制度》执行，进场施工的焊工必须先试焊合格。涉及到对接焊的管道必须做坡口，焊缝全部采用氩电联焊。</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接受甲方外委第三方对所有焊口</w:t>
      </w:r>
      <w:r>
        <w:rPr>
          <w:rFonts w:hint="eastAsia" w:asciiTheme="minorEastAsia" w:hAnsiTheme="minorEastAsia"/>
          <w:sz w:val="28"/>
          <w:szCs w:val="28"/>
        </w:rPr>
        <w:t>探伤检测，所有角焊缝进行100%磁粉探伤、对接焊缝进行100%超声波探伤。</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5）因施工现场在市政路行车道、人行道内，须由施工方在属地交警、城管、园林绿化等部门办理各审批流程并获得批复后方可施工。在政务服务中心内需征得街道办同意后，方能进场施工。涉及到冷冻水管道切割、焊接的施工，必须由冷站人员确认将待施工的冷冻水管段阀门关闭、排水消压后方可施工，具体进场日期由甲方项目负责人通知为准。</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6）因施工现场在市政道路、人行道内，注意文明施工，且施工过程需封闭大学城内环路段的，必须提前与属地交警部门协商交通疏导方案，注意施工围蔽围挡、交通指示牌设置需合理，并保障来往车辆、行人等的安全，施工单位应根据属地交警部门意见安排人员协助交通疏导，施工人员做好个人防护措施。</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7）如施工点周边有雨水、污水、燃气管道及电缆、通讯光缆沟、路灯等设施，施工前必须做好相应保护措施，不得擅自破坏市政设施。</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8）未经甲方及政务中心方允许，不得对任何冷冻水管网阀门井内阀门、政务中心楼宇内管道阀门进行开启或关闭操作。</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9）做好绿色文明施工措施，注意开挖产生的渣土的堆放不得影响市容市貌、校容校貌，需及时运走，运输渣土的车辆离开施工现场前需对车轮进行清洁，避免带泥上路、弄脏市政道路；注意保持施工区域周边道路的清洁。</w:t>
      </w:r>
    </w:p>
    <w:p>
      <w:pPr>
        <w:spacing w:before="120" w:beforeLines="50" w:after="12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11）施工作业前必须办理我司相关票证方可施工，现场的用电设备必须完好，符合相关安全要求；</w:t>
      </w:r>
    </w:p>
    <w:p>
      <w:pPr>
        <w:spacing w:before="120" w:beforeLines="50" w:after="120" w:afterLines="50" w:line="360" w:lineRule="auto"/>
        <w:ind w:firstLine="560" w:firstLineChars="200"/>
        <w:rPr>
          <w:rFonts w:ascii="宋体" w:hAnsi="宋体"/>
          <w:sz w:val="24"/>
        </w:rPr>
      </w:pPr>
      <w:r>
        <w:rPr>
          <w:rFonts w:hint="eastAsia" w:asciiTheme="minorEastAsia" w:hAnsiTheme="minorEastAsia"/>
          <w:sz w:val="28"/>
          <w:szCs w:val="28"/>
        </w:rPr>
        <w:t>10）新冠疫情防控期间，施工单位应遵守我省、市及街道疫情防控管理规定，做好防疫措施、办理入场申请后方可进入街道政务中心施工</w:t>
      </w:r>
      <w:r>
        <w:rPr>
          <w:rFonts w:hint="eastAsia" w:ascii="宋体" w:hAnsi="宋体"/>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工程量及材料说明</w:t>
      </w:r>
    </w:p>
    <w:p>
      <w:pPr>
        <w:spacing w:before="120" w:beforeLines="50" w:after="120" w:afterLines="50" w:line="360" w:lineRule="auto"/>
        <w:ind w:firstLine="480" w:firstLineChars="200"/>
        <w:rPr>
          <w:rFonts w:ascii="宋体" w:hAnsi="宋体"/>
          <w:sz w:val="24"/>
        </w:rPr>
      </w:pPr>
      <w:r>
        <w:rPr>
          <w:rFonts w:hint="eastAsia" w:ascii="宋体" w:hAnsi="宋体"/>
          <w:sz w:val="24"/>
        </w:rPr>
        <w:t>以下工程量仅作参考，本项目由投标人包工包料（注明甲供材料除外），投标人勘踏现场后，应根据下表及结合现场实际情况综合考虑再进行报价。</w:t>
      </w:r>
    </w:p>
    <w:p>
      <w:pPr>
        <w:spacing w:before="120" w:beforeLines="50" w:after="120" w:afterLines="50" w:line="360" w:lineRule="auto"/>
        <w:jc w:val="center"/>
        <w:rPr>
          <w:rFonts w:ascii="宋体" w:hAnsi="宋体"/>
          <w:b/>
          <w:sz w:val="28"/>
          <w:szCs w:val="28"/>
        </w:rPr>
      </w:pPr>
      <w:r>
        <w:rPr>
          <w:rFonts w:hint="eastAsia" w:ascii="宋体" w:hAnsi="宋体"/>
          <w:b/>
          <w:sz w:val="28"/>
          <w:szCs w:val="28"/>
        </w:rPr>
        <w:t>主要工程量清单</w:t>
      </w:r>
    </w:p>
    <w:tbl>
      <w:tblPr>
        <w:tblStyle w:val="23"/>
        <w:tblW w:w="8000" w:type="dxa"/>
        <w:tblInd w:w="2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76"/>
        <w:gridCol w:w="4536"/>
        <w:gridCol w:w="708"/>
        <w:gridCol w:w="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blHeader/>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1276"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szCs w:val="21"/>
              </w:rPr>
            </w:pPr>
            <w:r>
              <w:rPr>
                <w:rFonts w:hint="eastAsia" w:cs="宋体" w:asciiTheme="minorEastAsia" w:hAnsiTheme="minorEastAsia"/>
                <w:color w:val="000000"/>
                <w:kern w:val="0"/>
                <w:szCs w:val="21"/>
              </w:rPr>
              <w:t>项目名称</w:t>
            </w:r>
          </w:p>
        </w:tc>
        <w:tc>
          <w:tcPr>
            <w:tcW w:w="4536"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szCs w:val="21"/>
              </w:rPr>
            </w:pPr>
            <w:r>
              <w:rPr>
                <w:rFonts w:hint="eastAsia" w:cs="宋体" w:asciiTheme="minorEastAsia" w:hAnsiTheme="minorEastAsia"/>
                <w:color w:val="000000"/>
                <w:kern w:val="0"/>
                <w:szCs w:val="21"/>
              </w:rPr>
              <w:t>项目特征描述</w:t>
            </w:r>
          </w:p>
        </w:tc>
        <w:tc>
          <w:tcPr>
            <w:tcW w:w="708"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szCs w:val="21"/>
              </w:rPr>
            </w:pPr>
            <w:r>
              <w:rPr>
                <w:rFonts w:hint="eastAsia" w:cs="宋体" w:asciiTheme="minorEastAsia" w:hAnsiTheme="minorEastAsia"/>
                <w:color w:val="000000"/>
                <w:kern w:val="0"/>
                <w:szCs w:val="21"/>
              </w:rPr>
              <w:t>单位</w:t>
            </w:r>
          </w:p>
        </w:tc>
        <w:tc>
          <w:tcPr>
            <w:tcW w:w="851"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工程量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8"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聚氨酯发泡预制保温无缝钢管管（DN125）</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1.管道材质、规格:预制发泡聚氨酯保温钢管（DN125、钢管壁厚4.5mm）；</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2.埋设方式:室外埋地；</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3.连接形式:焊接连接；</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4.保温材料厚度:保温层采用发泡聚氨酯材料，厚度≥40mm；保温层热阻≤0.033W/mK；保温材料密度≥60Kg/m³；保温层吸水率≤10%。并设保护壳；</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5.压力试验及吹、洗设计要求:按设计及规范要求；</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6.接口处刷2层防锈漆；</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7.接口处现场发泡保温、PE外护壳包裹；</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8.其他:详见技术需求、图纸及设计规范要求。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米</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3"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90°聚氨酯发泡成品预制弯头（DN125）</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szCs w:val="21"/>
              </w:rPr>
              <w:t>1.种类:预制发泡聚氨酯保温弯头；</w:t>
            </w:r>
          </w:p>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szCs w:val="21"/>
              </w:rPr>
              <w:t>2.材质及规格:90°弯头(DN125)、20#、壁厚4.5mm；</w:t>
            </w:r>
          </w:p>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szCs w:val="21"/>
              </w:rPr>
              <w:t>3.保温层采用发泡聚氨酯材料，厚度≥40mm；保温层热阻≤0.033W/mK；保温材料密度≥60Kg/m³；保温层吸水率≤10%。并设保护壳；</w:t>
            </w:r>
          </w:p>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szCs w:val="21"/>
              </w:rPr>
              <w:t>4.接口形式:焊接连接；</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5.接口处刷2层防锈漆；</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6.接口处现场发泡保温、PE外护壳包裹；</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7. 压力试验及吹、洗设计要求:按设计及规范要求；</w:t>
            </w:r>
          </w:p>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kern w:val="0"/>
                <w:szCs w:val="21"/>
              </w:rPr>
              <w:t>8.其他:详见技术需求、图纸及设计规范要求。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个</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2"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45°聚氨酯发泡成品预制弯头（DN125）</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szCs w:val="21"/>
              </w:rPr>
              <w:t>1.种类:预制发泡聚氨酯保温弯头；</w:t>
            </w:r>
          </w:p>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szCs w:val="21"/>
              </w:rPr>
              <w:t>2.材质及规格:45°弯头(DN125)、20#、壁厚4.5mm；</w:t>
            </w:r>
          </w:p>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szCs w:val="21"/>
              </w:rPr>
              <w:t>3.保温层采用发泡聚氨酯材料，厚度≥40mm；保温层热阻≤0.033W/mK；保温材料密度≥60Kg/m³；保温层吸水率≤10%。并设保护壳；</w:t>
            </w:r>
          </w:p>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szCs w:val="21"/>
              </w:rPr>
              <w:t>4.接口形式：焊接连接；</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5.接口处刷2层防锈漆；</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6.接口处现场发泡保温、PE外护壳包裹；</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7. 压力试验及吹、洗设计要求:按设计及规范要求；</w:t>
            </w:r>
          </w:p>
          <w:p>
            <w:pPr>
              <w:widowControl/>
              <w:jc w:val="left"/>
              <w:textAlignment w:val="top"/>
              <w:rPr>
                <w:rFonts w:cs="宋体" w:asciiTheme="minorEastAsia" w:hAnsiTheme="minorEastAsia"/>
                <w:color w:val="000000"/>
                <w:szCs w:val="21"/>
              </w:rPr>
            </w:pPr>
            <w:r>
              <w:rPr>
                <w:rFonts w:hint="eastAsia" w:cs="宋体" w:asciiTheme="minorEastAsia" w:hAnsiTheme="minorEastAsia"/>
                <w:color w:val="000000"/>
                <w:kern w:val="0"/>
                <w:szCs w:val="21"/>
              </w:rPr>
              <w:t>8.其他:详见技术需求、图纸及设计规范要求。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个</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Y型过滤器（DN125）安装</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1.名称:Y型过滤器（30目）；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2.规格、压力等级:DN125、PN16；</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3.连接形式:法兰连接，管道焊接配对法兰、垫片安装；</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hint="eastAsia" w:cs="宋体" w:asciiTheme="minorEastAsia" w:hAnsiTheme="minorEastAsia"/>
                <w:szCs w:val="21"/>
              </w:rPr>
              <w:t>滤网材质为304，目数30目；本体材质Q450-10或WCB；</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5.外覆橡塑保温厚度≥50mm；</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6.安装在供水管供水阀后；</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7.其他:详见技术需求、图纸及设计规范要求。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ascii="宋体" w:hAnsi="宋体" w:cs="Tahoma"/>
                <w:szCs w:val="21"/>
              </w:rPr>
              <w:t>个</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法兰式涡轮手动蝶阀（DN125）安装</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ascii="宋体" w:hAnsi="宋体" w:cs="宋体"/>
                <w:color w:val="000000"/>
                <w:kern w:val="0"/>
                <w:szCs w:val="21"/>
                <w:lang w:bidi="ar"/>
              </w:rPr>
              <w:t>1.类型:手动涡轮蝶阀；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2.规格:DN125；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3.压力等级:PN16；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4.连接形式:法兰连接，配对法兰、垫片、螺栓安装；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个</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ascii="宋体" w:hAnsi="宋体" w:cs="Tahoma"/>
                <w:szCs w:val="21"/>
              </w:rPr>
              <w:t>排水阀安装</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ascii="宋体" w:hAnsi="宋体" w:cs="宋体"/>
                <w:color w:val="000000"/>
                <w:kern w:val="0"/>
                <w:szCs w:val="21"/>
                <w:lang w:bidi="ar"/>
              </w:rPr>
              <w:t>1.类型:铜闸阀；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2.规格:DN50；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3.压力等级:PN16；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4.连接形式:丝口连接，配套短管焊接、安装；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ascii="宋体" w:hAnsi="宋体" w:cs="Tahoma"/>
                <w:szCs w:val="21"/>
              </w:rPr>
              <w:t>个</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6"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ascii="宋体" w:hAnsi="宋体" w:cs="Tahoma"/>
                <w:szCs w:val="21"/>
              </w:rPr>
              <w:t>自动排气阀安装</w:t>
            </w:r>
          </w:p>
        </w:tc>
        <w:tc>
          <w:tcPr>
            <w:tcW w:w="4536" w:type="dxa"/>
            <w:shd w:val="clear" w:color="auto" w:fill="auto"/>
            <w:tcMar>
              <w:top w:w="15" w:type="dxa"/>
              <w:left w:w="15" w:type="dxa"/>
              <w:right w:w="15" w:type="dxa"/>
            </w:tcMar>
            <w:vAlign w:val="center"/>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1.类型:自动排气阀；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2.规格:DN20；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3.压力等级:PN16；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4.连接形式:丝口连接，配套短管焊接、安装；</w:t>
            </w:r>
          </w:p>
          <w:p>
            <w:pPr>
              <w:widowControl/>
              <w:jc w:val="left"/>
              <w:textAlignment w:val="top"/>
              <w:rPr>
                <w:rFonts w:cs="宋体" w:asciiTheme="minorEastAsia" w:hAnsiTheme="minorEastAsia"/>
                <w:color w:val="000000"/>
                <w:szCs w:val="21"/>
              </w:rPr>
            </w:pPr>
            <w:r>
              <w:rPr>
                <w:rFonts w:hint="eastAsia" w:ascii="宋体" w:hAnsi="宋体" w:cs="宋体"/>
                <w:color w:val="000000"/>
                <w:kern w:val="0"/>
                <w:szCs w:val="21"/>
                <w:lang w:bidi="ar"/>
              </w:rPr>
              <w:t>5.其他:详见技术需求、图纸及设计规范要求。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个</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双法兰管道松套补偿接头（DN125）安装</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1.名称:双法兰管道松套补偿接头 DN125；</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2.伸缩管材质为304不锈钢；</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3.连接方式：双法兰连接，</w:t>
            </w:r>
            <w:r>
              <w:rPr>
                <w:rFonts w:hint="eastAsia" w:ascii="宋体" w:hAnsi="宋体" w:cs="宋体"/>
                <w:color w:val="000000"/>
                <w:kern w:val="0"/>
                <w:szCs w:val="21"/>
                <w:lang w:bidi="ar"/>
              </w:rPr>
              <w:t>配对法兰、垫片、螺栓安装，</w:t>
            </w:r>
            <w:r>
              <w:rPr>
                <w:rFonts w:hint="eastAsia" w:cs="宋体" w:asciiTheme="minorEastAsia" w:hAnsiTheme="minorEastAsia"/>
                <w:color w:val="000000"/>
                <w:kern w:val="0"/>
                <w:szCs w:val="21"/>
              </w:rPr>
              <w:t>主要连接管道和阀门；</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4.温度范围：0～40℃；</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个</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阀门井制作</w:t>
            </w:r>
          </w:p>
        </w:tc>
        <w:tc>
          <w:tcPr>
            <w:tcW w:w="4536" w:type="dxa"/>
            <w:shd w:val="clear" w:color="auto" w:fill="auto"/>
            <w:tcMar>
              <w:top w:w="15" w:type="dxa"/>
              <w:left w:w="15" w:type="dxa"/>
              <w:right w:w="15" w:type="dxa"/>
            </w:tcMar>
            <w:vAlign w:val="center"/>
          </w:tcPr>
          <w:p>
            <w:pPr>
              <w:widowControl/>
              <w:jc w:val="left"/>
              <w:textAlignment w:val="top"/>
              <w:rPr>
                <w:rFonts w:ascii="宋体" w:hAnsi="宋体" w:cs="Tahoma"/>
                <w:szCs w:val="21"/>
              </w:rPr>
            </w:pPr>
            <w:r>
              <w:rPr>
                <w:rFonts w:hint="eastAsia" w:cs="宋体" w:asciiTheme="minorEastAsia" w:hAnsiTheme="minorEastAsia"/>
                <w:color w:val="000000"/>
                <w:kern w:val="0"/>
                <w:szCs w:val="21"/>
              </w:rPr>
              <w:t>1、阀门井尺寸</w:t>
            </w:r>
            <w:r>
              <w:rPr>
                <w:rFonts w:hint="eastAsia" w:ascii="宋体" w:hAnsi="宋体" w:cs="Tahoma"/>
                <w:szCs w:val="21"/>
              </w:rPr>
              <w:t>2100×1800×2250mm；</w:t>
            </w:r>
          </w:p>
          <w:p>
            <w:pPr>
              <w:widowControl/>
              <w:jc w:val="left"/>
              <w:textAlignment w:val="top"/>
              <w:rPr>
                <w:rFonts w:ascii="宋体" w:hAnsi="宋体" w:cs="Tahoma"/>
                <w:szCs w:val="21"/>
              </w:rPr>
            </w:pPr>
            <w:r>
              <w:rPr>
                <w:rFonts w:hint="eastAsia" w:ascii="宋体" w:hAnsi="宋体" w:cs="Tahoma"/>
                <w:szCs w:val="21"/>
              </w:rPr>
              <w:t>2、供冷管道穿井壁防水套管（DN300碳钢管）制作、安装4个，防水阻燃内容物填充；</w:t>
            </w:r>
          </w:p>
          <w:p>
            <w:pPr>
              <w:widowControl/>
              <w:jc w:val="left"/>
              <w:textAlignment w:val="top"/>
              <w:rPr>
                <w:rFonts w:ascii="宋体" w:hAnsi="宋体" w:cs="Tahoma"/>
                <w:szCs w:val="21"/>
              </w:rPr>
            </w:pPr>
            <w:r>
              <w:rPr>
                <w:rFonts w:hint="eastAsia" w:ascii="宋体" w:hAnsi="宋体" w:cs="Tahoma"/>
                <w:szCs w:val="21"/>
              </w:rPr>
              <w:t>3、DN700圆形铸铁井盖安装；</w:t>
            </w:r>
          </w:p>
          <w:p>
            <w:pPr>
              <w:widowControl/>
              <w:jc w:val="left"/>
              <w:textAlignment w:val="top"/>
              <w:rPr>
                <w:rFonts w:ascii="宋体" w:hAnsi="宋体" w:cs="Tahoma"/>
                <w:szCs w:val="21"/>
              </w:rPr>
            </w:pPr>
            <w:r>
              <w:rPr>
                <w:rFonts w:hint="eastAsia" w:ascii="宋体" w:hAnsi="宋体" w:cs="Tahoma"/>
                <w:szCs w:val="21"/>
              </w:rPr>
              <w:t>4、井盖板DN700孔周边防坠网挂钩（8个）及防坠网（1张）安装；</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座</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电磁冷量计安装</w:t>
            </w:r>
          </w:p>
          <w:p>
            <w:pPr>
              <w:jc w:val="left"/>
              <w:rPr>
                <w:rFonts w:ascii="宋体" w:hAnsi="宋体" w:cs="Tahoma"/>
                <w:szCs w:val="21"/>
              </w:rPr>
            </w:pPr>
            <w:r>
              <w:rPr>
                <w:rFonts w:hint="eastAsia" w:ascii="宋体" w:hAnsi="宋体" w:cs="Tahoma"/>
                <w:szCs w:val="21"/>
              </w:rPr>
              <w:t>（含温度传感器）</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1.在政务服务中心室内预留安装冷量计的管上切断电磁冷量计长度的管段；</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2.电磁冷量计配对法兰2片焊接、安装；</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3.电磁冷量计配对垫片、螺栓安装；</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4.电磁冷量计及法兰、周边管段橡塑保温施工，保温厚度≥50mm；</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5.电磁冷量计配套2支温度传感器安装及橡塑保温施工（保温厚度≥50mm）；</w:t>
            </w:r>
          </w:p>
          <w:p>
            <w:pPr>
              <w:widowControl/>
              <w:jc w:val="left"/>
              <w:textAlignment w:val="top"/>
              <w:rPr>
                <w:rFonts w:cs="宋体" w:asciiTheme="minorEastAsia" w:hAnsiTheme="minorEastAsia"/>
                <w:color w:val="000000"/>
                <w:kern w:val="0"/>
                <w:szCs w:val="21"/>
              </w:rPr>
            </w:pPr>
            <w:r>
              <w:rPr>
                <w:rFonts w:hint="eastAsia" w:ascii="宋体" w:hAnsi="宋体" w:cs="宋体"/>
                <w:color w:val="000000"/>
                <w:kern w:val="0"/>
                <w:szCs w:val="21"/>
                <w:lang w:bidi="ar"/>
              </w:rPr>
              <w:t>6.名称:电磁冷量计；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7.精度等级：2级；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8.冷量单位：KWh、MWh；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9.接电源：220VAC；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10.接信号电缆：5m分体线，输出信号：modbus RTU；</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11.安装温度探头：A级PT1000，0.1℃精度，配对精度0.06℃，配套管安装；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12.橡塑保温厚度≥50mm；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套</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挖沟槽土方</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开挖深度</w:t>
            </w:r>
            <w:r>
              <w:rPr>
                <w:rFonts w:hint="eastAsia" w:cs="宋体" w:asciiTheme="minorEastAsia" w:hAnsiTheme="minorEastAsia"/>
                <w:color w:val="000000"/>
                <w:kern w:val="0"/>
                <w:szCs w:val="21"/>
              </w:rPr>
              <w:t>1.7m；</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2.管道施工开挖坡度为1：0.63；</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hint="eastAsia" w:ascii="宋体" w:hAnsi="宋体" w:cs="宋体"/>
                <w:color w:val="000000"/>
                <w:kern w:val="0"/>
                <w:szCs w:val="21"/>
                <w:lang w:bidi="ar"/>
              </w:rPr>
              <w:t>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m³</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12</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碎石回填</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1.密实度要求:密实度≥94%；</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2.填方材料品种:碎石分层回填夯实；</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3.填方粒径要求:碎石Φ40～Φ60毫米；</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4.填方来源、运距:综合考虑；</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5.碎石层换填做法详 JGJ79-2012；</w:t>
            </w:r>
          </w:p>
          <w:p>
            <w:pPr>
              <w:widowControl/>
              <w:jc w:val="left"/>
              <w:textAlignment w:val="top"/>
              <w:rPr>
                <w:rFonts w:cs="宋体" w:asciiTheme="minorEastAsia" w:hAnsiTheme="minorEastAsia"/>
                <w:color w:val="000000"/>
                <w:kern w:val="0"/>
                <w:szCs w:val="21"/>
              </w:rPr>
            </w:pPr>
            <w:r>
              <w:rPr>
                <w:rFonts w:hint="eastAsia" w:ascii="宋体" w:hAnsi="宋体" w:cs="宋体"/>
                <w:color w:val="000000"/>
                <w:kern w:val="0"/>
                <w:szCs w:val="21"/>
                <w:lang w:bidi="ar"/>
              </w:rPr>
              <w:t>6.其他:详见技术需求、图纸及设计规范要求。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m³</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13</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石粉回填</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1.密实度要求:密实度≥90%</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2.填方材料品种:石粉回填</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3.填方来源、运距:综合考虑；</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hint="eastAsia" w:ascii="宋体" w:hAnsi="宋体" w:cs="宋体"/>
                <w:color w:val="000000"/>
                <w:kern w:val="0"/>
                <w:szCs w:val="21"/>
                <w:lang w:bidi="ar"/>
              </w:rPr>
              <w:t>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m³</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14</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原回填土</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1.密实度要求:以每层0.20米的厚度逐层回填，直至达到与邻近土地相同的密度；</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2.填方材料品种:与路基相同土壤；</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3.填方来源、运距:综合考虑；</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hint="eastAsia" w:ascii="宋体" w:hAnsi="宋体" w:cs="宋体"/>
                <w:color w:val="000000"/>
                <w:kern w:val="0"/>
                <w:szCs w:val="21"/>
                <w:lang w:bidi="ar"/>
              </w:rPr>
              <w:t>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m³</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余方弃置</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1.废弃料品种:土方、原路面沥青层、混凝土层等；</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2.按实际运距综合考虑；</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hint="eastAsia" w:ascii="宋体" w:hAnsi="宋体" w:cs="宋体"/>
                <w:color w:val="000000"/>
                <w:kern w:val="0"/>
                <w:szCs w:val="21"/>
                <w:lang w:bidi="ar"/>
              </w:rPr>
              <w:t>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ascii="宋体" w:hAnsi="宋体" w:cs="Tahoma"/>
                <w:szCs w:val="21"/>
              </w:rPr>
              <w:t>m³</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16</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人行道路面恢复</w:t>
            </w:r>
          </w:p>
        </w:tc>
        <w:tc>
          <w:tcPr>
            <w:tcW w:w="4536" w:type="dxa"/>
            <w:shd w:val="clear" w:color="auto" w:fill="auto"/>
            <w:tcMar>
              <w:top w:w="15" w:type="dxa"/>
              <w:left w:w="15" w:type="dxa"/>
              <w:right w:w="15" w:type="dxa"/>
            </w:tcMar>
            <w:vAlign w:val="center"/>
          </w:tcPr>
          <w:p>
            <w:pPr>
              <w:widowControl/>
              <w:jc w:val="left"/>
              <w:textAlignment w:val="top"/>
              <w:rPr>
                <w:rFonts w:ascii="宋体" w:hAnsi="宋体" w:cs="Tahoma"/>
                <w:szCs w:val="21"/>
              </w:rPr>
            </w:pPr>
            <w:r>
              <w:rPr>
                <w:rFonts w:hint="eastAsia" w:ascii="宋体" w:hAnsi="宋体" w:cs="Tahoma"/>
                <w:szCs w:val="21"/>
              </w:rPr>
              <w:t>1.按原路面恢复；</w:t>
            </w:r>
          </w:p>
          <w:p>
            <w:pPr>
              <w:widowControl/>
              <w:jc w:val="left"/>
              <w:textAlignment w:val="top"/>
              <w:rPr>
                <w:rFonts w:ascii="宋体" w:hAnsi="宋体" w:cs="Tahoma"/>
                <w:szCs w:val="21"/>
              </w:rPr>
            </w:pPr>
            <w:r>
              <w:rPr>
                <w:rFonts w:hint="eastAsia" w:ascii="宋体" w:hAnsi="宋体" w:cs="Tahoma"/>
                <w:szCs w:val="21"/>
              </w:rPr>
              <w:t>2.机压透水性环保彩地砖（按原人行道块料50%材料利旧）；</w:t>
            </w:r>
          </w:p>
          <w:p>
            <w:pPr>
              <w:widowControl/>
              <w:jc w:val="left"/>
              <w:textAlignment w:val="top"/>
              <w:rPr>
                <w:rFonts w:ascii="宋体" w:hAnsi="宋体" w:cs="Tahoma"/>
                <w:szCs w:val="21"/>
              </w:rPr>
            </w:pPr>
            <w:r>
              <w:rPr>
                <w:rFonts w:hint="eastAsia" w:ascii="宋体" w:hAnsi="宋体" w:cs="Tahoma"/>
                <w:szCs w:val="21"/>
              </w:rPr>
              <w:t>3. 1：1干性水泥砂3cm厚；</w:t>
            </w:r>
          </w:p>
          <w:p>
            <w:pPr>
              <w:widowControl/>
              <w:jc w:val="left"/>
              <w:textAlignment w:val="top"/>
              <w:rPr>
                <w:rFonts w:ascii="宋体" w:hAnsi="宋体" w:cs="Tahoma"/>
                <w:szCs w:val="21"/>
              </w:rPr>
            </w:pPr>
            <w:r>
              <w:rPr>
                <w:rFonts w:hint="eastAsia" w:ascii="宋体" w:hAnsi="宋体" w:cs="Tahoma"/>
                <w:szCs w:val="21"/>
              </w:rPr>
              <w:t>4. 6%水泥石屑稳定层 H=10cm；</w:t>
            </w:r>
          </w:p>
          <w:p>
            <w:pPr>
              <w:widowControl/>
              <w:jc w:val="left"/>
              <w:textAlignment w:val="top"/>
              <w:rPr>
                <w:rFonts w:ascii="宋体" w:hAnsi="宋体" w:cs="Tahoma"/>
                <w:szCs w:val="21"/>
              </w:rPr>
            </w:pPr>
            <w:r>
              <w:rPr>
                <w:rFonts w:hint="eastAsia" w:ascii="宋体" w:hAnsi="宋体" w:cs="Tahoma"/>
                <w:szCs w:val="21"/>
              </w:rPr>
              <w:t>5.机械夯实原基</w:t>
            </w:r>
          </w:p>
          <w:p>
            <w:pPr>
              <w:widowControl/>
              <w:jc w:val="left"/>
              <w:textAlignment w:val="top"/>
              <w:rPr>
                <w:rFonts w:cs="宋体" w:asciiTheme="minorEastAsia" w:hAnsiTheme="minorEastAsia"/>
                <w:color w:val="000000"/>
                <w:kern w:val="0"/>
                <w:szCs w:val="21"/>
              </w:rPr>
            </w:pPr>
            <w:r>
              <w:rPr>
                <w:rFonts w:hint="eastAsia" w:ascii="宋体" w:hAnsi="宋体" w:cs="Tahoma"/>
                <w:szCs w:val="21"/>
              </w:rPr>
              <w:t>6.</w:t>
            </w:r>
            <w:r>
              <w:rPr>
                <w:rFonts w:hint="eastAsia" w:ascii="宋体" w:hAnsi="宋体" w:cs="宋体"/>
                <w:color w:val="000000"/>
                <w:kern w:val="0"/>
                <w:szCs w:val="21"/>
                <w:lang w:bidi="ar"/>
              </w:rPr>
              <w:t>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17</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拆除人行道路面</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1.保护性拆除面层:机压透水性环保彩地砖6cm厚，按原人行道块料50%利旧；</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2.拆除基层:水泥石屑稳定层 10cm；</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hint="eastAsia" w:ascii="宋体" w:hAnsi="宋体" w:cs="宋体"/>
                <w:color w:val="000000"/>
                <w:kern w:val="0"/>
                <w:szCs w:val="21"/>
                <w:lang w:bidi="ar"/>
              </w:rPr>
              <w:t>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18</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沥青混凝土路面破除</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1.拆除面层:沥青混凝土路面10cm；</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2.拆除基层:水泥石屑稳定层22cm。</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19</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hint="eastAsia" w:ascii="宋体" w:hAnsi="宋体" w:cs="Tahoma"/>
                <w:szCs w:val="21"/>
              </w:rPr>
              <w:t>沥青C35混凝土路面恢复</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1.C35钢筋混凝土层20cm厚，Ø12钢筋，双层双向200@200；</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2.4cm细粒式改性沥青混凝土（AC-13I）；</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3.6cm中粒式改性沥青混凝土（AC-20I）；</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4.喷乳化沥青油2遍；</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5.8%水泥稳定层 H=22cm；</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6.原路基压实；</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7.</w:t>
            </w:r>
            <w:r>
              <w:rPr>
                <w:rFonts w:hint="eastAsia" w:ascii="宋体" w:hAnsi="宋体" w:cs="宋体"/>
                <w:color w:val="000000"/>
                <w:kern w:val="0"/>
                <w:szCs w:val="21"/>
                <w:lang w:bidi="ar"/>
              </w:rPr>
              <w:t>其他:详见技术需求、图纸及设计规范要求。</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20</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ascii="宋体" w:hAnsi="宋体" w:cs="Tahoma"/>
                <w:szCs w:val="21"/>
              </w:rPr>
              <w:t>绿色施工安全防护施工措施</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1.综合脚手架；</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2.施工现场围挡和临时占地围挡；</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3.施工围挡照明；</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4.施工便道；</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5.防渣土绿网；</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6.样板引路；</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7. 按照国家现行的建筑施工安全、施工现场环境与卫生标准和有关规定，结合现场实际施工环境制定相关措施。</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ascii="宋体" w:hAnsi="宋体" w:cs="Tahoma"/>
                <w:szCs w:val="21"/>
              </w:rPr>
              <w:t>项</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21</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ascii="宋体" w:hAnsi="宋体" w:cs="Tahoma"/>
                <w:szCs w:val="21"/>
              </w:rPr>
              <w:t>交通疏导</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1.施工现场围挡、围蔽；</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2.夜间警示灯、警示牌等；</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3.交通标志牌、指示牌等；</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4.水码、减速带、紧急疏散通道等；</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5.交通协管人员，配备反光衣等；</w:t>
            </w:r>
          </w:p>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6.乙方到属地交警部门办理交通疏导手续，按照属地公安交警部门要求，结合现场实际施工环境制定相关措施。</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ascii="宋体" w:hAnsi="宋体" w:cs="Tahoma"/>
                <w:szCs w:val="21"/>
              </w:rPr>
              <w:t>项</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5" w:hRule="atLeast"/>
        </w:trPr>
        <w:tc>
          <w:tcPr>
            <w:tcW w:w="629" w:type="dxa"/>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22</w:t>
            </w:r>
          </w:p>
        </w:tc>
        <w:tc>
          <w:tcPr>
            <w:tcW w:w="1276" w:type="dxa"/>
            <w:shd w:val="clear" w:color="auto" w:fill="auto"/>
            <w:tcMar>
              <w:top w:w="15" w:type="dxa"/>
              <w:left w:w="15" w:type="dxa"/>
              <w:right w:w="15" w:type="dxa"/>
            </w:tcMar>
            <w:vAlign w:val="center"/>
          </w:tcPr>
          <w:p>
            <w:pPr>
              <w:jc w:val="left"/>
              <w:rPr>
                <w:rFonts w:ascii="宋体" w:hAnsi="宋体" w:cs="Tahoma"/>
                <w:szCs w:val="21"/>
              </w:rPr>
            </w:pPr>
            <w:r>
              <w:rPr>
                <w:rFonts w:ascii="宋体" w:hAnsi="宋体" w:cs="Tahoma"/>
                <w:szCs w:val="21"/>
              </w:rPr>
              <w:t>施工现场清理</w:t>
            </w:r>
          </w:p>
        </w:tc>
        <w:tc>
          <w:tcPr>
            <w:tcW w:w="4536" w:type="dxa"/>
            <w:shd w:val="clear" w:color="auto" w:fill="auto"/>
            <w:tcMar>
              <w:top w:w="15" w:type="dxa"/>
              <w:left w:w="15" w:type="dxa"/>
              <w:right w:w="15" w:type="dxa"/>
            </w:tcMar>
            <w:vAlign w:val="center"/>
          </w:tcPr>
          <w:p>
            <w:pPr>
              <w:widowControl/>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Cs w:val="21"/>
              </w:rPr>
              <w:t>施工完成后，对施工现场清洁、清理。</w:t>
            </w:r>
          </w:p>
        </w:tc>
        <w:tc>
          <w:tcPr>
            <w:tcW w:w="708" w:type="dxa"/>
            <w:shd w:val="clear" w:color="auto" w:fill="auto"/>
            <w:tcMar>
              <w:top w:w="15" w:type="dxa"/>
              <w:left w:w="15" w:type="dxa"/>
              <w:right w:w="15" w:type="dxa"/>
            </w:tcMar>
            <w:vAlign w:val="center"/>
          </w:tcPr>
          <w:p>
            <w:pPr>
              <w:jc w:val="center"/>
              <w:rPr>
                <w:rFonts w:ascii="宋体" w:hAnsi="宋体" w:cs="Tahoma"/>
                <w:szCs w:val="21"/>
              </w:rPr>
            </w:pPr>
            <w:r>
              <w:rPr>
                <w:rFonts w:ascii="宋体" w:hAnsi="宋体" w:cs="Tahoma"/>
                <w:szCs w:val="21"/>
              </w:rPr>
              <w:t>项</w:t>
            </w:r>
          </w:p>
        </w:tc>
        <w:tc>
          <w:tcPr>
            <w:tcW w:w="851" w:type="dxa"/>
            <w:shd w:val="clear" w:color="auto" w:fill="auto"/>
            <w:tcMar>
              <w:top w:w="15" w:type="dxa"/>
              <w:left w:w="15" w:type="dxa"/>
              <w:right w:w="15" w:type="dxa"/>
            </w:tcMar>
            <w:vAlign w:val="center"/>
          </w:tcPr>
          <w:p>
            <w:pPr>
              <w:jc w:val="center"/>
              <w:rPr>
                <w:rFonts w:ascii="宋体" w:hAnsi="宋体" w:cs="Tahoma"/>
                <w:szCs w:val="21"/>
              </w:rPr>
            </w:pPr>
            <w:r>
              <w:rPr>
                <w:rFonts w:hint="eastAsia" w:ascii="宋体" w:hAnsi="宋体" w:cs="Tahoma"/>
                <w:szCs w:val="21"/>
              </w:rPr>
              <w:t>1</w:t>
            </w:r>
          </w:p>
        </w:tc>
      </w:tr>
    </w:tbl>
    <w:p>
      <w:pPr>
        <w:spacing w:before="120" w:beforeLines="50" w:after="120" w:afterLines="50" w:line="360" w:lineRule="auto"/>
        <w:jc w:val="left"/>
        <w:rPr>
          <w:rFonts w:ascii="宋体" w:hAnsi="宋体"/>
          <w:bCs/>
          <w:sz w:val="28"/>
          <w:szCs w:val="28"/>
        </w:rPr>
      </w:pPr>
      <w:r>
        <w:rPr>
          <w:rFonts w:hint="eastAsia" w:ascii="宋体" w:hAnsi="宋体"/>
          <w:bCs/>
          <w:sz w:val="28"/>
          <w:szCs w:val="28"/>
        </w:rPr>
        <w:t>部分主要材料：</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5308"/>
        <w:gridCol w:w="132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tcPr>
          <w:p>
            <w:pPr>
              <w:ind w:firstLine="420"/>
              <w:rPr>
                <w:rFonts w:asciiTheme="minorEastAsia" w:hAnsiTheme="minorEastAsia"/>
                <w:szCs w:val="21"/>
              </w:rPr>
            </w:pPr>
            <w:r>
              <w:rPr>
                <w:rFonts w:hint="eastAsia" w:asciiTheme="minorEastAsia" w:hAnsiTheme="minorEastAsia"/>
                <w:szCs w:val="21"/>
              </w:rPr>
              <w:t>名称</w:t>
            </w:r>
          </w:p>
        </w:tc>
        <w:tc>
          <w:tcPr>
            <w:tcW w:w="5308" w:type="dxa"/>
          </w:tcPr>
          <w:p>
            <w:pPr>
              <w:ind w:firstLine="420"/>
              <w:rPr>
                <w:rFonts w:asciiTheme="minorEastAsia" w:hAnsiTheme="minorEastAsia"/>
                <w:szCs w:val="21"/>
              </w:rPr>
            </w:pPr>
            <w:r>
              <w:rPr>
                <w:rFonts w:hint="eastAsia" w:asciiTheme="minorEastAsia" w:hAnsiTheme="minorEastAsia"/>
                <w:szCs w:val="21"/>
              </w:rPr>
              <w:t>型号、规格、材质</w:t>
            </w:r>
          </w:p>
        </w:tc>
        <w:tc>
          <w:tcPr>
            <w:tcW w:w="1326" w:type="dxa"/>
          </w:tcPr>
          <w:p>
            <w:pPr>
              <w:ind w:firstLine="210" w:firstLineChars="100"/>
              <w:rPr>
                <w:rFonts w:asciiTheme="minorEastAsia" w:hAnsiTheme="minorEastAsia"/>
                <w:szCs w:val="21"/>
              </w:rPr>
            </w:pPr>
            <w:r>
              <w:rPr>
                <w:rFonts w:hint="eastAsia" w:asciiTheme="minorEastAsia" w:hAnsiTheme="minorEastAsia"/>
                <w:szCs w:val="21"/>
              </w:rPr>
              <w:t>单位</w:t>
            </w:r>
          </w:p>
        </w:tc>
        <w:tc>
          <w:tcPr>
            <w:tcW w:w="1298" w:type="dxa"/>
          </w:tcPr>
          <w:p>
            <w:pPr>
              <w:ind w:firstLine="210" w:firstLineChars="100"/>
              <w:rPr>
                <w:rFonts w:asciiTheme="minorEastAsia" w:hAnsiTheme="minorEastAsia"/>
                <w:szCs w:val="21"/>
              </w:rPr>
            </w:pPr>
            <w:r>
              <w:rPr>
                <w:rFonts w:hint="eastAsia" w:asciiTheme="minorEastAsia" w:hAnsi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asciiTheme="minorEastAsia" w:hAnsiTheme="minorEastAsia"/>
                <w:szCs w:val="21"/>
              </w:rPr>
              <w:t>预制聚氨酯发泡保温管（</w:t>
            </w:r>
            <w:r>
              <w:rPr>
                <w:rFonts w:hint="eastAsia" w:asciiTheme="minorEastAsia" w:hAnsiTheme="minorEastAsia"/>
                <w:szCs w:val="21"/>
              </w:rPr>
              <w:t>DN125</w:t>
            </w:r>
            <w:r>
              <w:rPr>
                <w:rFonts w:asciiTheme="minorEastAsia" w:hAnsiTheme="minorEastAsia"/>
                <w:szCs w:val="21"/>
              </w:rPr>
              <w:t>）</w:t>
            </w:r>
          </w:p>
        </w:tc>
        <w:tc>
          <w:tcPr>
            <w:tcW w:w="5308" w:type="dxa"/>
          </w:tcPr>
          <w:p>
            <w:pPr>
              <w:rPr>
                <w:rFonts w:asciiTheme="minorEastAsia" w:hAnsiTheme="minorEastAsia"/>
                <w:szCs w:val="21"/>
              </w:rPr>
            </w:pPr>
            <w:r>
              <w:rPr>
                <w:rFonts w:hint="eastAsia" w:asciiTheme="minorEastAsia" w:hAnsiTheme="minorEastAsia"/>
                <w:szCs w:val="21"/>
              </w:rPr>
              <w:t>1.保温层采用发泡聚氨酯材料，厚度≥40mm；保温层热阻≤0.033W/mK；保温材料密度≥60Kg/m³；保温层吸水率≤10%。</w:t>
            </w:r>
          </w:p>
          <w:p>
            <w:pPr>
              <w:rPr>
                <w:rFonts w:asciiTheme="minorEastAsia" w:hAnsiTheme="minorEastAsia"/>
                <w:szCs w:val="21"/>
              </w:rPr>
            </w:pPr>
            <w:r>
              <w:rPr>
                <w:rFonts w:hint="eastAsia" w:asciiTheme="minorEastAsia" w:hAnsiTheme="minorEastAsia"/>
                <w:szCs w:val="21"/>
              </w:rPr>
              <w:t>2.外护壳采用高密度聚乙烯材料，密度≥940kg/m³，壁厚≥3.5mm。</w:t>
            </w:r>
          </w:p>
          <w:p>
            <w:pPr>
              <w:rPr>
                <w:rFonts w:asciiTheme="minorEastAsia" w:hAnsiTheme="minorEastAsia"/>
                <w:szCs w:val="21"/>
              </w:rPr>
            </w:pPr>
            <w:r>
              <w:rPr>
                <w:rFonts w:hint="eastAsia" w:asciiTheme="minorEastAsia" w:hAnsiTheme="minorEastAsia"/>
                <w:szCs w:val="21"/>
              </w:rPr>
              <w:t>3.钢管为无缝钢管，材质为20#，外径133mm，壁厚4.5mm。</w:t>
            </w:r>
          </w:p>
          <w:p>
            <w:pPr>
              <w:rPr>
                <w:rFonts w:asciiTheme="minorEastAsia" w:hAnsiTheme="minorEastAsia"/>
                <w:szCs w:val="21"/>
              </w:rPr>
            </w:pPr>
            <w:r>
              <w:rPr>
                <w:rFonts w:hint="eastAsia" w:asciiTheme="minorEastAsia" w:hAnsiTheme="minorEastAsia"/>
                <w:szCs w:val="21"/>
              </w:rPr>
              <w:t>4.按GB/T 29047-2012标准执行。</w:t>
            </w:r>
          </w:p>
          <w:p>
            <w:pPr>
              <w:rPr>
                <w:rFonts w:asciiTheme="minorEastAsia" w:hAnsiTheme="minorEastAsia"/>
                <w:szCs w:val="21"/>
              </w:rPr>
            </w:pPr>
            <w:r>
              <w:rPr>
                <w:rFonts w:hint="eastAsia" w:asciiTheme="minorEastAsia" w:hAnsiTheme="minorEastAsia"/>
                <w:szCs w:val="21"/>
              </w:rPr>
              <w:t>5.钢板：推荐选用或相当于武钢、宝钢、本钢、鞍钢、太钢、首钢、济钢、马钢所生产的板材。</w:t>
            </w:r>
          </w:p>
          <w:p>
            <w:pPr>
              <w:rPr>
                <w:rFonts w:asciiTheme="minorEastAsia" w:hAnsiTheme="minorEastAsia"/>
                <w:szCs w:val="21"/>
              </w:rPr>
            </w:pPr>
            <w:r>
              <w:rPr>
                <w:rFonts w:hint="eastAsia" w:asciiTheme="minorEastAsia" w:hAnsiTheme="minor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pPr>
              <w:rPr>
                <w:rFonts w:asciiTheme="minorEastAsia" w:hAnsiTheme="minorEastAsia"/>
                <w:szCs w:val="21"/>
              </w:rPr>
            </w:pPr>
            <w:r>
              <w:rPr>
                <w:rFonts w:hint="eastAsia" w:asciiTheme="minorEastAsia" w:hAnsiTheme="minor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1326" w:type="dxa"/>
            <w:vAlign w:val="center"/>
          </w:tcPr>
          <w:p>
            <w:pPr>
              <w:jc w:val="center"/>
              <w:rPr>
                <w:rFonts w:asciiTheme="minorEastAsia" w:hAnsiTheme="minorEastAsia"/>
                <w:szCs w:val="21"/>
              </w:rPr>
            </w:pPr>
            <w:r>
              <w:rPr>
                <w:rFonts w:asciiTheme="minorEastAsia" w:hAnsiTheme="minorEastAsia"/>
                <w:szCs w:val="21"/>
              </w:rPr>
              <w:t>米</w:t>
            </w:r>
          </w:p>
        </w:tc>
        <w:tc>
          <w:tcPr>
            <w:tcW w:w="1298" w:type="dxa"/>
            <w:vAlign w:val="center"/>
          </w:tcPr>
          <w:p>
            <w:pPr>
              <w:jc w:val="center"/>
              <w:rPr>
                <w:rFonts w:asciiTheme="minorEastAsia" w:hAnsiTheme="minorEastAsia"/>
                <w:szCs w:val="21"/>
              </w:rPr>
            </w:pPr>
            <w:r>
              <w:rPr>
                <w:rFonts w:hint="eastAsia" w:asciiTheme="minorEastAsia" w:hAnsiTheme="minorEastAsia"/>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hint="eastAsia" w:asciiTheme="minorEastAsia" w:hAnsiTheme="minorEastAsia"/>
                <w:szCs w:val="21"/>
              </w:rPr>
              <w:t>45°</w:t>
            </w:r>
            <w:r>
              <w:rPr>
                <w:rFonts w:asciiTheme="minorEastAsia" w:hAnsiTheme="minorEastAsia"/>
                <w:szCs w:val="21"/>
              </w:rPr>
              <w:t>预制聚氨酯发泡保温弯头（</w:t>
            </w:r>
            <w:r>
              <w:rPr>
                <w:rFonts w:hint="eastAsia" w:asciiTheme="minorEastAsia" w:hAnsiTheme="minorEastAsia"/>
                <w:szCs w:val="21"/>
              </w:rPr>
              <w:t>DN125</w:t>
            </w:r>
            <w:r>
              <w:rPr>
                <w:rFonts w:asciiTheme="minorEastAsia" w:hAnsiTheme="minorEastAsia"/>
                <w:szCs w:val="21"/>
              </w:rPr>
              <w:t>）</w:t>
            </w:r>
          </w:p>
        </w:tc>
        <w:tc>
          <w:tcPr>
            <w:tcW w:w="5308" w:type="dxa"/>
          </w:tcPr>
          <w:p>
            <w:pPr>
              <w:rPr>
                <w:rFonts w:asciiTheme="minorEastAsia" w:hAnsiTheme="minorEastAsia"/>
                <w:szCs w:val="21"/>
              </w:rPr>
            </w:pPr>
            <w:r>
              <w:rPr>
                <w:rFonts w:hint="eastAsia" w:asciiTheme="minorEastAsia" w:hAnsiTheme="minorEastAsia"/>
                <w:szCs w:val="21"/>
              </w:rPr>
              <w:t>1.保温层采用发泡聚氨酯材料，厚度≥40mm；保温层热阻≤0.033W/mK；保温材料密度≥60Kg/m³；保温层吸水率≤10%。</w:t>
            </w:r>
          </w:p>
          <w:p>
            <w:pPr>
              <w:rPr>
                <w:rFonts w:asciiTheme="minorEastAsia" w:hAnsiTheme="minorEastAsia"/>
                <w:szCs w:val="21"/>
              </w:rPr>
            </w:pPr>
            <w:r>
              <w:rPr>
                <w:rFonts w:hint="eastAsia" w:asciiTheme="minorEastAsia" w:hAnsiTheme="minorEastAsia"/>
                <w:szCs w:val="21"/>
              </w:rPr>
              <w:t>2.外护壳采用高密度聚乙烯材料，密度≥940kg/m³，壁厚≥3.5mm。</w:t>
            </w:r>
          </w:p>
          <w:p>
            <w:pPr>
              <w:rPr>
                <w:rFonts w:asciiTheme="minorEastAsia" w:hAnsiTheme="minorEastAsia"/>
                <w:szCs w:val="21"/>
              </w:rPr>
            </w:pPr>
            <w:r>
              <w:rPr>
                <w:rFonts w:hint="eastAsia" w:asciiTheme="minorEastAsia" w:hAnsiTheme="minorEastAsia"/>
                <w:szCs w:val="21"/>
              </w:rPr>
              <w:t>3. 45°成品预制弯头，DN125，材质为20#，外径133mm，壁厚4.5mm。</w:t>
            </w:r>
          </w:p>
          <w:p>
            <w:pPr>
              <w:rPr>
                <w:rFonts w:asciiTheme="minorEastAsia" w:hAnsiTheme="minorEastAsia"/>
                <w:szCs w:val="21"/>
              </w:rPr>
            </w:pPr>
            <w:r>
              <w:rPr>
                <w:rFonts w:hint="eastAsia" w:asciiTheme="minorEastAsia" w:hAnsiTheme="minorEastAsia"/>
                <w:szCs w:val="21"/>
              </w:rPr>
              <w:t>4.按GB/T13401或GB/T12459标准执行。</w:t>
            </w:r>
          </w:p>
          <w:p>
            <w:pPr>
              <w:rPr>
                <w:rFonts w:asciiTheme="minorEastAsia" w:hAnsiTheme="minorEastAsia"/>
                <w:szCs w:val="21"/>
              </w:rPr>
            </w:pPr>
            <w:r>
              <w:rPr>
                <w:rFonts w:hint="eastAsia" w:asciiTheme="minorEastAsia" w:hAnsiTheme="minorEastAsia"/>
                <w:szCs w:val="21"/>
              </w:rPr>
              <w:t>5.钢板：推荐选用或相当于武钢、宝钢、本钢、鞍钢、太钢、首钢、济钢、马钢所生产的板材。</w:t>
            </w:r>
          </w:p>
          <w:p>
            <w:pPr>
              <w:rPr>
                <w:rFonts w:asciiTheme="minorEastAsia" w:hAnsiTheme="minorEastAsia"/>
                <w:szCs w:val="21"/>
              </w:rPr>
            </w:pPr>
            <w:r>
              <w:rPr>
                <w:rFonts w:hint="eastAsia" w:asciiTheme="minorEastAsia" w:hAnsiTheme="minor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pPr>
              <w:rPr>
                <w:rFonts w:asciiTheme="minorEastAsia" w:hAnsiTheme="minorEastAsia"/>
                <w:szCs w:val="21"/>
              </w:rPr>
            </w:pPr>
            <w:r>
              <w:rPr>
                <w:rFonts w:hint="eastAsia" w:asciiTheme="minorEastAsia" w:hAnsiTheme="minor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1326" w:type="dxa"/>
            <w:vAlign w:val="center"/>
          </w:tcPr>
          <w:p>
            <w:pPr>
              <w:jc w:val="center"/>
              <w:rPr>
                <w:rFonts w:asciiTheme="minorEastAsia" w:hAnsiTheme="minorEastAsia"/>
                <w:szCs w:val="21"/>
              </w:rPr>
            </w:pPr>
            <w:r>
              <w:rPr>
                <w:rFonts w:asciiTheme="minorEastAsia" w:hAnsiTheme="minorEastAsia"/>
                <w:szCs w:val="21"/>
              </w:rPr>
              <w:t>个</w:t>
            </w:r>
          </w:p>
        </w:tc>
        <w:tc>
          <w:tcPr>
            <w:tcW w:w="1298" w:type="dxa"/>
            <w:vAlign w:val="center"/>
          </w:tcPr>
          <w:p>
            <w:pPr>
              <w:jc w:val="center"/>
              <w:rPr>
                <w:rFonts w:asciiTheme="minorEastAsia" w:hAnsiTheme="minorEastAsia"/>
                <w:szCs w:val="21"/>
              </w:rPr>
            </w:pPr>
            <w:r>
              <w:rPr>
                <w:rFonts w:hint="eastAsia" w:asciiTheme="minorEastAsia" w:hAnsi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hint="eastAsia" w:asciiTheme="minorEastAsia" w:hAnsiTheme="minorEastAsia"/>
                <w:szCs w:val="21"/>
              </w:rPr>
              <w:t>90°</w:t>
            </w:r>
            <w:r>
              <w:rPr>
                <w:rFonts w:asciiTheme="minorEastAsia" w:hAnsiTheme="minorEastAsia"/>
                <w:szCs w:val="21"/>
              </w:rPr>
              <w:t>预制聚氨酯发泡保温弯头（</w:t>
            </w:r>
            <w:r>
              <w:rPr>
                <w:rFonts w:hint="eastAsia" w:asciiTheme="minorEastAsia" w:hAnsiTheme="minorEastAsia"/>
                <w:szCs w:val="21"/>
              </w:rPr>
              <w:t>DN125</w:t>
            </w:r>
            <w:r>
              <w:rPr>
                <w:rFonts w:asciiTheme="minorEastAsia" w:hAnsiTheme="minorEastAsia"/>
                <w:szCs w:val="21"/>
              </w:rPr>
              <w:t>）</w:t>
            </w:r>
          </w:p>
        </w:tc>
        <w:tc>
          <w:tcPr>
            <w:tcW w:w="5308" w:type="dxa"/>
          </w:tcPr>
          <w:p>
            <w:pPr>
              <w:rPr>
                <w:rFonts w:asciiTheme="minorEastAsia" w:hAnsiTheme="minorEastAsia"/>
                <w:szCs w:val="21"/>
              </w:rPr>
            </w:pPr>
            <w:r>
              <w:rPr>
                <w:rFonts w:hint="eastAsia" w:asciiTheme="minorEastAsia" w:hAnsiTheme="minorEastAsia"/>
                <w:szCs w:val="21"/>
              </w:rPr>
              <w:t>1.保温层采用发泡聚氨酯材料，厚度≥40mm；保温层热阻≤0.033W/mK；保温材料密度≥60Kg/m³；保温层吸水率≤10%。</w:t>
            </w:r>
          </w:p>
          <w:p>
            <w:pPr>
              <w:rPr>
                <w:rFonts w:asciiTheme="minorEastAsia" w:hAnsiTheme="minorEastAsia"/>
                <w:szCs w:val="21"/>
              </w:rPr>
            </w:pPr>
            <w:r>
              <w:rPr>
                <w:rFonts w:hint="eastAsia" w:asciiTheme="minorEastAsia" w:hAnsiTheme="minorEastAsia"/>
                <w:szCs w:val="21"/>
              </w:rPr>
              <w:t>2.外护壳采用高密度聚乙烯材料，密度≥940kg/m³，壁厚≥3.5mm。</w:t>
            </w:r>
          </w:p>
          <w:p>
            <w:pPr>
              <w:rPr>
                <w:rFonts w:asciiTheme="minorEastAsia" w:hAnsiTheme="minorEastAsia"/>
                <w:szCs w:val="21"/>
              </w:rPr>
            </w:pPr>
            <w:r>
              <w:rPr>
                <w:rFonts w:hint="eastAsia" w:asciiTheme="minorEastAsia" w:hAnsiTheme="minorEastAsia"/>
                <w:szCs w:val="21"/>
              </w:rPr>
              <w:t>3. 90°成品预制弯头，DN125，材质为20#，外径133mm，壁厚4.5mm。</w:t>
            </w:r>
          </w:p>
          <w:p>
            <w:pPr>
              <w:rPr>
                <w:rFonts w:asciiTheme="minorEastAsia" w:hAnsiTheme="minorEastAsia"/>
                <w:szCs w:val="21"/>
              </w:rPr>
            </w:pPr>
            <w:r>
              <w:rPr>
                <w:rFonts w:hint="eastAsia" w:asciiTheme="minorEastAsia" w:hAnsiTheme="minorEastAsia"/>
                <w:szCs w:val="21"/>
              </w:rPr>
              <w:t>4.按GB/T13401或GB/T12459标准执行。</w:t>
            </w:r>
          </w:p>
          <w:p>
            <w:pPr>
              <w:rPr>
                <w:rFonts w:asciiTheme="minorEastAsia" w:hAnsiTheme="minorEastAsia"/>
                <w:szCs w:val="21"/>
              </w:rPr>
            </w:pPr>
            <w:r>
              <w:rPr>
                <w:rFonts w:hint="eastAsia" w:asciiTheme="minorEastAsia" w:hAnsiTheme="minorEastAsia"/>
                <w:szCs w:val="21"/>
              </w:rPr>
              <w:t>5.钢板：推荐选用或相当于武钢、宝钢、本钢、鞍钢、太钢、首钢、济钢、马钢所生产的板材。</w:t>
            </w:r>
          </w:p>
          <w:p>
            <w:pPr>
              <w:rPr>
                <w:rFonts w:asciiTheme="minorEastAsia" w:hAnsiTheme="minorEastAsia"/>
                <w:szCs w:val="21"/>
              </w:rPr>
            </w:pPr>
            <w:r>
              <w:rPr>
                <w:rFonts w:hint="eastAsia" w:asciiTheme="minorEastAsia" w:hAnsiTheme="minor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pPr>
              <w:rPr>
                <w:rFonts w:asciiTheme="minorEastAsia" w:hAnsiTheme="minorEastAsia"/>
                <w:szCs w:val="21"/>
              </w:rPr>
            </w:pPr>
            <w:r>
              <w:rPr>
                <w:rFonts w:hint="eastAsia" w:asciiTheme="minorEastAsia" w:hAnsiTheme="minor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1326" w:type="dxa"/>
            <w:vAlign w:val="center"/>
          </w:tcPr>
          <w:p>
            <w:pPr>
              <w:jc w:val="center"/>
              <w:rPr>
                <w:rFonts w:asciiTheme="minorEastAsia" w:hAnsiTheme="minorEastAsia"/>
                <w:szCs w:val="21"/>
              </w:rPr>
            </w:pPr>
            <w:r>
              <w:rPr>
                <w:rFonts w:asciiTheme="minorEastAsia" w:hAnsiTheme="minorEastAsia"/>
                <w:szCs w:val="21"/>
              </w:rPr>
              <w:t>个</w:t>
            </w:r>
          </w:p>
        </w:tc>
        <w:tc>
          <w:tcPr>
            <w:tcW w:w="1298" w:type="dxa"/>
            <w:vAlign w:val="center"/>
          </w:tcPr>
          <w:p>
            <w:pPr>
              <w:jc w:val="center"/>
              <w:rPr>
                <w:rFonts w:asciiTheme="minorEastAsia" w:hAnsiTheme="minorEastAsia"/>
                <w:szCs w:val="21"/>
              </w:rPr>
            </w:pPr>
            <w:r>
              <w:rPr>
                <w:rFonts w:hint="eastAsia" w:asciiTheme="minorEastAsia" w:hAnsi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hint="eastAsia" w:asciiTheme="minorEastAsia" w:hAnsiTheme="minorEastAsia"/>
                <w:szCs w:val="21"/>
              </w:rPr>
              <w:t>Y型过滤器</w:t>
            </w:r>
            <w:r>
              <w:rPr>
                <w:rFonts w:asciiTheme="minorEastAsia" w:hAnsiTheme="minorEastAsia"/>
                <w:szCs w:val="21"/>
              </w:rPr>
              <w:t>（</w:t>
            </w:r>
            <w:r>
              <w:rPr>
                <w:rFonts w:hint="eastAsia" w:asciiTheme="minorEastAsia" w:hAnsiTheme="minorEastAsia"/>
                <w:szCs w:val="21"/>
              </w:rPr>
              <w:t>DN125</w:t>
            </w:r>
            <w:r>
              <w:rPr>
                <w:rFonts w:asciiTheme="minorEastAsia" w:hAnsiTheme="minorEastAsia"/>
                <w:szCs w:val="21"/>
              </w:rPr>
              <w:t>）</w:t>
            </w:r>
          </w:p>
        </w:tc>
        <w:tc>
          <w:tcPr>
            <w:tcW w:w="5308" w:type="dxa"/>
          </w:tcPr>
          <w:p>
            <w:pPr>
              <w:rPr>
                <w:rFonts w:asciiTheme="minorEastAsia" w:hAnsiTheme="minorEastAsia"/>
                <w:szCs w:val="21"/>
              </w:rPr>
            </w:pPr>
            <w:r>
              <w:rPr>
                <w:rFonts w:hint="eastAsia" w:cs="宋体" w:asciiTheme="minorEastAsia" w:hAnsiTheme="minorEastAsia"/>
                <w:szCs w:val="21"/>
              </w:rPr>
              <w:t>1.名称:Y型过滤器（30目）；</w:t>
            </w:r>
            <w:r>
              <w:rPr>
                <w:rFonts w:hint="eastAsia" w:cs="宋体" w:asciiTheme="minorEastAsia" w:hAnsiTheme="minorEastAsia"/>
                <w:szCs w:val="21"/>
              </w:rPr>
              <w:br w:type="textWrapping"/>
            </w:r>
            <w:r>
              <w:rPr>
                <w:rFonts w:hint="eastAsia" w:cs="宋体" w:asciiTheme="minorEastAsia" w:hAnsiTheme="minorEastAsia"/>
                <w:szCs w:val="21"/>
              </w:rPr>
              <w:t>2.规格:DN125、PN16；</w:t>
            </w:r>
            <w:r>
              <w:rPr>
                <w:rFonts w:hint="eastAsia" w:cs="宋体" w:asciiTheme="minorEastAsia" w:hAnsiTheme="minorEastAsia"/>
                <w:szCs w:val="21"/>
              </w:rPr>
              <w:br w:type="textWrapping"/>
            </w:r>
            <w:r>
              <w:rPr>
                <w:rFonts w:hint="eastAsia" w:cs="宋体" w:asciiTheme="minorEastAsia" w:hAnsiTheme="minorEastAsia"/>
                <w:szCs w:val="21"/>
              </w:rPr>
              <w:t>3.滤网材质为304，目数30目；本体材质Q450-10或WCB，设计流量下阻力损失≯10kPa；</w:t>
            </w:r>
            <w:r>
              <w:rPr>
                <w:rFonts w:hint="eastAsia" w:cs="宋体" w:asciiTheme="minorEastAsia" w:hAnsiTheme="minorEastAsia"/>
                <w:szCs w:val="21"/>
              </w:rPr>
              <w:br w:type="textWrapping"/>
            </w:r>
            <w:r>
              <w:rPr>
                <w:rFonts w:hint="eastAsia" w:cs="宋体" w:asciiTheme="minorEastAsia" w:hAnsiTheme="minorEastAsia"/>
                <w:szCs w:val="21"/>
              </w:rPr>
              <w:t>4.连接形式:法兰连接；</w:t>
            </w:r>
            <w:r>
              <w:rPr>
                <w:rFonts w:hint="eastAsia" w:cs="宋体" w:asciiTheme="minorEastAsia" w:hAnsiTheme="minorEastAsia"/>
                <w:szCs w:val="21"/>
              </w:rPr>
              <w:br w:type="textWrapping"/>
            </w:r>
            <w:r>
              <w:rPr>
                <w:rFonts w:hint="eastAsia" w:cs="宋体" w:asciiTheme="minorEastAsia" w:hAnsiTheme="minorEastAsia"/>
                <w:szCs w:val="21"/>
              </w:rPr>
              <w:t>5.品牌：</w:t>
            </w:r>
            <w:r>
              <w:rPr>
                <w:rFonts w:hint="eastAsia" w:asciiTheme="minorEastAsia" w:hAnsiTheme="minorEastAsia"/>
                <w:szCs w:val="21"/>
              </w:rPr>
              <w:t>上海冠龙阀门节能设备股份有限公司</w:t>
            </w:r>
            <w:r>
              <w:rPr>
                <w:rFonts w:hint="eastAsia" w:cs="宋体" w:asciiTheme="minorEastAsia" w:hAnsiTheme="minorEastAsia"/>
                <w:szCs w:val="21"/>
              </w:rPr>
              <w:t>、</w:t>
            </w:r>
            <w:r>
              <w:rPr>
                <w:rFonts w:hint="eastAsia" w:asciiTheme="minorEastAsia" w:hAnsiTheme="minorEastAsia"/>
                <w:szCs w:val="21"/>
              </w:rPr>
              <w:t>博纳斯威阀门股份有限公司</w:t>
            </w:r>
            <w:r>
              <w:rPr>
                <w:rFonts w:hint="eastAsia" w:cs="宋体" w:asciiTheme="minorEastAsia" w:hAnsiTheme="minorEastAsia"/>
                <w:szCs w:val="21"/>
              </w:rPr>
              <w:t>、广东永泉阀门科技有限公司、浙江班尼戈流体控制有限公司。</w:t>
            </w:r>
          </w:p>
        </w:tc>
        <w:tc>
          <w:tcPr>
            <w:tcW w:w="1326" w:type="dxa"/>
            <w:vAlign w:val="center"/>
          </w:tcPr>
          <w:p>
            <w:pPr>
              <w:jc w:val="center"/>
              <w:rPr>
                <w:rFonts w:asciiTheme="minorEastAsia" w:hAnsiTheme="minorEastAsia"/>
                <w:szCs w:val="21"/>
              </w:rPr>
            </w:pPr>
            <w:r>
              <w:rPr>
                <w:rFonts w:asciiTheme="minorEastAsia" w:hAnsiTheme="minorEastAsia"/>
                <w:szCs w:val="21"/>
              </w:rPr>
              <w:t>个</w:t>
            </w:r>
          </w:p>
        </w:tc>
        <w:tc>
          <w:tcPr>
            <w:tcW w:w="1298" w:type="dxa"/>
            <w:vAlign w:val="center"/>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asciiTheme="minorEastAsia" w:hAnsiTheme="minorEastAsia"/>
                <w:szCs w:val="21"/>
              </w:rPr>
              <w:t>双法兰管道松套补偿接头（</w:t>
            </w:r>
            <w:r>
              <w:rPr>
                <w:rFonts w:hint="eastAsia" w:asciiTheme="minorEastAsia" w:hAnsiTheme="minorEastAsia"/>
                <w:szCs w:val="21"/>
              </w:rPr>
              <w:t>DN125</w:t>
            </w:r>
            <w:r>
              <w:rPr>
                <w:rFonts w:asciiTheme="minorEastAsia" w:hAnsiTheme="minorEastAsia"/>
                <w:szCs w:val="21"/>
              </w:rPr>
              <w:t>）</w:t>
            </w:r>
          </w:p>
        </w:tc>
        <w:tc>
          <w:tcPr>
            <w:tcW w:w="5308" w:type="dxa"/>
          </w:tcPr>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规格：双</w:t>
            </w:r>
            <w:r>
              <w:rPr>
                <w:rFonts w:hint="eastAsia" w:asciiTheme="minorEastAsia" w:hAnsiTheme="minorEastAsia"/>
                <w:szCs w:val="21"/>
              </w:rPr>
              <w:t>法兰式、套管式、DN125、PN16，温度变化范围为0</w:t>
            </w:r>
            <w:r>
              <w:rPr>
                <w:rFonts w:hint="eastAsia" w:cs="宋体" w:asciiTheme="minorEastAsia" w:hAnsiTheme="minorEastAsia"/>
                <w:color w:val="000000"/>
                <w:kern w:val="0"/>
                <w:szCs w:val="21"/>
              </w:rPr>
              <w:t>～40℃</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2、品牌：上海冠龙机械阀门有限公司、博雷（中国）控制系统有限公司、博纳斯威阀门股份有限公司、浙江班尼戈流体控制有限公司。</w:t>
            </w:r>
          </w:p>
        </w:tc>
        <w:tc>
          <w:tcPr>
            <w:tcW w:w="1326" w:type="dxa"/>
            <w:vAlign w:val="center"/>
          </w:tcPr>
          <w:p>
            <w:pPr>
              <w:jc w:val="center"/>
              <w:rPr>
                <w:rFonts w:asciiTheme="minorEastAsia" w:hAnsiTheme="minorEastAsia"/>
                <w:szCs w:val="21"/>
              </w:rPr>
            </w:pPr>
            <w:r>
              <w:rPr>
                <w:rFonts w:asciiTheme="minorEastAsia" w:hAnsiTheme="minorEastAsia"/>
                <w:szCs w:val="21"/>
              </w:rPr>
              <w:t>个</w:t>
            </w:r>
          </w:p>
        </w:tc>
        <w:tc>
          <w:tcPr>
            <w:tcW w:w="1298" w:type="dxa"/>
            <w:vAlign w:val="center"/>
          </w:tcPr>
          <w:p>
            <w:pPr>
              <w:jc w:val="center"/>
              <w:rPr>
                <w:rFonts w:asciiTheme="minorEastAsia" w:hAnsiTheme="minorEastAsia"/>
                <w:szCs w:val="21"/>
              </w:rPr>
            </w:pPr>
            <w:r>
              <w:rPr>
                <w:rFonts w:hint="eastAsia"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hint="eastAsia" w:asciiTheme="minorEastAsia" w:hAnsiTheme="minorEastAsia"/>
                <w:szCs w:val="21"/>
              </w:rPr>
              <w:t>防水套管</w:t>
            </w:r>
          </w:p>
        </w:tc>
        <w:tc>
          <w:tcPr>
            <w:tcW w:w="5308" w:type="dxa"/>
          </w:tcPr>
          <w:p>
            <w:pPr>
              <w:rPr>
                <w:rFonts w:cs="宋体" w:asciiTheme="minorEastAsia" w:hAnsiTheme="minorEastAsia"/>
                <w:szCs w:val="21"/>
              </w:rPr>
            </w:pPr>
            <w:r>
              <w:rPr>
                <w:rFonts w:hint="eastAsia" w:cs="宋体" w:asciiTheme="minorEastAsia" w:hAnsiTheme="minorEastAsia"/>
                <w:szCs w:val="21"/>
              </w:rPr>
              <w:t>DN300碳钢管（壁厚7mm），填充防水阻燃密实材料。用于冷冻水管穿阀门井壁。</w:t>
            </w:r>
          </w:p>
        </w:tc>
        <w:tc>
          <w:tcPr>
            <w:tcW w:w="1326" w:type="dxa"/>
            <w:vAlign w:val="center"/>
          </w:tcPr>
          <w:p>
            <w:pPr>
              <w:jc w:val="center"/>
              <w:rPr>
                <w:rFonts w:asciiTheme="minorEastAsia" w:hAnsiTheme="minorEastAsia"/>
                <w:szCs w:val="21"/>
              </w:rPr>
            </w:pPr>
            <w:r>
              <w:rPr>
                <w:rFonts w:asciiTheme="minorEastAsia" w:hAnsiTheme="minorEastAsia"/>
                <w:szCs w:val="21"/>
              </w:rPr>
              <w:t>个</w:t>
            </w:r>
          </w:p>
        </w:tc>
        <w:tc>
          <w:tcPr>
            <w:tcW w:w="1298" w:type="dxa"/>
            <w:vAlign w:val="center"/>
          </w:tcPr>
          <w:p>
            <w:pPr>
              <w:jc w:val="center"/>
              <w:rPr>
                <w:rFonts w:asciiTheme="minorEastAsia" w:hAnsiTheme="minorEastAsia"/>
                <w:szCs w:val="21"/>
              </w:rPr>
            </w:pPr>
            <w:r>
              <w:rPr>
                <w:rFonts w:hint="eastAsia" w:asciiTheme="minorEastAsia" w:hAnsi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asciiTheme="minorEastAsia" w:hAnsiTheme="minorEastAsia"/>
                <w:szCs w:val="21"/>
              </w:rPr>
              <w:t>法兰式手动涡轮蝶阀（</w:t>
            </w:r>
            <w:r>
              <w:rPr>
                <w:rFonts w:hint="eastAsia" w:asciiTheme="minorEastAsia" w:hAnsiTheme="minorEastAsia"/>
                <w:szCs w:val="21"/>
              </w:rPr>
              <w:t>DN125</w:t>
            </w:r>
            <w:r>
              <w:rPr>
                <w:rFonts w:asciiTheme="minorEastAsia" w:hAnsiTheme="minorEastAsia"/>
                <w:szCs w:val="21"/>
              </w:rPr>
              <w:t>）</w:t>
            </w:r>
          </w:p>
        </w:tc>
        <w:tc>
          <w:tcPr>
            <w:tcW w:w="5308" w:type="dxa"/>
          </w:tcPr>
          <w:p>
            <w:pPr>
              <w:jc w:val="left"/>
              <w:rPr>
                <w:rFonts w:asciiTheme="minorEastAsia" w:hAnsiTheme="minorEastAsia"/>
                <w:szCs w:val="21"/>
              </w:rPr>
            </w:pPr>
            <w:r>
              <w:rPr>
                <w:rFonts w:hint="eastAsia" w:asciiTheme="minorEastAsia" w:hAnsiTheme="minorEastAsia"/>
                <w:szCs w:val="21"/>
              </w:rPr>
              <w:t>1.规格：DN</w:t>
            </w:r>
            <w:r>
              <w:rPr>
                <w:rFonts w:asciiTheme="minorEastAsia" w:hAnsiTheme="minorEastAsia"/>
                <w:szCs w:val="21"/>
              </w:rPr>
              <w:t>125</w:t>
            </w:r>
            <w:r>
              <w:rPr>
                <w:rFonts w:hint="eastAsia" w:asciiTheme="minorEastAsia" w:hAnsiTheme="minorEastAsia"/>
                <w:szCs w:val="21"/>
              </w:rPr>
              <w:t>，PN16，法兰式、软密封。</w:t>
            </w:r>
          </w:p>
          <w:p>
            <w:pPr>
              <w:jc w:val="left"/>
              <w:rPr>
                <w:rFonts w:asciiTheme="minorEastAsia" w:hAnsiTheme="minorEastAsia"/>
                <w:szCs w:val="21"/>
              </w:rPr>
            </w:pPr>
            <w:r>
              <w:rPr>
                <w:rFonts w:hint="eastAsia" w:asciiTheme="minorEastAsia" w:hAnsiTheme="minorEastAsia"/>
                <w:szCs w:val="21"/>
              </w:rPr>
              <w:t>2.材质：阀体为球墨铸铁；阀轴、圆锥销为不锈钢；底端盖、阀板材质为QT450；阀座橡胶为EPDM（三元乙丙橡胶）。</w:t>
            </w:r>
          </w:p>
          <w:p>
            <w:pPr>
              <w:jc w:val="left"/>
              <w:rPr>
                <w:rFonts w:asciiTheme="minorEastAsia" w:hAnsiTheme="minorEastAsia"/>
                <w:szCs w:val="21"/>
              </w:rPr>
            </w:pPr>
            <w:r>
              <w:rPr>
                <w:rFonts w:hint="eastAsia" w:asciiTheme="minorEastAsia" w:hAnsiTheme="minorEastAsia"/>
                <w:szCs w:val="21"/>
              </w:rPr>
              <w:t>3.品牌：上海冠龙阀门节能设备股份有限公司</w:t>
            </w:r>
            <w:r>
              <w:rPr>
                <w:rFonts w:hint="eastAsia" w:cs="宋体" w:asciiTheme="minorEastAsia" w:hAnsiTheme="minorEastAsia"/>
                <w:szCs w:val="21"/>
              </w:rPr>
              <w:t>、</w:t>
            </w:r>
            <w:r>
              <w:rPr>
                <w:rFonts w:hint="eastAsia" w:asciiTheme="minorEastAsia" w:hAnsiTheme="minorEastAsia"/>
                <w:szCs w:val="21"/>
              </w:rPr>
              <w:t>博纳斯威阀门股份有限公司</w:t>
            </w:r>
            <w:r>
              <w:rPr>
                <w:rFonts w:hint="eastAsia" w:cs="宋体" w:asciiTheme="minorEastAsia" w:hAnsiTheme="minorEastAsia"/>
                <w:szCs w:val="21"/>
              </w:rPr>
              <w:t>、广东永泉阀门科技有限公司、浙江班尼戈流体控制有限公司。</w:t>
            </w:r>
          </w:p>
        </w:tc>
        <w:tc>
          <w:tcPr>
            <w:tcW w:w="1326" w:type="dxa"/>
            <w:vAlign w:val="center"/>
          </w:tcPr>
          <w:p>
            <w:pPr>
              <w:jc w:val="center"/>
              <w:rPr>
                <w:rFonts w:asciiTheme="minorEastAsia" w:hAnsiTheme="minorEastAsia"/>
                <w:szCs w:val="21"/>
              </w:rPr>
            </w:pPr>
            <w:r>
              <w:rPr>
                <w:rFonts w:asciiTheme="minorEastAsia" w:hAnsiTheme="minorEastAsia"/>
                <w:szCs w:val="21"/>
              </w:rPr>
              <w:t>个</w:t>
            </w:r>
          </w:p>
        </w:tc>
        <w:tc>
          <w:tcPr>
            <w:tcW w:w="1298" w:type="dxa"/>
            <w:vAlign w:val="center"/>
          </w:tcPr>
          <w:p>
            <w:pPr>
              <w:jc w:val="center"/>
              <w:rPr>
                <w:rFonts w:asciiTheme="minorEastAsia" w:hAnsiTheme="minorEastAsia"/>
                <w:szCs w:val="21"/>
              </w:rPr>
            </w:pPr>
            <w:r>
              <w:rPr>
                <w:rFonts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asciiTheme="minorEastAsia" w:hAnsiTheme="minorEastAsia"/>
                <w:szCs w:val="21"/>
              </w:rPr>
              <w:t>铜闸阀</w:t>
            </w:r>
          </w:p>
        </w:tc>
        <w:tc>
          <w:tcPr>
            <w:tcW w:w="5308" w:type="dxa"/>
          </w:tcPr>
          <w:p>
            <w:pPr>
              <w:rPr>
                <w:rFonts w:asciiTheme="minorEastAsia" w:hAnsiTheme="minorEastAsia"/>
                <w:szCs w:val="21"/>
              </w:rPr>
            </w:pPr>
            <w:r>
              <w:rPr>
                <w:rFonts w:hint="eastAsia" w:asciiTheme="minorEastAsia" w:hAnsiTheme="minorEastAsia"/>
                <w:szCs w:val="21"/>
              </w:rPr>
              <w:t>1.规格：DN50、PN16；</w:t>
            </w:r>
          </w:p>
          <w:p>
            <w:pPr>
              <w:rPr>
                <w:rFonts w:asciiTheme="minorEastAsia" w:hAnsiTheme="minorEastAsia"/>
                <w:szCs w:val="21"/>
              </w:rPr>
            </w:pPr>
            <w:r>
              <w:rPr>
                <w:rFonts w:hint="eastAsia" w:asciiTheme="minorEastAsia" w:hAnsiTheme="minorEastAsia"/>
                <w:szCs w:val="21"/>
              </w:rPr>
              <w:t>2.材质：黄铜；</w:t>
            </w:r>
          </w:p>
          <w:p>
            <w:pPr>
              <w:rPr>
                <w:rFonts w:asciiTheme="minorEastAsia" w:hAnsiTheme="minorEastAsia"/>
                <w:szCs w:val="21"/>
              </w:rPr>
            </w:pPr>
            <w:r>
              <w:rPr>
                <w:rFonts w:hint="eastAsia" w:asciiTheme="minorEastAsia" w:hAnsiTheme="minorEastAsia"/>
                <w:szCs w:val="21"/>
              </w:rPr>
              <w:t>3.工作介质：水；</w:t>
            </w:r>
          </w:p>
          <w:p>
            <w:pPr>
              <w:rPr>
                <w:rFonts w:cs="宋体" w:asciiTheme="minorEastAsia" w:hAnsiTheme="minorEastAsia"/>
                <w:color w:val="000000"/>
                <w:kern w:val="0"/>
                <w:szCs w:val="21"/>
              </w:rPr>
            </w:pPr>
            <w:r>
              <w:rPr>
                <w:rFonts w:hint="eastAsia" w:asciiTheme="minorEastAsia" w:hAnsiTheme="minorEastAsia"/>
                <w:szCs w:val="21"/>
              </w:rPr>
              <w:t>4.工作温度：0</w:t>
            </w:r>
            <w:r>
              <w:rPr>
                <w:rFonts w:hint="eastAsia" w:cs="宋体" w:asciiTheme="minorEastAsia" w:hAnsiTheme="minorEastAsia"/>
                <w:color w:val="000000"/>
                <w:kern w:val="0"/>
                <w:szCs w:val="21"/>
              </w:rPr>
              <w:t>～40℃；</w:t>
            </w:r>
          </w:p>
          <w:p>
            <w:pPr>
              <w:rPr>
                <w:rFonts w:asciiTheme="minorEastAsia" w:hAnsiTheme="minorEastAsia"/>
                <w:szCs w:val="21"/>
              </w:rPr>
            </w:pPr>
            <w:r>
              <w:rPr>
                <w:rFonts w:hint="eastAsia" w:cs="宋体" w:asciiTheme="minorEastAsia" w:hAnsiTheme="minorEastAsia"/>
                <w:color w:val="000000"/>
                <w:kern w:val="0"/>
                <w:szCs w:val="21"/>
              </w:rPr>
              <w:t>5.连接方式：丝口连接。</w:t>
            </w:r>
          </w:p>
        </w:tc>
        <w:tc>
          <w:tcPr>
            <w:tcW w:w="1326" w:type="dxa"/>
            <w:vAlign w:val="center"/>
          </w:tcPr>
          <w:p>
            <w:pPr>
              <w:jc w:val="center"/>
              <w:rPr>
                <w:rFonts w:asciiTheme="minorEastAsia" w:hAnsiTheme="minorEastAsia"/>
                <w:szCs w:val="21"/>
              </w:rPr>
            </w:pPr>
            <w:r>
              <w:rPr>
                <w:rFonts w:hint="eastAsia" w:asciiTheme="minorEastAsia" w:hAnsiTheme="minorEastAsia"/>
                <w:szCs w:val="21"/>
              </w:rPr>
              <w:t>米</w:t>
            </w:r>
          </w:p>
        </w:tc>
        <w:tc>
          <w:tcPr>
            <w:tcW w:w="1298" w:type="dxa"/>
            <w:vAlign w:val="center"/>
          </w:tcPr>
          <w:p>
            <w:pPr>
              <w:jc w:val="center"/>
              <w:rPr>
                <w:rFonts w:asciiTheme="minorEastAsia" w:hAnsiTheme="minorEastAsia"/>
                <w:szCs w:val="21"/>
              </w:rPr>
            </w:pPr>
            <w:r>
              <w:rPr>
                <w:rFonts w:hint="eastAsia" w:asciiTheme="minorEastAsia" w:hAnsiTheme="minor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asciiTheme="minorEastAsia" w:hAnsiTheme="minorEastAsia"/>
                <w:szCs w:val="21"/>
              </w:rPr>
              <w:t>自动排气阀</w:t>
            </w:r>
          </w:p>
        </w:tc>
        <w:tc>
          <w:tcPr>
            <w:tcW w:w="5308" w:type="dxa"/>
          </w:tcPr>
          <w:p>
            <w:pPr>
              <w:rPr>
                <w:rFonts w:asciiTheme="minorEastAsia" w:hAnsiTheme="minorEastAsia"/>
                <w:szCs w:val="21"/>
              </w:rPr>
            </w:pPr>
            <w:r>
              <w:rPr>
                <w:rFonts w:hint="eastAsia" w:asciiTheme="minorEastAsia" w:hAnsiTheme="minorEastAsia"/>
                <w:szCs w:val="21"/>
              </w:rPr>
              <w:t>1.规格：DN20、PN16；</w:t>
            </w:r>
          </w:p>
          <w:p>
            <w:pPr>
              <w:rPr>
                <w:rFonts w:asciiTheme="minorEastAsia" w:hAnsiTheme="minorEastAsia"/>
                <w:szCs w:val="21"/>
              </w:rPr>
            </w:pPr>
            <w:r>
              <w:rPr>
                <w:rFonts w:hint="eastAsia" w:asciiTheme="minorEastAsia" w:hAnsiTheme="minorEastAsia"/>
                <w:szCs w:val="21"/>
              </w:rPr>
              <w:t>2.材质：黄铜；</w:t>
            </w:r>
          </w:p>
          <w:p>
            <w:pPr>
              <w:rPr>
                <w:rFonts w:asciiTheme="minorEastAsia" w:hAnsiTheme="minorEastAsia"/>
                <w:szCs w:val="21"/>
              </w:rPr>
            </w:pPr>
            <w:r>
              <w:rPr>
                <w:rFonts w:hint="eastAsia" w:asciiTheme="minorEastAsia" w:hAnsiTheme="minorEastAsia"/>
                <w:szCs w:val="21"/>
              </w:rPr>
              <w:t>3.工作介质：水；</w:t>
            </w:r>
          </w:p>
          <w:p>
            <w:pPr>
              <w:rPr>
                <w:rFonts w:cs="宋体" w:asciiTheme="minorEastAsia" w:hAnsiTheme="minorEastAsia"/>
                <w:color w:val="000000"/>
                <w:kern w:val="0"/>
                <w:szCs w:val="21"/>
              </w:rPr>
            </w:pPr>
            <w:r>
              <w:rPr>
                <w:rFonts w:hint="eastAsia" w:asciiTheme="minorEastAsia" w:hAnsiTheme="minorEastAsia"/>
                <w:szCs w:val="21"/>
              </w:rPr>
              <w:t>4.工作温度：0</w:t>
            </w:r>
            <w:r>
              <w:rPr>
                <w:rFonts w:hint="eastAsia" w:cs="宋体" w:asciiTheme="minorEastAsia" w:hAnsiTheme="minorEastAsia"/>
                <w:color w:val="000000"/>
                <w:kern w:val="0"/>
                <w:szCs w:val="21"/>
              </w:rPr>
              <w:t>～40℃；</w:t>
            </w:r>
          </w:p>
          <w:p>
            <w:pPr>
              <w:rPr>
                <w:rFonts w:asciiTheme="minorEastAsia" w:hAnsiTheme="minorEastAsia"/>
                <w:szCs w:val="21"/>
              </w:rPr>
            </w:pPr>
            <w:r>
              <w:rPr>
                <w:rFonts w:hint="eastAsia" w:cs="宋体" w:asciiTheme="minorEastAsia" w:hAnsiTheme="minorEastAsia"/>
                <w:color w:val="000000"/>
                <w:kern w:val="0"/>
                <w:szCs w:val="21"/>
              </w:rPr>
              <w:t>5.连接方式：丝口连接。</w:t>
            </w:r>
          </w:p>
        </w:tc>
        <w:tc>
          <w:tcPr>
            <w:tcW w:w="1326" w:type="dxa"/>
            <w:vAlign w:val="center"/>
          </w:tcPr>
          <w:p>
            <w:pPr>
              <w:jc w:val="center"/>
              <w:rPr>
                <w:rFonts w:asciiTheme="minorEastAsia" w:hAnsiTheme="minorEastAsia"/>
                <w:szCs w:val="21"/>
              </w:rPr>
            </w:pPr>
            <w:r>
              <w:rPr>
                <w:rFonts w:hint="eastAsia" w:asciiTheme="minorEastAsia" w:hAnsiTheme="minorEastAsia"/>
                <w:szCs w:val="21"/>
              </w:rPr>
              <w:t>米</w:t>
            </w:r>
          </w:p>
        </w:tc>
        <w:tc>
          <w:tcPr>
            <w:tcW w:w="1298" w:type="dxa"/>
            <w:vAlign w:val="center"/>
          </w:tcPr>
          <w:p>
            <w:pPr>
              <w:jc w:val="center"/>
              <w:rPr>
                <w:rFonts w:asciiTheme="minorEastAsia" w:hAnsiTheme="minorEastAsia"/>
                <w:szCs w:val="21"/>
              </w:rPr>
            </w:pPr>
            <w:r>
              <w:rPr>
                <w:rFonts w:hint="eastAsia" w:asciiTheme="minorEastAsia" w:hAnsiTheme="minorEastAsia"/>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asciiTheme="minorEastAsia" w:hAnsiTheme="minorEastAsia"/>
                <w:szCs w:val="21"/>
              </w:rPr>
              <w:t>预制聚氨酯发泡同心异径管</w:t>
            </w:r>
          </w:p>
        </w:tc>
        <w:tc>
          <w:tcPr>
            <w:tcW w:w="5308" w:type="dxa"/>
          </w:tcPr>
          <w:p>
            <w:pPr>
              <w:rPr>
                <w:rFonts w:asciiTheme="minorEastAsia" w:hAnsiTheme="minorEastAsia"/>
                <w:szCs w:val="21"/>
              </w:rPr>
            </w:pPr>
            <w:r>
              <w:rPr>
                <w:rFonts w:hint="eastAsia" w:asciiTheme="minorEastAsia" w:hAnsiTheme="minorEastAsia"/>
                <w:szCs w:val="21"/>
              </w:rPr>
              <w:t>1.预制成品同心异径管，DN200转DN125；材质为20#碳钢，壁厚6mm。</w:t>
            </w:r>
          </w:p>
          <w:p>
            <w:pPr>
              <w:rPr>
                <w:rFonts w:asciiTheme="minorEastAsia" w:hAnsiTheme="minorEastAsia"/>
                <w:szCs w:val="21"/>
              </w:rPr>
            </w:pPr>
            <w:r>
              <w:rPr>
                <w:rFonts w:hint="eastAsia" w:asciiTheme="minorEastAsia" w:hAnsiTheme="minorEastAsia"/>
                <w:szCs w:val="21"/>
              </w:rPr>
              <w:t>2.保温层采用发泡聚氨酯材料，厚度≥40mm；保温层热阻≤0.033W/mK；保温材料密度≥60Kg/m³；保温层吸水率≤10%。</w:t>
            </w:r>
          </w:p>
          <w:p>
            <w:pPr>
              <w:rPr>
                <w:rFonts w:asciiTheme="minorEastAsia" w:hAnsiTheme="minorEastAsia"/>
                <w:szCs w:val="21"/>
              </w:rPr>
            </w:pPr>
            <w:r>
              <w:rPr>
                <w:rFonts w:hint="eastAsia" w:asciiTheme="minorEastAsia" w:hAnsiTheme="minorEastAsia"/>
                <w:szCs w:val="21"/>
              </w:rPr>
              <w:t>3.外护壳采用高密度聚乙烯材料，密度≥940kg/m³，壁厚≥5mm。</w:t>
            </w:r>
          </w:p>
          <w:p>
            <w:pPr>
              <w:rPr>
                <w:rFonts w:asciiTheme="minorEastAsia" w:hAnsiTheme="minorEastAsia"/>
                <w:szCs w:val="21"/>
              </w:rPr>
            </w:pPr>
            <w:r>
              <w:rPr>
                <w:rFonts w:hint="eastAsia" w:asciiTheme="minorEastAsia" w:hAnsiTheme="minorEastAsia"/>
                <w:szCs w:val="21"/>
              </w:rPr>
              <w:t>4.按GB/T13401或GB/T12459标准执行。</w:t>
            </w:r>
          </w:p>
          <w:p>
            <w:pPr>
              <w:rPr>
                <w:rFonts w:asciiTheme="minorEastAsia" w:hAnsiTheme="minorEastAsia"/>
                <w:szCs w:val="21"/>
              </w:rPr>
            </w:pPr>
            <w:r>
              <w:rPr>
                <w:rFonts w:hint="eastAsia" w:asciiTheme="minorEastAsia" w:hAnsiTheme="minorEastAsia"/>
                <w:szCs w:val="21"/>
              </w:rPr>
              <w:t>5.钢板：推荐选用或相当于武钢、宝钢、本钢、鞍钢、太钢、首钢、济钢、马钢所生产的板材。</w:t>
            </w:r>
          </w:p>
          <w:p>
            <w:pPr>
              <w:rPr>
                <w:rFonts w:asciiTheme="minorEastAsia" w:hAnsiTheme="minorEastAsia"/>
                <w:szCs w:val="21"/>
              </w:rPr>
            </w:pPr>
            <w:r>
              <w:rPr>
                <w:rFonts w:hint="eastAsia" w:asciiTheme="minorEastAsia" w:hAnsiTheme="minor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pPr>
              <w:rPr>
                <w:rFonts w:asciiTheme="minorEastAsia" w:hAnsiTheme="minorEastAsia"/>
                <w:szCs w:val="21"/>
              </w:rPr>
            </w:pPr>
            <w:r>
              <w:rPr>
                <w:rFonts w:hint="eastAsia" w:asciiTheme="minorEastAsia" w:hAnsiTheme="minor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1326" w:type="dxa"/>
            <w:vAlign w:val="center"/>
          </w:tcPr>
          <w:p>
            <w:pPr>
              <w:jc w:val="center"/>
              <w:rPr>
                <w:rFonts w:asciiTheme="minorEastAsia" w:hAnsiTheme="minorEastAsia"/>
                <w:szCs w:val="21"/>
              </w:rPr>
            </w:pPr>
            <w:r>
              <w:rPr>
                <w:rFonts w:hint="eastAsia" w:asciiTheme="minorEastAsia" w:hAnsiTheme="minorEastAsia"/>
                <w:szCs w:val="21"/>
              </w:rPr>
              <w:t>米</w:t>
            </w:r>
          </w:p>
        </w:tc>
        <w:tc>
          <w:tcPr>
            <w:tcW w:w="1298" w:type="dxa"/>
            <w:vAlign w:val="center"/>
          </w:tcPr>
          <w:p>
            <w:pPr>
              <w:jc w:val="center"/>
              <w:rPr>
                <w:rFonts w:asciiTheme="minorEastAsia" w:hAnsiTheme="minorEastAsia"/>
                <w:szCs w:val="21"/>
              </w:rPr>
            </w:pPr>
            <w:r>
              <w:rPr>
                <w:rFonts w:hint="eastAsia" w:asciiTheme="minorEastAsia" w:hAnsi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asciiTheme="minorEastAsia" w:hAnsiTheme="minorEastAsia"/>
                <w:szCs w:val="21"/>
              </w:rPr>
              <w:t>橡塑保温</w:t>
            </w:r>
          </w:p>
        </w:tc>
        <w:tc>
          <w:tcPr>
            <w:tcW w:w="5308" w:type="dxa"/>
          </w:tcPr>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品牌：</w:t>
            </w:r>
            <w:r>
              <w:rPr>
                <w:rFonts w:hint="eastAsia" w:asciiTheme="minorEastAsia" w:hAnsiTheme="minorEastAsia"/>
                <w:szCs w:val="21"/>
              </w:rPr>
              <w:t>阿乐斯绝热材料（广州）有限公司、杜肯新材料（武汉）集团股份有限公司、力索兰特（苏州）绝热材料有限公司。</w:t>
            </w:r>
          </w:p>
          <w:p>
            <w:pPr>
              <w:rPr>
                <w:rFonts w:asciiTheme="minorEastAsia" w:hAnsiTheme="minorEastAsia"/>
                <w:szCs w:val="21"/>
              </w:rPr>
            </w:pPr>
            <w:r>
              <w:rPr>
                <w:rFonts w:hint="eastAsia" w:asciiTheme="minorEastAsia" w:hAnsiTheme="minorEastAsia"/>
                <w:szCs w:val="21"/>
              </w:rPr>
              <w:t>2.规格：25mm厚板材</w:t>
            </w:r>
          </w:p>
        </w:tc>
        <w:tc>
          <w:tcPr>
            <w:tcW w:w="1326" w:type="dxa"/>
            <w:vAlign w:val="center"/>
          </w:tcPr>
          <w:p>
            <w:pPr>
              <w:jc w:val="center"/>
              <w:rPr>
                <w:rFonts w:asciiTheme="minorEastAsia" w:hAnsiTheme="minorEastAsia"/>
              </w:rPr>
            </w:pPr>
            <w:r>
              <w:rPr>
                <w:rFonts w:asciiTheme="minorEastAsia" w:hAnsiTheme="minorEastAsia"/>
              </w:rPr>
              <w:t>m</w:t>
            </w:r>
            <w:r>
              <w:rPr>
                <w:rFonts w:hint="eastAsia" w:asciiTheme="minorEastAsia" w:hAnsiTheme="minorEastAsia"/>
                <w:vertAlign w:val="superscript"/>
              </w:rPr>
              <w:t>3</w:t>
            </w:r>
          </w:p>
        </w:tc>
        <w:tc>
          <w:tcPr>
            <w:tcW w:w="1298" w:type="dxa"/>
            <w:vAlign w:val="center"/>
          </w:tcPr>
          <w:p>
            <w:pPr>
              <w:jc w:val="center"/>
              <w:rPr>
                <w:rFonts w:asciiTheme="minorEastAsia" w:hAnsiTheme="minorEastAsia"/>
                <w:szCs w:val="21"/>
              </w:rPr>
            </w:pPr>
            <w:r>
              <w:rPr>
                <w:rFonts w:hint="eastAsia" w:asciiTheme="minorEastAsia" w:hAnsiTheme="minor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rPr>
                <w:rFonts w:asciiTheme="minorEastAsia" w:hAnsiTheme="minorEastAsia"/>
                <w:szCs w:val="21"/>
              </w:rPr>
            </w:pPr>
            <w:r>
              <w:rPr>
                <w:rFonts w:asciiTheme="minorEastAsia" w:hAnsiTheme="minorEastAsia"/>
                <w:szCs w:val="21"/>
              </w:rPr>
              <w:t>电磁冷量计</w:t>
            </w:r>
          </w:p>
          <w:p>
            <w:pPr>
              <w:rPr>
                <w:rFonts w:asciiTheme="minorEastAsia" w:hAnsiTheme="minorEastAsia"/>
                <w:szCs w:val="21"/>
              </w:rPr>
            </w:pPr>
            <w:r>
              <w:rPr>
                <w:rFonts w:asciiTheme="minorEastAsia" w:hAnsiTheme="minorEastAsia"/>
                <w:szCs w:val="21"/>
              </w:rPr>
              <w:t>（配温度传感器）</w:t>
            </w:r>
          </w:p>
        </w:tc>
        <w:tc>
          <w:tcPr>
            <w:tcW w:w="5308" w:type="dxa"/>
          </w:tcPr>
          <w:p>
            <w:pPr>
              <w:rPr>
                <w:rFonts w:cs="宋体" w:asciiTheme="minorEastAsia" w:hAnsiTheme="minorEastAsia"/>
                <w:szCs w:val="21"/>
              </w:rPr>
            </w:pPr>
            <w:r>
              <w:rPr>
                <w:rFonts w:hint="eastAsia" w:cs="宋体" w:asciiTheme="minorEastAsia" w:hAnsiTheme="minorEastAsia"/>
                <w:szCs w:val="21"/>
              </w:rPr>
              <w:t>1.形式：管段式分体电磁冷量计；</w:t>
            </w:r>
          </w:p>
          <w:p>
            <w:pPr>
              <w:rPr>
                <w:rFonts w:cs="宋体" w:asciiTheme="minorEastAsia" w:hAnsiTheme="minorEastAsia"/>
                <w:szCs w:val="21"/>
              </w:rPr>
            </w:pPr>
            <w:r>
              <w:rPr>
                <w:rFonts w:hint="eastAsia" w:cs="宋体" w:asciiTheme="minorEastAsia" w:hAnsiTheme="minorEastAsia"/>
                <w:szCs w:val="21"/>
              </w:rPr>
              <w:t>2.介质：水；</w:t>
            </w:r>
          </w:p>
          <w:p>
            <w:pPr>
              <w:rPr>
                <w:rFonts w:cs="宋体" w:asciiTheme="minorEastAsia" w:hAnsiTheme="minorEastAsia"/>
                <w:szCs w:val="21"/>
              </w:rPr>
            </w:pPr>
            <w:r>
              <w:rPr>
                <w:rFonts w:hint="eastAsia" w:cs="宋体" w:asciiTheme="minorEastAsia" w:hAnsiTheme="minorEastAsia"/>
                <w:szCs w:val="21"/>
              </w:rPr>
              <w:t>3.测量范围：5～500m3/h；</w:t>
            </w:r>
          </w:p>
          <w:p>
            <w:pPr>
              <w:rPr>
                <w:rFonts w:cs="宋体" w:asciiTheme="minorEastAsia" w:hAnsiTheme="minorEastAsia"/>
                <w:szCs w:val="21"/>
              </w:rPr>
            </w:pPr>
            <w:r>
              <w:rPr>
                <w:rFonts w:hint="eastAsia" w:cs="宋体" w:asciiTheme="minorEastAsia" w:hAnsiTheme="minorEastAsia"/>
                <w:szCs w:val="21"/>
              </w:rPr>
              <w:t>4.冷量计量单位：MWh、KWh；</w:t>
            </w:r>
          </w:p>
          <w:p>
            <w:pPr>
              <w:rPr>
                <w:rFonts w:cs="宋体" w:asciiTheme="minorEastAsia" w:hAnsiTheme="minorEastAsia"/>
                <w:szCs w:val="21"/>
              </w:rPr>
            </w:pPr>
            <w:r>
              <w:rPr>
                <w:rFonts w:hint="eastAsia" w:cs="宋体" w:asciiTheme="minorEastAsia" w:hAnsiTheme="minorEastAsia"/>
                <w:szCs w:val="21"/>
              </w:rPr>
              <w:t>5.精度：1级；</w:t>
            </w:r>
          </w:p>
          <w:p>
            <w:pPr>
              <w:rPr>
                <w:rFonts w:cs="宋体" w:asciiTheme="minorEastAsia" w:hAnsiTheme="minorEastAsia"/>
                <w:szCs w:val="21"/>
              </w:rPr>
            </w:pPr>
            <w:r>
              <w:rPr>
                <w:rFonts w:hint="eastAsia" w:cs="宋体" w:asciiTheme="minorEastAsia" w:hAnsiTheme="minorEastAsia"/>
                <w:szCs w:val="21"/>
              </w:rPr>
              <w:t>6.口径：DN125；</w:t>
            </w:r>
          </w:p>
          <w:p>
            <w:pPr>
              <w:rPr>
                <w:rFonts w:cs="宋体" w:asciiTheme="minorEastAsia" w:hAnsiTheme="minorEastAsia"/>
                <w:szCs w:val="21"/>
              </w:rPr>
            </w:pPr>
            <w:r>
              <w:rPr>
                <w:rFonts w:hint="eastAsia" w:cs="宋体" w:asciiTheme="minorEastAsia" w:hAnsiTheme="minorEastAsia"/>
                <w:szCs w:val="21"/>
              </w:rPr>
              <w:t>7.额定压力：1.6MPa；</w:t>
            </w:r>
          </w:p>
          <w:p>
            <w:pPr>
              <w:rPr>
                <w:rFonts w:cs="宋体" w:asciiTheme="minorEastAsia" w:hAnsiTheme="minorEastAsia"/>
                <w:szCs w:val="21"/>
              </w:rPr>
            </w:pPr>
            <w:r>
              <w:rPr>
                <w:rFonts w:hint="eastAsia" w:cs="宋体" w:asciiTheme="minorEastAsia" w:hAnsiTheme="minorEastAsia"/>
                <w:szCs w:val="21"/>
              </w:rPr>
              <w:t>8.介质及温度：水，0～60℃；</w:t>
            </w:r>
          </w:p>
          <w:p>
            <w:pPr>
              <w:rPr>
                <w:rFonts w:cs="宋体" w:asciiTheme="minorEastAsia" w:hAnsiTheme="minorEastAsia"/>
                <w:szCs w:val="21"/>
              </w:rPr>
            </w:pPr>
            <w:r>
              <w:rPr>
                <w:rFonts w:hint="eastAsia" w:cs="宋体" w:asciiTheme="minorEastAsia" w:hAnsiTheme="minorEastAsia"/>
                <w:szCs w:val="21"/>
              </w:rPr>
              <w:t>9.环境湿度5～90%；</w:t>
            </w:r>
          </w:p>
          <w:p>
            <w:pPr>
              <w:rPr>
                <w:rFonts w:cs="宋体" w:asciiTheme="minorEastAsia" w:hAnsiTheme="minorEastAsia"/>
                <w:szCs w:val="21"/>
              </w:rPr>
            </w:pPr>
            <w:r>
              <w:rPr>
                <w:rFonts w:hint="eastAsia" w:cs="宋体" w:asciiTheme="minorEastAsia" w:hAnsiTheme="minorEastAsia"/>
                <w:szCs w:val="21"/>
              </w:rPr>
              <w:t>10.电极；不锈钢；</w:t>
            </w:r>
          </w:p>
          <w:p>
            <w:pPr>
              <w:rPr>
                <w:rFonts w:cs="宋体" w:asciiTheme="minorEastAsia" w:hAnsiTheme="minorEastAsia"/>
                <w:szCs w:val="21"/>
              </w:rPr>
            </w:pPr>
            <w:r>
              <w:rPr>
                <w:rFonts w:hint="eastAsia" w:cs="宋体" w:asciiTheme="minorEastAsia" w:hAnsiTheme="minorEastAsia"/>
                <w:szCs w:val="21"/>
              </w:rPr>
              <w:t>11.内衬：氯丁橡胶；</w:t>
            </w:r>
          </w:p>
          <w:p>
            <w:pPr>
              <w:rPr>
                <w:rFonts w:cs="宋体" w:asciiTheme="minorEastAsia" w:hAnsiTheme="minorEastAsia"/>
                <w:szCs w:val="21"/>
              </w:rPr>
            </w:pPr>
            <w:r>
              <w:rPr>
                <w:rFonts w:hint="eastAsia" w:cs="宋体" w:asciiTheme="minorEastAsia" w:hAnsiTheme="minorEastAsia"/>
                <w:szCs w:val="21"/>
              </w:rPr>
              <w:t>12.防护等级：IP68（传感器与积算表分体安装）；</w:t>
            </w:r>
          </w:p>
          <w:p>
            <w:pPr>
              <w:rPr>
                <w:rFonts w:cs="宋体" w:asciiTheme="minorEastAsia" w:hAnsiTheme="minorEastAsia"/>
                <w:szCs w:val="21"/>
              </w:rPr>
            </w:pPr>
            <w:r>
              <w:rPr>
                <w:rFonts w:hint="eastAsia" w:cs="宋体" w:asciiTheme="minorEastAsia" w:hAnsiTheme="minorEastAsia"/>
                <w:szCs w:val="21"/>
              </w:rPr>
              <w:t>13.电源：220AC、24VDC；</w:t>
            </w:r>
          </w:p>
          <w:p>
            <w:pPr>
              <w:rPr>
                <w:rFonts w:cs="宋体" w:asciiTheme="minorEastAsia" w:hAnsiTheme="minorEastAsia"/>
                <w:szCs w:val="21"/>
              </w:rPr>
            </w:pPr>
            <w:r>
              <w:rPr>
                <w:rFonts w:hint="eastAsia" w:cs="宋体" w:asciiTheme="minorEastAsia" w:hAnsiTheme="minorEastAsia"/>
                <w:szCs w:val="21"/>
              </w:rPr>
              <w:t>14.信号：4～20mA、频率Hz、RS485接口MODBUS-RTU协议；</w:t>
            </w:r>
          </w:p>
          <w:p>
            <w:pPr>
              <w:rPr>
                <w:rFonts w:cs="宋体" w:asciiTheme="minorEastAsia" w:hAnsiTheme="minorEastAsia"/>
                <w:szCs w:val="21"/>
              </w:rPr>
            </w:pPr>
            <w:r>
              <w:rPr>
                <w:rFonts w:hint="eastAsia" w:cs="宋体" w:asciiTheme="minorEastAsia" w:hAnsiTheme="minorEastAsia"/>
                <w:szCs w:val="21"/>
              </w:rPr>
              <w:t>15.温度探头：A级PT1000，0.1℃精度，配对精度0.06℃，套管安装；</w:t>
            </w:r>
          </w:p>
          <w:p>
            <w:pPr>
              <w:rPr>
                <w:rFonts w:cs="宋体" w:asciiTheme="minorEastAsia" w:hAnsiTheme="minorEastAsia"/>
                <w:szCs w:val="21"/>
              </w:rPr>
            </w:pPr>
            <w:r>
              <w:rPr>
                <w:rFonts w:hint="eastAsia" w:cs="宋体" w:asciiTheme="minorEastAsia" w:hAnsiTheme="minorEastAsia"/>
                <w:szCs w:val="21"/>
              </w:rPr>
              <w:t>16.*必须提供第三方检测报告，厂家提供售后服务；</w:t>
            </w:r>
          </w:p>
          <w:p>
            <w:pPr>
              <w:rPr>
                <w:rFonts w:asciiTheme="minorEastAsia" w:hAnsiTheme="minorEastAsia"/>
                <w:szCs w:val="21"/>
              </w:rPr>
            </w:pPr>
            <w:r>
              <w:rPr>
                <w:rFonts w:hint="eastAsia" w:cs="宋体" w:asciiTheme="minorEastAsia" w:hAnsiTheme="minorEastAsia"/>
                <w:szCs w:val="21"/>
              </w:rPr>
              <w:t>17.品牌：上海肯特仪表股份有限公司、迈拓仪表股份有限公司、西门子（中国）有限公司。</w:t>
            </w:r>
          </w:p>
        </w:tc>
        <w:tc>
          <w:tcPr>
            <w:tcW w:w="1326" w:type="dxa"/>
            <w:vAlign w:val="center"/>
          </w:tcPr>
          <w:p>
            <w:pPr>
              <w:jc w:val="center"/>
              <w:rPr>
                <w:rFonts w:asciiTheme="minorEastAsia" w:hAnsiTheme="minorEastAsia"/>
                <w:szCs w:val="21"/>
              </w:rPr>
            </w:pPr>
            <w:r>
              <w:rPr>
                <w:rFonts w:asciiTheme="minorEastAsia" w:hAnsiTheme="minorEastAsia"/>
                <w:szCs w:val="21"/>
              </w:rPr>
              <w:t>台</w:t>
            </w:r>
          </w:p>
        </w:tc>
        <w:tc>
          <w:tcPr>
            <w:tcW w:w="1298" w:type="dxa"/>
            <w:vAlign w:val="center"/>
          </w:tcPr>
          <w:p>
            <w:pPr>
              <w:jc w:val="center"/>
              <w:rPr>
                <w:rFonts w:asciiTheme="minorEastAsia" w:hAnsiTheme="minorEastAsia"/>
                <w:szCs w:val="21"/>
              </w:rPr>
            </w:pPr>
            <w:r>
              <w:rPr>
                <w:rFonts w:hint="eastAsia" w:asciiTheme="minorEastAsia" w:hAnsiTheme="minorEastAsia"/>
                <w:szCs w:val="21"/>
              </w:rPr>
              <w:t>1</w:t>
            </w: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备注：其余未注明材料如配对法兰、螺栓、保温胶水及回填基坑石粉、碎石、沥青、钢筋混凝土等材料等均由施工单位提供。</w:t>
      </w:r>
    </w:p>
    <w:p>
      <w:pPr>
        <w:spacing w:before="120" w:beforeLines="50" w:after="120" w:afterLines="50" w:line="360" w:lineRule="auto"/>
        <w:ind w:firstLine="480" w:firstLineChars="200"/>
        <w:rPr>
          <w:rFonts w:ascii="宋体" w:hAnsi="宋体" w:cs="宋体"/>
          <w:bCs/>
          <w:kern w:val="0"/>
          <w:sz w:val="24"/>
        </w:rPr>
      </w:pPr>
      <w:r>
        <w:rPr>
          <w:rFonts w:hint="eastAsia" w:ascii="宋体" w:hAnsi="宋体"/>
          <w:sz w:val="24"/>
        </w:rPr>
        <w:t>备注：以上材料仅供参考，最终以现场施工为准，</w:t>
      </w:r>
      <w:r>
        <w:rPr>
          <w:rFonts w:hint="eastAsia" w:ascii="宋体" w:hAnsi="宋体" w:cs="宋体"/>
          <w:bCs/>
          <w:kern w:val="0"/>
          <w:sz w:val="24"/>
        </w:rPr>
        <w:t>工程量清单报价时建议按上述表格人工、材料分开单列报价。</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p>
    <w:p>
      <w:pPr>
        <w:numPr>
          <w:ilvl w:val="0"/>
          <w:numId w:val="6"/>
        </w:numPr>
        <w:spacing w:before="120" w:beforeLines="50" w:after="120" w:afterLines="50" w:line="360" w:lineRule="auto"/>
        <w:ind w:left="0" w:firstLine="480" w:firstLineChars="200"/>
        <w:rPr>
          <w:sz w:val="24"/>
        </w:rPr>
      </w:pPr>
      <w:r>
        <w:rPr>
          <w:rFonts w:hint="eastAsia"/>
          <w:sz w:val="24"/>
        </w:rPr>
        <w:t>施工工期</w:t>
      </w:r>
    </w:p>
    <w:p>
      <w:pPr>
        <w:spacing w:before="120" w:beforeLines="50" w:after="120" w:afterLines="50" w:line="360" w:lineRule="auto"/>
        <w:ind w:left="425" w:right="425" w:firstLine="480" w:firstLineChars="200"/>
        <w:rPr>
          <w:rFonts w:ascii="宋体" w:hAnsi="宋体" w:cs="宋体"/>
          <w:bCs/>
          <w:kern w:val="0"/>
          <w:sz w:val="24"/>
        </w:rPr>
      </w:pPr>
      <w:r>
        <w:rPr>
          <w:rFonts w:hint="eastAsia" w:ascii="宋体" w:hAnsi="宋体" w:cs="宋体"/>
          <w:bCs/>
          <w:kern w:val="0"/>
          <w:sz w:val="24"/>
        </w:rPr>
        <w:t>本项目总工期为</w:t>
      </w:r>
      <w:r>
        <w:rPr>
          <w:rFonts w:ascii="宋体" w:hAnsi="宋体" w:cs="宋体"/>
          <w:bCs/>
          <w:kern w:val="0"/>
          <w:sz w:val="24"/>
        </w:rPr>
        <w:t>25</w:t>
      </w:r>
      <w:r>
        <w:rPr>
          <w:rFonts w:hint="eastAsia" w:ascii="宋体" w:hAnsi="宋体" w:cs="宋体"/>
          <w:bCs/>
          <w:kern w:val="0"/>
          <w:sz w:val="24"/>
        </w:rPr>
        <w:t>天（含节假日，连续计算），并于3月3</w:t>
      </w:r>
      <w:r>
        <w:rPr>
          <w:rFonts w:ascii="宋体" w:hAnsi="宋体" w:cs="宋体"/>
          <w:bCs/>
          <w:kern w:val="0"/>
          <w:sz w:val="24"/>
        </w:rPr>
        <w:t>1</w:t>
      </w:r>
      <w:r>
        <w:rPr>
          <w:rFonts w:hint="eastAsia" w:ascii="宋体" w:hAnsi="宋体" w:cs="宋体"/>
          <w:bCs/>
          <w:kern w:val="0"/>
          <w:sz w:val="24"/>
        </w:rPr>
        <w:t>日前完工，具体开工日期以甲方通知为准。</w:t>
      </w:r>
    </w:p>
    <w:p>
      <w:pPr>
        <w:numPr>
          <w:ilvl w:val="0"/>
          <w:numId w:val="6"/>
        </w:numPr>
        <w:spacing w:before="120" w:beforeLines="50" w:after="120" w:afterLines="50" w:line="360" w:lineRule="auto"/>
        <w:ind w:left="0" w:firstLine="480" w:firstLineChars="200"/>
        <w:rPr>
          <w:sz w:val="24"/>
        </w:rPr>
      </w:pPr>
      <w:r>
        <w:rPr>
          <w:rFonts w:hint="eastAsia"/>
          <w:sz w:val="24"/>
        </w:rPr>
        <w:t>工程验收标准及方式</w:t>
      </w:r>
    </w:p>
    <w:p>
      <w:pPr>
        <w:spacing w:before="120" w:beforeLines="50" w:after="120" w:afterLines="50" w:line="360" w:lineRule="auto"/>
        <w:ind w:firstLine="480" w:firstLineChars="200"/>
        <w:rPr>
          <w:rFonts w:ascii="宋体" w:hAnsi="宋体" w:cs="宋体"/>
          <w:bCs/>
          <w:kern w:val="0"/>
          <w:sz w:val="28"/>
          <w:szCs w:val="28"/>
        </w:rPr>
      </w:pPr>
      <w:r>
        <w:rPr>
          <w:rFonts w:hint="eastAsia" w:ascii="宋体" w:hAnsi="宋体" w:cs="宋体"/>
          <w:bCs/>
          <w:kern w:val="0"/>
          <w:sz w:val="24"/>
        </w:rPr>
        <w:t>工程验收标准按照《建筑工程施工质量验收统一标准》（GB50300-2006）、《建筑给水排水及采暖工程施工质量验收规范》(GB50242-2002)；《承压设备无损检测 第三部分：超声检测》（NB/T 47013.3—2015）；《承压设备无损检测 第四部分：磁粉检测》（NB/T 47013.4—2015）要求以及国家和行业相关的其他质量标准</w:t>
      </w:r>
      <w:r>
        <w:rPr>
          <w:rFonts w:hint="eastAsia" w:ascii="宋体" w:hAnsi="宋体" w:cs="宋体"/>
          <w:bCs/>
          <w:kern w:val="0"/>
          <w:sz w:val="28"/>
          <w:szCs w:val="28"/>
        </w:rPr>
        <w:t>。</w:t>
      </w:r>
    </w:p>
    <w:p>
      <w:pPr>
        <w:numPr>
          <w:ilvl w:val="0"/>
          <w:numId w:val="7"/>
        </w:numPr>
        <w:spacing w:before="120" w:beforeLines="50" w:after="120" w:afterLines="50" w:line="360" w:lineRule="auto"/>
        <w:ind w:left="0" w:firstLine="480" w:firstLineChars="200"/>
        <w:rPr>
          <w:rFonts w:ascii="宋体" w:hAnsi="宋体"/>
          <w:sz w:val="24"/>
        </w:rPr>
      </w:pPr>
      <w:r>
        <w:rPr>
          <w:rFonts w:hint="eastAsia" w:ascii="宋体" w:hAnsi="宋体"/>
          <w:sz w:val="24"/>
        </w:rPr>
        <w:t>工程验收的方式：</w:t>
      </w:r>
    </w:p>
    <w:p>
      <w:p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rPr>
        <w:t>①材料验收：乙方负责采购的预制聚氨酯发泡保温钢管、阀门、波纹补偿器等，须提供厂家合格证、检验证明、发货单、货运单、订货合同等资料以进行货物证伪，乙方采购人和项目负责人现场检查包装箱外观、清单并查验，以及检查开箱后观和随机技术文件等，确认材料合格且随机资料齐全后方可安装、使用。</w:t>
      </w:r>
    </w:p>
    <w:p>
      <w:p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rPr>
        <w:t>②过程验收：a）所有焊缝渗透探伤合格，并经探伤单位人员、乙方施工负责人、甲方项目负责人现场确认后，方可进行贯通试水压，如有焊缝探伤不合格，需立即进行返工、整改至合格为止。b）焊缝经探伤全部合格、阀门安装好并对施工管道进行试压后，经乙方施工负责人、甲方项目负责人现场确认无漏点方可验收。如试水压过程出现泄漏，乙方需处理至无漏点为止。c）保温板材安装要求截面平整，胶水满涂，粘贴牢固，不得有开裂现象。d）人行道、市政机动车道按设计要求原样恢复、压实，无下陷情况发生。</w:t>
      </w:r>
    </w:p>
    <w:p>
      <w:p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rPr>
        <w:t>③竣工验收：现场清理干净、通水试水无异常，市政机动车道通车正常、人行道通行无异常。</w:t>
      </w:r>
    </w:p>
    <w:p>
      <w:pPr>
        <w:numPr>
          <w:ilvl w:val="0"/>
          <w:numId w:val="7"/>
        </w:numPr>
        <w:spacing w:before="120" w:beforeLines="50" w:after="120" w:afterLines="50" w:line="360" w:lineRule="auto"/>
        <w:ind w:left="0" w:firstLine="480" w:firstLineChars="200"/>
        <w:rPr>
          <w:rFonts w:ascii="宋体" w:hAnsi="宋体"/>
          <w:sz w:val="24"/>
        </w:rPr>
      </w:pPr>
      <w:r>
        <w:rPr>
          <w:rFonts w:hint="eastAsia" w:ascii="宋体" w:hAnsi="宋体"/>
          <w:sz w:val="24"/>
        </w:rPr>
        <w:t>质保期及质保期内需履行的特殊义务：</w:t>
      </w:r>
      <w:r>
        <w:rPr>
          <w:rFonts w:ascii="宋体" w:hAnsi="宋体"/>
          <w:sz w:val="24"/>
        </w:rPr>
        <w:t>1</w:t>
      </w:r>
      <w:r>
        <w:rPr>
          <w:rFonts w:hint="eastAsia" w:ascii="宋体" w:hAnsi="宋体"/>
          <w:sz w:val="24"/>
        </w:rPr>
        <w:t>年，从竣工验收开始计算。</w:t>
      </w:r>
    </w:p>
    <w:p>
      <w:pPr>
        <w:numPr>
          <w:ilvl w:val="0"/>
          <w:numId w:val="7"/>
        </w:numPr>
        <w:spacing w:before="120" w:beforeLines="50" w:after="120" w:afterLines="50" w:line="360" w:lineRule="auto"/>
        <w:ind w:left="0" w:firstLine="480" w:firstLineChars="200"/>
        <w:rPr>
          <w:rFonts w:ascii="宋体" w:hAnsi="宋体"/>
          <w:sz w:val="24"/>
        </w:rPr>
      </w:pPr>
      <w:r>
        <w:rPr>
          <w:rFonts w:hint="eastAsia" w:ascii="宋体" w:hAnsi="宋体"/>
          <w:sz w:val="24"/>
        </w:rPr>
        <w:t>项目要达到的质量要求：项目完成，管道没位移、变形；管道试压后不漏水、供水正常；保温完整；人行道、市政机动车道原样恢复，无下陷情况发生。</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8"/>
        </w:numPr>
        <w:spacing w:before="120" w:beforeLines="50" w:after="120" w:afterLines="50" w:line="360" w:lineRule="auto"/>
        <w:ind w:left="0" w:firstLine="480" w:firstLineChars="200"/>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pPr>
        <w:numPr>
          <w:ilvl w:val="0"/>
          <w:numId w:val="8"/>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8"/>
        </w:numPr>
        <w:spacing w:before="120" w:beforeLines="50" w:after="120" w:afterLines="50" w:line="360" w:lineRule="auto"/>
        <w:ind w:left="0" w:firstLine="480" w:firstLineChars="200"/>
        <w:rPr>
          <w:sz w:val="24"/>
        </w:rPr>
      </w:pPr>
      <w:r>
        <w:rPr>
          <w:rFonts w:hint="eastAsia"/>
          <w:sz w:val="24"/>
        </w:rPr>
        <w:t>付款方式</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在本合同履行期内，若国家税费调整，合同含税金额按国家规定税率作出相应调整，供方每次申请付款应按照合同内容开具相应税率的合法有效的增值税专用发票。</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合同付款按施工进度支付，具体为：</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形象进度完成30%时，甲方收到乙方请款资料后15个工作日内支付工程款至合同暂定总价的15%。</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形象进度完成60%时，甲方收到乙方请款资料后15个工作日内支付工程款至合同暂定总价的40%。</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形象进度完成80%时，甲方收到乙方请款资料后15个工作日内支付工程款至合同暂定总价的60%。</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项目全部完工并竣工验收合格并按甲方要求完成合同结算手续后，甲方收到乙方请款资料后15个工作日内支付工程款至合同结算总造价的95%。</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10"/>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1"/>
        </w:numPr>
        <w:spacing w:before="120" w:beforeLines="50" w:after="120" w:afterLines="50" w:line="360" w:lineRule="auto"/>
        <w:ind w:left="0" w:firstLine="480" w:firstLineChars="200"/>
        <w:rPr>
          <w:rFonts w:ascii="宋体" w:hAnsi="宋体" w:cs="Arial"/>
          <w:color w:val="000000"/>
          <w:sz w:val="24"/>
        </w:rPr>
      </w:pPr>
      <w:bookmarkStart w:id="6" w:name="_Hlk33472787"/>
      <w:r>
        <w:rPr>
          <w:rFonts w:hint="eastAsia" w:ascii="宋体" w:hAnsi="宋体" w:cs="Arial"/>
          <w:color w:val="000000"/>
          <w:sz w:val="24"/>
        </w:rPr>
        <w:t>有效的企业工商营业执照、企业法人组织机构代码证书、税务登记证书（或三证合一）；</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近3年内(2018年1月1日至今) 完成过质量合格的类似项目业绩（需提供合同和验收报告等相关证明材料复印件）；</w:t>
      </w:r>
    </w:p>
    <w:p>
      <w:pPr>
        <w:numPr>
          <w:ilvl w:val="0"/>
          <w:numId w:val="11"/>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6"/>
      <w:r>
        <w:rPr>
          <w:rFonts w:hint="eastAsia" w:ascii="宋体" w:hAnsi="宋体" w:cs="Arial"/>
          <w:color w:val="000000"/>
          <w:sz w:val="24"/>
        </w:rPr>
        <w:t>。</w:t>
      </w:r>
    </w:p>
    <w:p>
      <w:pPr>
        <w:numPr>
          <w:ilvl w:val="0"/>
          <w:numId w:val="10"/>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2"/>
        </w:numPr>
        <w:spacing w:before="120" w:beforeLines="50" w:after="120" w:afterLines="50" w:line="360" w:lineRule="auto"/>
        <w:ind w:left="0" w:firstLine="480" w:firstLineChars="200"/>
        <w:rPr>
          <w:rFonts w:ascii="宋体" w:hAnsi="宋体" w:cs="Arial"/>
          <w:color w:val="000000"/>
          <w:sz w:val="24"/>
        </w:rPr>
      </w:pPr>
      <w:bookmarkStart w:id="7" w:name="_Hlk33472829"/>
      <w:r>
        <w:rPr>
          <w:rFonts w:hint="eastAsia" w:ascii="宋体" w:hAnsi="宋体" w:cs="Arial"/>
          <w:color w:val="000000"/>
          <w:sz w:val="24"/>
        </w:rPr>
        <w:t>总体实施方案；</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7"/>
      <w:r>
        <w:rPr>
          <w:rFonts w:hint="eastAsia" w:ascii="宋体" w:hAnsi="宋体" w:cs="Arial"/>
          <w:color w:val="000000"/>
          <w:sz w:val="24"/>
        </w:rPr>
        <w:t>。</w:t>
      </w:r>
    </w:p>
    <w:p>
      <w:pPr>
        <w:numPr>
          <w:ilvl w:val="0"/>
          <w:numId w:val="10"/>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3"/>
        </w:numPr>
        <w:spacing w:before="120" w:beforeLines="50" w:after="120" w:afterLines="50" w:line="360" w:lineRule="auto"/>
        <w:ind w:left="0" w:firstLine="480" w:firstLineChars="200"/>
        <w:rPr>
          <w:rFonts w:ascii="宋体" w:hAnsi="宋体" w:cs="Arial"/>
          <w:color w:val="000000"/>
          <w:sz w:val="24"/>
        </w:rPr>
      </w:pPr>
      <w:bookmarkStart w:id="8" w:name="_Hlk33472852"/>
      <w:r>
        <w:rPr>
          <w:rFonts w:hint="eastAsia" w:ascii="宋体" w:hAnsi="宋体" w:cs="Arial"/>
          <w:color w:val="000000"/>
          <w:sz w:val="24"/>
        </w:rPr>
        <w:t>报价一览表（格式见附件1）</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8"/>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9"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hint="eastAsia" w:ascii="宋体" w:hAnsi="宋体"/>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9"/>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sz w:val="24"/>
        </w:rPr>
      </w:pPr>
      <w:bookmarkStart w:id="10"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0"/>
      <w:r>
        <w:rPr>
          <w:rFonts w:hint="eastAsia"/>
          <w:sz w:val="24"/>
        </w:rPr>
        <w:t>。勘踏现场时间：</w:t>
      </w:r>
      <w:r>
        <w:rPr>
          <w:sz w:val="24"/>
        </w:rPr>
        <w:t>2022</w:t>
      </w:r>
      <w:r>
        <w:rPr>
          <w:rFonts w:hint="eastAsia"/>
          <w:sz w:val="24"/>
        </w:rPr>
        <w:t>年</w:t>
      </w:r>
      <w:r>
        <w:rPr>
          <w:sz w:val="24"/>
        </w:rPr>
        <w:t>2</w:t>
      </w:r>
      <w:r>
        <w:rPr>
          <w:rFonts w:hint="eastAsia"/>
          <w:sz w:val="24"/>
        </w:rPr>
        <w:t>月</w:t>
      </w:r>
      <w:r>
        <w:rPr>
          <w:sz w:val="24"/>
        </w:rPr>
        <w:t>14</w:t>
      </w:r>
      <w:r>
        <w:rPr>
          <w:rFonts w:hint="eastAsia"/>
          <w:sz w:val="24"/>
        </w:rPr>
        <w:t>日</w:t>
      </w:r>
      <w:r>
        <w:rPr>
          <w:sz w:val="24"/>
        </w:rPr>
        <w:t>10</w:t>
      </w:r>
      <w:r>
        <w:rPr>
          <w:rFonts w:hint="eastAsia"/>
          <w:sz w:val="24"/>
        </w:rPr>
        <w:t>时</w:t>
      </w:r>
      <w:r>
        <w:rPr>
          <w:sz w:val="24"/>
        </w:rPr>
        <w:t>00</w:t>
      </w:r>
      <w:r>
        <w:rPr>
          <w:rFonts w:hint="eastAsia"/>
          <w:sz w:val="24"/>
        </w:rPr>
        <w:t>分，集中地点：广州市番禺区大学城明志街1号信息枢纽楼一楼西门。勘踏现场联系人工程部岑工，联系电话：020-</w:t>
      </w:r>
      <w:r>
        <w:rPr>
          <w:sz w:val="24"/>
        </w:rPr>
        <w:t>39302050</w:t>
      </w:r>
      <w:r>
        <w:rPr>
          <w:rFonts w:hint="eastAsia"/>
          <w:sz w:val="24"/>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11" w:name="_Hlk33473031"/>
      <w:r>
        <w:rPr>
          <w:rFonts w:hint="eastAsia" w:ascii="宋体" w:hAnsi="宋体"/>
          <w:b/>
          <w:sz w:val="24"/>
        </w:rPr>
        <w:t>递交投标文件</w:t>
      </w:r>
    </w:p>
    <w:p>
      <w:pPr>
        <w:numPr>
          <w:ilvl w:val="0"/>
          <w:numId w:val="14"/>
        </w:numPr>
        <w:spacing w:before="120" w:beforeLines="50" w:after="120" w:afterLines="50" w:line="360" w:lineRule="auto"/>
        <w:ind w:left="0" w:firstLine="480" w:firstLineChars="200"/>
        <w:rPr>
          <w:sz w:val="24"/>
        </w:rPr>
      </w:pPr>
      <w:bookmarkStart w:id="12" w:name="_Hlk33472917"/>
      <w:bookmarkStart w:id="13" w:name="_Hlk33473061"/>
      <w:r>
        <w:rPr>
          <w:rFonts w:hint="eastAsia"/>
          <w:sz w:val="24"/>
        </w:rPr>
        <w:t>投标文件递交截止时间：</w:t>
      </w:r>
      <w:r>
        <w:rPr>
          <w:sz w:val="24"/>
        </w:rPr>
        <w:t xml:space="preserve">2022 </w:t>
      </w:r>
      <w:r>
        <w:rPr>
          <w:rFonts w:hint="eastAsia"/>
          <w:sz w:val="24"/>
        </w:rPr>
        <w:t>年</w:t>
      </w:r>
      <w:r>
        <w:rPr>
          <w:sz w:val="24"/>
        </w:rPr>
        <w:t>2</w:t>
      </w:r>
      <w:r>
        <w:rPr>
          <w:rFonts w:hint="eastAsia"/>
          <w:sz w:val="24"/>
        </w:rPr>
        <w:t>月</w:t>
      </w:r>
      <w:r>
        <w:rPr>
          <w:sz w:val="24"/>
        </w:rPr>
        <w:t>18</w:t>
      </w:r>
      <w:r>
        <w:rPr>
          <w:rFonts w:hint="eastAsia"/>
          <w:sz w:val="24"/>
        </w:rPr>
        <w:t>日北京时间15时00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大学城谷围街政务服务中心搬迁及升级改造供冷工程”字样。投标人递交投标文件后，请联系采购人确认。</w:t>
      </w:r>
    </w:p>
    <w:p>
      <w:pPr>
        <w:numPr>
          <w:ilvl w:val="0"/>
          <w:numId w:val="14"/>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12"/>
      <w:r>
        <w:rPr>
          <w:sz w:val="24"/>
        </w:rPr>
        <w:t>。</w:t>
      </w:r>
    </w:p>
    <w:bookmarkEnd w:id="13"/>
    <w:p>
      <w:pPr>
        <w:numPr>
          <w:ilvl w:val="0"/>
          <w:numId w:val="1"/>
        </w:numPr>
        <w:spacing w:before="120" w:beforeLines="50" w:after="120" w:afterLines="50" w:line="360" w:lineRule="auto"/>
        <w:ind w:left="0" w:firstLine="482" w:firstLineChars="200"/>
        <w:rPr>
          <w:rFonts w:ascii="宋体" w:hAnsi="宋体"/>
          <w:b/>
          <w:sz w:val="24"/>
        </w:rPr>
      </w:pPr>
      <w:bookmarkStart w:id="14" w:name="_Hlk33473147"/>
      <w:bookmarkStart w:id="15"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w:t>
      </w:r>
      <w:bookmarkStart w:id="16" w:name="_Hlk77585378"/>
      <w:r>
        <w:rPr>
          <w:rFonts w:hint="eastAsia"/>
          <w:sz w:val="24"/>
        </w:rPr>
        <w:t>广东建设工程信息网（网址：</w:t>
      </w:r>
      <w:r>
        <w:rPr>
          <w:sz w:val="24"/>
        </w:rPr>
        <w:t>www.get-cn.com）</w:t>
      </w:r>
      <w:bookmarkEnd w:id="16"/>
      <w:r>
        <w:rPr>
          <w:rFonts w:hint="eastAsia"/>
          <w:sz w:val="24"/>
        </w:rPr>
        <w:t>、广州大学城投资经营管理有限公司网站（网址：</w:t>
      </w:r>
      <w:r>
        <w:rPr>
          <w:sz w:val="24"/>
        </w:rPr>
        <w:t>https://www.gzuci.com/</w:t>
      </w:r>
      <w:r>
        <w:rPr>
          <w:rFonts w:hint="eastAsia"/>
          <w:sz w:val="24"/>
        </w:rPr>
        <w:t>）、广州国企阳光采购服务平台（http://cg.gemas.com.cn/）同时发布。本竞选文件在各媒体发布的文本如有不同之处，以在广州大学城投资经营管理有限公司网站发布的文本为准。</w:t>
      </w:r>
    </w:p>
    <w:bookmarkEnd w:id="14"/>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ascii="宋体" w:hAnsi="宋体"/>
          <w:sz w:val="24"/>
        </w:rPr>
      </w:pPr>
      <w:r>
        <w:rPr>
          <w:rFonts w:hint="eastAsia" w:ascii="宋体" w:hAnsi="宋体"/>
          <w:sz w:val="24"/>
        </w:rPr>
        <w:t>采购单位：广州大学城投资经营管理有限公司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ascii="宋体" w:hAnsi="宋体"/>
          <w:sz w:val="24"/>
        </w:rPr>
      </w:pPr>
      <w:r>
        <w:rPr>
          <w:rFonts w:hint="eastAsia" w:ascii="宋体" w:hAnsi="宋体"/>
          <w:sz w:val="24"/>
        </w:rPr>
        <w:t>联系人：廖先生</w:t>
      </w:r>
    </w:p>
    <w:p>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39302079</w:t>
      </w:r>
    </w:p>
    <w:p>
      <w:pPr>
        <w:spacing w:before="120" w:beforeLines="50" w:after="120" w:afterLines="50" w:line="360" w:lineRule="auto"/>
        <w:ind w:firstLine="480" w:firstLineChars="200"/>
        <w:rPr>
          <w:rFonts w:ascii="宋体" w:hAnsi="宋体"/>
          <w:sz w:val="24"/>
        </w:rPr>
      </w:pPr>
      <w:bookmarkStart w:id="17"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7"/>
        <w:spacing w:before="120" w:beforeLines="50" w:after="120" w:afterLines="50" w:line="360" w:lineRule="auto"/>
        <w:ind w:left="0" w:leftChars="0" w:right="560"/>
        <w:jc w:val="right"/>
      </w:pPr>
      <w:r>
        <w:rPr>
          <w:rFonts w:hint="eastAsia"/>
        </w:rPr>
        <w:t>采购人：广州大学城投资经营管理有限公司</w:t>
      </w:r>
    </w:p>
    <w:p>
      <w:pPr>
        <w:pStyle w:val="7"/>
        <w:spacing w:before="120" w:beforeLines="50" w:after="120" w:afterLines="50" w:line="360" w:lineRule="auto"/>
        <w:ind w:left="0" w:leftChars="0" w:right="560"/>
        <w:jc w:val="right"/>
      </w:pPr>
      <w:r>
        <w:rPr>
          <w:rFonts w:hint="eastAsia"/>
        </w:rPr>
        <w:t>202</w:t>
      </w:r>
      <w:r>
        <w:t>2</w:t>
      </w:r>
      <w:r>
        <w:rPr>
          <w:rFonts w:hint="eastAsia"/>
        </w:rPr>
        <w:t>年</w:t>
      </w:r>
      <w:r>
        <w:t>2</w:t>
      </w:r>
      <w:r>
        <w:rPr>
          <w:rFonts w:hint="eastAsia"/>
        </w:rPr>
        <w:t>月</w:t>
      </w:r>
      <w:r>
        <w:t>8</w:t>
      </w:r>
      <w:r>
        <w:rPr>
          <w:rFonts w:hint="eastAsia"/>
        </w:rPr>
        <w:t>日</w:t>
      </w:r>
      <w:bookmarkEnd w:id="11"/>
    </w:p>
    <w:bookmarkEnd w:id="15"/>
    <w:bookmarkEnd w:id="17"/>
    <w:p>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pPr>
        <w:pStyle w:val="10"/>
        <w:ind w:firstLine="0" w:firstLineChars="0"/>
        <w:jc w:val="center"/>
        <w:rPr>
          <w:rFonts w:hAnsi="宋体"/>
          <w:b/>
          <w:sz w:val="28"/>
          <w:szCs w:val="28"/>
        </w:rPr>
      </w:pPr>
      <w:r>
        <w:rPr>
          <w:rFonts w:hAnsi="宋体"/>
          <w:b/>
          <w:sz w:val="28"/>
          <w:szCs w:val="28"/>
        </w:rPr>
        <w:t>报价一览表</w:t>
      </w:r>
    </w:p>
    <w:p>
      <w:pPr>
        <w:pStyle w:val="10"/>
        <w:ind w:firstLine="0" w:firstLineChars="0"/>
        <w:jc w:val="center"/>
        <w:rPr>
          <w:rFonts w:hAnsi="宋体"/>
          <w:b/>
          <w:sz w:val="28"/>
          <w:szCs w:val="28"/>
        </w:rPr>
      </w:pPr>
    </w:p>
    <w:p>
      <w:pPr>
        <w:spacing w:line="360" w:lineRule="auto"/>
        <w:rPr>
          <w:rFonts w:hAnsi="宋体"/>
          <w:sz w:val="24"/>
        </w:rPr>
      </w:pPr>
      <w:r>
        <w:rPr>
          <w:rFonts w:hint="eastAsia" w:hAnsi="宋体"/>
          <w:sz w:val="24"/>
        </w:rPr>
        <w:t>项目名称：大学城谷围街政务服务中心搬迁及升级改造供冷工程</w:t>
      </w:r>
    </w:p>
    <w:tbl>
      <w:tblPr>
        <w:tblStyle w:val="23"/>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012"/>
        <w:gridCol w:w="1815"/>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786" w:type="dxa"/>
            <w:vAlign w:val="center"/>
          </w:tcPr>
          <w:p>
            <w:pPr>
              <w:jc w:val="center"/>
              <w:rPr>
                <w:rFonts w:hAnsi="宋体"/>
                <w:bCs/>
                <w:sz w:val="24"/>
              </w:rPr>
            </w:pPr>
            <w:bookmarkStart w:id="18" w:name="_Hlk33473274"/>
            <w:r>
              <w:rPr>
                <w:rFonts w:hint="eastAsia" w:hAnsi="宋体"/>
                <w:bCs/>
                <w:sz w:val="24"/>
              </w:rPr>
              <w:t>序号</w:t>
            </w:r>
          </w:p>
        </w:tc>
        <w:tc>
          <w:tcPr>
            <w:tcW w:w="2012" w:type="dxa"/>
            <w:vAlign w:val="center"/>
          </w:tcPr>
          <w:p>
            <w:pPr>
              <w:jc w:val="center"/>
              <w:rPr>
                <w:rFonts w:hAnsi="宋体"/>
                <w:bCs/>
                <w:sz w:val="24"/>
              </w:rPr>
            </w:pPr>
            <w:r>
              <w:rPr>
                <w:rFonts w:hint="eastAsia" w:hAnsi="宋体"/>
                <w:bCs/>
                <w:sz w:val="24"/>
              </w:rPr>
              <w:t>项目名称</w:t>
            </w:r>
          </w:p>
        </w:tc>
        <w:tc>
          <w:tcPr>
            <w:tcW w:w="6728"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hAnsi="宋体"/>
                <w:sz w:val="24"/>
              </w:rPr>
            </w:pPr>
            <w:r>
              <w:rPr>
                <w:rFonts w:hint="eastAsia" w:hAnsi="宋体"/>
                <w:sz w:val="24"/>
              </w:rPr>
              <w:t>1</w:t>
            </w:r>
          </w:p>
        </w:tc>
        <w:tc>
          <w:tcPr>
            <w:tcW w:w="2012" w:type="dxa"/>
            <w:vAlign w:val="center"/>
          </w:tcPr>
          <w:p>
            <w:pPr>
              <w:jc w:val="center"/>
              <w:rPr>
                <w:rFonts w:hAnsi="宋体"/>
                <w:sz w:val="24"/>
              </w:rPr>
            </w:pPr>
            <w:r>
              <w:rPr>
                <w:rFonts w:hint="eastAsia" w:hAnsi="宋体"/>
                <w:sz w:val="24"/>
              </w:rPr>
              <w:t>投标总价</w:t>
            </w:r>
          </w:p>
        </w:tc>
        <w:tc>
          <w:tcPr>
            <w:tcW w:w="6728"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hAnsi="宋体"/>
                <w:sz w:val="24"/>
              </w:rPr>
            </w:pPr>
            <w:r>
              <w:rPr>
                <w:rFonts w:hint="eastAsia" w:hAnsi="宋体"/>
                <w:sz w:val="24"/>
              </w:rPr>
              <w:t>其中</w:t>
            </w:r>
          </w:p>
        </w:tc>
        <w:tc>
          <w:tcPr>
            <w:tcW w:w="2012" w:type="dxa"/>
            <w:vAlign w:val="center"/>
          </w:tcPr>
          <w:p>
            <w:pPr>
              <w:jc w:val="center"/>
              <w:rPr>
                <w:rFonts w:hAnsi="宋体"/>
                <w:sz w:val="24"/>
              </w:rPr>
            </w:pPr>
            <w:r>
              <w:rPr>
                <w:rFonts w:hint="eastAsia" w:hAnsi="宋体"/>
                <w:sz w:val="24"/>
              </w:rPr>
              <w:t>不含税总价</w:t>
            </w:r>
          </w:p>
        </w:tc>
        <w:tc>
          <w:tcPr>
            <w:tcW w:w="6728"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hAnsi="宋体"/>
                <w:sz w:val="24"/>
              </w:rPr>
            </w:pPr>
            <w:r>
              <w:rPr>
                <w:rFonts w:hint="eastAsia" w:hAnsi="宋体"/>
                <w:sz w:val="24"/>
              </w:rPr>
              <w:t>2</w:t>
            </w:r>
          </w:p>
        </w:tc>
        <w:tc>
          <w:tcPr>
            <w:tcW w:w="2012" w:type="dxa"/>
            <w:vAlign w:val="center"/>
          </w:tcPr>
          <w:p>
            <w:pPr>
              <w:jc w:val="center"/>
              <w:rPr>
                <w:rFonts w:hAnsi="宋体"/>
                <w:sz w:val="24"/>
              </w:rPr>
            </w:pPr>
            <w:r>
              <w:rPr>
                <w:rFonts w:hint="eastAsia" w:hAnsi="宋体"/>
                <w:sz w:val="24"/>
              </w:rPr>
              <w:t>投标工期</w:t>
            </w:r>
          </w:p>
        </w:tc>
        <w:tc>
          <w:tcPr>
            <w:tcW w:w="672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hAnsi="宋体"/>
                <w:sz w:val="24"/>
              </w:rPr>
            </w:pPr>
            <w:r>
              <w:rPr>
                <w:rFonts w:hint="eastAsia" w:hAnsi="宋体"/>
                <w:sz w:val="24"/>
              </w:rPr>
              <w:t>3</w:t>
            </w:r>
          </w:p>
        </w:tc>
        <w:tc>
          <w:tcPr>
            <w:tcW w:w="2012" w:type="dxa"/>
            <w:vAlign w:val="center"/>
          </w:tcPr>
          <w:p>
            <w:pPr>
              <w:jc w:val="center"/>
              <w:rPr>
                <w:rFonts w:hAnsi="宋体"/>
                <w:sz w:val="24"/>
              </w:rPr>
            </w:pPr>
            <w:r>
              <w:rPr>
                <w:rFonts w:hint="eastAsia" w:hAnsi="宋体"/>
                <w:sz w:val="24"/>
              </w:rPr>
              <w:t>工程质量标准</w:t>
            </w:r>
          </w:p>
        </w:tc>
        <w:tc>
          <w:tcPr>
            <w:tcW w:w="672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hAnsi="宋体"/>
                <w:sz w:val="24"/>
              </w:rPr>
            </w:pPr>
            <w:r>
              <w:rPr>
                <w:rFonts w:hint="eastAsia" w:hAnsi="宋体"/>
                <w:sz w:val="24"/>
              </w:rPr>
              <w:t>4</w:t>
            </w:r>
          </w:p>
        </w:tc>
        <w:tc>
          <w:tcPr>
            <w:tcW w:w="2012" w:type="dxa"/>
            <w:vAlign w:val="center"/>
          </w:tcPr>
          <w:p>
            <w:pPr>
              <w:jc w:val="center"/>
              <w:rPr>
                <w:rFonts w:hAnsi="宋体"/>
                <w:sz w:val="24"/>
              </w:rPr>
            </w:pPr>
            <w:r>
              <w:rPr>
                <w:rFonts w:hint="eastAsia" w:hAnsi="宋体"/>
                <w:sz w:val="24"/>
              </w:rPr>
              <w:t>保修期限</w:t>
            </w:r>
          </w:p>
        </w:tc>
        <w:tc>
          <w:tcPr>
            <w:tcW w:w="672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86" w:type="dxa"/>
            <w:vMerge w:val="restart"/>
            <w:vAlign w:val="center"/>
          </w:tcPr>
          <w:p>
            <w:pPr>
              <w:jc w:val="center"/>
              <w:rPr>
                <w:rFonts w:hAnsi="宋体"/>
                <w:sz w:val="24"/>
              </w:rPr>
            </w:pPr>
            <w:r>
              <w:rPr>
                <w:rFonts w:hint="eastAsia" w:hAnsi="宋体"/>
                <w:sz w:val="24"/>
              </w:rPr>
              <w:t>5</w:t>
            </w:r>
          </w:p>
        </w:tc>
        <w:tc>
          <w:tcPr>
            <w:tcW w:w="2012" w:type="dxa"/>
            <w:vMerge w:val="restart"/>
            <w:vAlign w:val="center"/>
          </w:tcPr>
          <w:p>
            <w:pPr>
              <w:jc w:val="center"/>
              <w:rPr>
                <w:rFonts w:hAnsi="宋体"/>
                <w:sz w:val="24"/>
              </w:rPr>
            </w:pPr>
            <w:r>
              <w:rPr>
                <w:rFonts w:hint="eastAsia" w:hAnsi="宋体"/>
                <w:sz w:val="24"/>
              </w:rPr>
              <w:t>拟委派的项目负责人</w:t>
            </w:r>
          </w:p>
        </w:tc>
        <w:tc>
          <w:tcPr>
            <w:tcW w:w="1815" w:type="dxa"/>
            <w:vAlign w:val="center"/>
          </w:tcPr>
          <w:p>
            <w:pPr>
              <w:rPr>
                <w:rFonts w:hAnsi="宋体"/>
                <w:sz w:val="24"/>
              </w:rPr>
            </w:pPr>
            <w:r>
              <w:rPr>
                <w:rFonts w:hint="eastAsia" w:hAnsi="宋体"/>
                <w:sz w:val="24"/>
              </w:rPr>
              <w:t>姓名</w:t>
            </w:r>
          </w:p>
        </w:tc>
        <w:tc>
          <w:tcPr>
            <w:tcW w:w="491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86" w:type="dxa"/>
            <w:vMerge w:val="continue"/>
            <w:vAlign w:val="center"/>
          </w:tcPr>
          <w:p>
            <w:pPr>
              <w:rPr>
                <w:rFonts w:hAnsi="宋体"/>
                <w:sz w:val="24"/>
              </w:rPr>
            </w:pPr>
          </w:p>
        </w:tc>
        <w:tc>
          <w:tcPr>
            <w:tcW w:w="2012" w:type="dxa"/>
            <w:vMerge w:val="continue"/>
            <w:vAlign w:val="center"/>
          </w:tcPr>
          <w:p>
            <w:pPr>
              <w:rPr>
                <w:rFonts w:hAnsi="宋体"/>
                <w:sz w:val="24"/>
              </w:rPr>
            </w:pPr>
          </w:p>
        </w:tc>
        <w:tc>
          <w:tcPr>
            <w:tcW w:w="1815" w:type="dxa"/>
            <w:vAlign w:val="center"/>
          </w:tcPr>
          <w:p>
            <w:pPr>
              <w:rPr>
                <w:rFonts w:hAnsi="宋体"/>
                <w:sz w:val="24"/>
              </w:rPr>
            </w:pPr>
            <w:r>
              <w:rPr>
                <w:rFonts w:hint="eastAsia" w:hAnsi="宋体"/>
                <w:sz w:val="24"/>
              </w:rPr>
              <w:t>技术职称</w:t>
            </w:r>
          </w:p>
        </w:tc>
        <w:tc>
          <w:tcPr>
            <w:tcW w:w="491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86" w:type="dxa"/>
            <w:vMerge w:val="continue"/>
            <w:vAlign w:val="center"/>
          </w:tcPr>
          <w:p>
            <w:pPr>
              <w:rPr>
                <w:rFonts w:hAnsi="宋体"/>
                <w:sz w:val="24"/>
              </w:rPr>
            </w:pPr>
          </w:p>
        </w:tc>
        <w:tc>
          <w:tcPr>
            <w:tcW w:w="2012" w:type="dxa"/>
            <w:vMerge w:val="continue"/>
            <w:vAlign w:val="center"/>
          </w:tcPr>
          <w:p>
            <w:pPr>
              <w:rPr>
                <w:rFonts w:hAnsi="宋体"/>
                <w:sz w:val="24"/>
              </w:rPr>
            </w:pPr>
          </w:p>
        </w:tc>
        <w:tc>
          <w:tcPr>
            <w:tcW w:w="1815" w:type="dxa"/>
            <w:vAlign w:val="center"/>
          </w:tcPr>
          <w:p>
            <w:pPr>
              <w:rPr>
                <w:rFonts w:hAnsi="宋体"/>
                <w:sz w:val="24"/>
              </w:rPr>
            </w:pPr>
            <w:r>
              <w:rPr>
                <w:rFonts w:hint="eastAsia" w:hAnsi="宋体"/>
                <w:sz w:val="24"/>
              </w:rPr>
              <w:t>联系电话</w:t>
            </w:r>
          </w:p>
        </w:tc>
        <w:tc>
          <w:tcPr>
            <w:tcW w:w="4913" w:type="dxa"/>
            <w:vAlign w:val="center"/>
          </w:tcPr>
          <w:p>
            <w:pPr>
              <w:rPr>
                <w:rFonts w:hAnsi="宋体"/>
                <w:sz w:val="24"/>
              </w:rPr>
            </w:pPr>
          </w:p>
        </w:tc>
      </w:tr>
      <w:bookmarkEnd w:id="18"/>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9"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项目名称：大学城谷围街政务服务中心搬迁及升级改造供冷工程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日期：2022年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9"/>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20"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日期：2022年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20"/>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6"/>
        <w:spacing w:line="360" w:lineRule="auto"/>
        <w:ind w:firstLine="424" w:firstLineChars="177"/>
        <w:rPr>
          <w:rFonts w:hAnsi="宋体"/>
          <w:bCs/>
          <w:sz w:val="24"/>
          <w:szCs w:val="24"/>
        </w:rPr>
      </w:pPr>
    </w:p>
    <w:p>
      <w:pPr>
        <w:pStyle w:val="26"/>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6"/>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6"/>
        <w:spacing w:line="360" w:lineRule="auto"/>
        <w:ind w:firstLine="480" w:firstLineChars="200"/>
        <w:rPr>
          <w:rFonts w:hAnsi="宋体"/>
          <w:sz w:val="24"/>
          <w:szCs w:val="24"/>
          <w:u w:val="single"/>
        </w:rPr>
      </w:pPr>
      <w:r>
        <w:rPr>
          <w:rFonts w:hint="eastAsia" w:hAnsi="宋体"/>
          <w:sz w:val="24"/>
          <w:szCs w:val="24"/>
        </w:rPr>
        <w:t>　　身份证号码：</w:t>
      </w:r>
    </w:p>
    <w:p>
      <w:pPr>
        <w:pStyle w:val="26"/>
        <w:spacing w:line="360" w:lineRule="auto"/>
        <w:ind w:firstLine="480" w:firstLineChars="200"/>
        <w:rPr>
          <w:rFonts w:hAnsi="宋体"/>
          <w:sz w:val="24"/>
          <w:szCs w:val="24"/>
          <w:u w:val="single"/>
        </w:rPr>
      </w:pPr>
      <w:r>
        <w:rPr>
          <w:rFonts w:hint="eastAsia" w:hAnsi="宋体"/>
          <w:sz w:val="24"/>
          <w:szCs w:val="24"/>
        </w:rPr>
        <w:t>　　（营业执照等）注册号码：</w:t>
      </w:r>
    </w:p>
    <w:p>
      <w:pPr>
        <w:pStyle w:val="26"/>
        <w:spacing w:line="360" w:lineRule="auto"/>
        <w:ind w:firstLine="480" w:firstLineChars="200"/>
        <w:rPr>
          <w:rFonts w:hAnsi="宋体"/>
          <w:sz w:val="24"/>
          <w:szCs w:val="24"/>
          <w:u w:val="single"/>
        </w:rPr>
      </w:pPr>
      <w:r>
        <w:rPr>
          <w:rFonts w:hint="eastAsia" w:hAnsi="宋体"/>
          <w:sz w:val="24"/>
          <w:szCs w:val="24"/>
        </w:rPr>
        <w:t>　　企业类型：</w:t>
      </w:r>
    </w:p>
    <w:p>
      <w:pPr>
        <w:pStyle w:val="26"/>
        <w:spacing w:line="360" w:lineRule="auto"/>
        <w:ind w:firstLine="480" w:firstLineChars="200"/>
        <w:rPr>
          <w:rFonts w:hAnsi="宋体"/>
          <w:sz w:val="24"/>
          <w:szCs w:val="24"/>
          <w:u w:val="single"/>
        </w:rPr>
      </w:pPr>
      <w:r>
        <w:rPr>
          <w:rFonts w:hint="eastAsia" w:hAnsi="宋体"/>
          <w:sz w:val="24"/>
          <w:szCs w:val="24"/>
        </w:rPr>
        <w:t>　　经营范围：</w:t>
      </w:r>
    </w:p>
    <w:p>
      <w:pPr>
        <w:pStyle w:val="26"/>
        <w:spacing w:line="360" w:lineRule="auto"/>
        <w:rPr>
          <w:rFonts w:hAnsi="宋体"/>
          <w:sz w:val="24"/>
          <w:szCs w:val="24"/>
        </w:rPr>
      </w:pPr>
      <w:r>
        <w:rPr>
          <w:rFonts w:hint="eastAsia" w:hAnsi="宋体"/>
          <w:sz w:val="24"/>
          <w:szCs w:val="24"/>
        </w:rPr>
        <w:t>附：被授权人有效身份证正反面或其他身份证明材料复印　　　　　　　</w:t>
      </w:r>
    </w:p>
    <w:p>
      <w:pPr>
        <w:pStyle w:val="25"/>
        <w:spacing w:line="360" w:lineRule="auto"/>
        <w:jc w:val="both"/>
        <w:rPr>
          <w:rFonts w:hAnsi="宋体"/>
          <w:sz w:val="24"/>
          <w:szCs w:val="24"/>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4"/>
          <w:szCs w:val="24"/>
        </w:rPr>
      </w:pPr>
      <w:r>
        <w:rPr>
          <w:rFonts w:hint="eastAsia" w:hAnsi="宋体" w:eastAsia="宋体" w:cs="宋体"/>
          <w:sz w:val="24"/>
          <w:szCs w:val="24"/>
        </w:rPr>
        <w:t>（单位盖章）：</w:t>
      </w:r>
    </w:p>
    <w:p>
      <w:pPr>
        <w:pStyle w:val="25"/>
        <w:spacing w:line="360" w:lineRule="auto"/>
        <w:jc w:val="both"/>
        <w:rPr>
          <w:rFonts w:hAnsi="宋体" w:eastAsia="宋体" w:cs="宋体"/>
          <w:sz w:val="24"/>
          <w:szCs w:val="24"/>
        </w:rPr>
      </w:pPr>
    </w:p>
    <w:p>
      <w:pPr>
        <w:pStyle w:val="25"/>
        <w:spacing w:line="360" w:lineRule="auto"/>
        <w:jc w:val="both"/>
        <w:rPr>
          <w:rFonts w:hAnsi="宋体" w:eastAsia="宋体" w:cs="宋体"/>
          <w:sz w:val="24"/>
          <w:szCs w:val="24"/>
        </w:rPr>
      </w:pPr>
      <w:bookmarkStart w:id="21" w:name="_Hlk33473384"/>
      <w:r>
        <w:rPr>
          <w:rFonts w:hint="eastAsia" w:hAnsi="宋体" w:eastAsia="宋体" w:cs="宋体"/>
          <w:sz w:val="24"/>
          <w:szCs w:val="24"/>
        </w:rPr>
        <w:t>法定代表人（签字或盖章）：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日期： 2022年   月  日</w:t>
      </w:r>
    </w:p>
    <w:p>
      <w:pPr>
        <w:rPr>
          <w:sz w:val="24"/>
        </w:rPr>
      </w:pPr>
      <w:r>
        <w:rPr>
          <w:rFonts w:hint="eastAsia" w:hAnsi="宋体" w:cs="宋体"/>
          <w:sz w:val="24"/>
          <w:lang w:val="zh-CN"/>
        </w:rPr>
        <w:t>说明：法定代表人亲自办理投标事宜的，无需提交本证明书。</w:t>
      </w:r>
    </w:p>
    <w:bookmarkEnd w:id="21"/>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项目名称：大学城谷围街政务服务中心搬迁及升级改造供冷工程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tabs>
                <w:tab w:val="left" w:pos="0"/>
              </w:tabs>
              <w:rPr>
                <w:rFonts w:ascii="宋体" w:hAnsi="宋体" w:cs="宋体"/>
                <w:szCs w:val="21"/>
              </w:rPr>
            </w:pPr>
            <w:r>
              <w:rPr>
                <w:rFonts w:hint="eastAsia" w:ascii="宋体" w:hAnsi="宋体" w:cs="宋体"/>
                <w:szCs w:val="21"/>
              </w:rPr>
              <w:t>3</w:t>
            </w:r>
          </w:p>
        </w:tc>
        <w:tc>
          <w:tcPr>
            <w:tcW w:w="6862" w:type="dxa"/>
            <w:shd w:val="clear" w:color="auto" w:fill="auto"/>
            <w:vAlign w:val="center"/>
          </w:tcPr>
          <w:p>
            <w:pPr>
              <w:tabs>
                <w:tab w:val="left" w:pos="0"/>
              </w:tabs>
              <w:rPr>
                <w:rFonts w:ascii="宋体" w:hAnsi="宋体" w:cs="宋体"/>
                <w:szCs w:val="21"/>
              </w:rPr>
            </w:pPr>
            <w:r>
              <w:rPr>
                <w:rFonts w:hint="eastAsia" w:ascii="宋体" w:hAnsi="宋体" w:cs="宋体"/>
                <w:szCs w:val="21"/>
              </w:rPr>
              <w:t>具备以下其中一种资质：</w:t>
            </w:r>
          </w:p>
          <w:p>
            <w:pPr>
              <w:tabs>
                <w:tab w:val="left" w:pos="0"/>
              </w:tabs>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市政公用工程施工总承包三级或以上资质。</w:t>
            </w:r>
          </w:p>
          <w:p>
            <w:pPr>
              <w:tabs>
                <w:tab w:val="left" w:pos="0"/>
              </w:tabs>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建筑机电安装工程专业承包三级资质或以上资质。</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4</w:t>
            </w:r>
          </w:p>
        </w:tc>
        <w:tc>
          <w:tcPr>
            <w:tcW w:w="6862"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5</w:t>
            </w:r>
          </w:p>
        </w:tc>
        <w:tc>
          <w:tcPr>
            <w:tcW w:w="6862" w:type="dxa"/>
            <w:vAlign w:val="center"/>
          </w:tcPr>
          <w:p>
            <w:pPr>
              <w:rPr>
                <w:rFonts w:ascii="宋体" w:hAnsi="宋体" w:cs="宋体"/>
                <w:szCs w:val="21"/>
              </w:rPr>
            </w:pPr>
            <w:r>
              <w:rPr>
                <w:rFonts w:hint="eastAsia" w:ascii="宋体" w:hAnsi="宋体" w:cs="宋体"/>
                <w:szCs w:val="21"/>
              </w:rPr>
              <w:t>近3年内(2018年1月1日至今) 完成过质量合格的类似项目施工业绩（需提供合同和验收报告等相关证明材料复印件）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项目名称：大学城谷围街政务服务中心搬迁及升级改造供冷工程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不符合竞选文件中规定的其他实质性要求。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spacing w:line="360" w:lineRule="auto"/>
        <w:rPr>
          <w:rFonts w:ascii="宋体" w:hAnsi="宋体" w:cs="宋体"/>
          <w:color w:val="000000"/>
          <w:szCs w:val="21"/>
        </w:rPr>
      </w:pP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988"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131C02"/>
    <w:multiLevelType w:val="multilevel"/>
    <w:tmpl w:val="6A131C02"/>
    <w:lvl w:ilvl="0" w:tentative="0">
      <w:start w:val="1"/>
      <w:numFmt w:val="decimal"/>
      <w:lvlText w:val="%1."/>
      <w:lvlJc w:val="left"/>
      <w:pPr>
        <w:ind w:left="780" w:hanging="36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CE70E6D"/>
    <w:multiLevelType w:val="singleLevel"/>
    <w:tmpl w:val="7CE70E6D"/>
    <w:lvl w:ilvl="0" w:tentative="0">
      <w:start w:val="1"/>
      <w:numFmt w:val="decimal"/>
      <w:suff w:val="nothing"/>
      <w:lvlText w:val="%1."/>
      <w:lvlJc w:val="left"/>
    </w:lvl>
  </w:abstractNum>
  <w:abstractNum w:abstractNumId="15">
    <w:nsid w:val="7ED462DF"/>
    <w:multiLevelType w:val="multilevel"/>
    <w:tmpl w:val="7ED462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13"/>
  </w:num>
  <w:num w:numId="8">
    <w:abstractNumId w:val="9"/>
  </w:num>
  <w:num w:numId="9">
    <w:abstractNumId w:val="4"/>
  </w:num>
  <w:num w:numId="10">
    <w:abstractNumId w:val="10"/>
  </w:num>
  <w:num w:numId="11">
    <w:abstractNumId w:val="2"/>
  </w:num>
  <w:num w:numId="12">
    <w:abstractNumId w:val="8"/>
  </w:num>
  <w:num w:numId="13">
    <w:abstractNumId w:val="7"/>
  </w:num>
  <w:num w:numId="14">
    <w:abstractNumId w:val="6"/>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0873"/>
    <w:rsid w:val="0001269A"/>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7FD"/>
    <w:rsid w:val="00145839"/>
    <w:rsid w:val="001505AC"/>
    <w:rsid w:val="00154134"/>
    <w:rsid w:val="00155983"/>
    <w:rsid w:val="00155A34"/>
    <w:rsid w:val="001604AB"/>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6139"/>
    <w:rsid w:val="001D769B"/>
    <w:rsid w:val="001E06A5"/>
    <w:rsid w:val="001E32AC"/>
    <w:rsid w:val="001E4370"/>
    <w:rsid w:val="001E564E"/>
    <w:rsid w:val="001E658F"/>
    <w:rsid w:val="001E72D1"/>
    <w:rsid w:val="001F506C"/>
    <w:rsid w:val="001F55B1"/>
    <w:rsid w:val="001F6D6F"/>
    <w:rsid w:val="00206C33"/>
    <w:rsid w:val="00211275"/>
    <w:rsid w:val="0021170B"/>
    <w:rsid w:val="00211754"/>
    <w:rsid w:val="002117D0"/>
    <w:rsid w:val="00211BF3"/>
    <w:rsid w:val="0021497F"/>
    <w:rsid w:val="0021591C"/>
    <w:rsid w:val="00216BCF"/>
    <w:rsid w:val="00217C91"/>
    <w:rsid w:val="00221D47"/>
    <w:rsid w:val="0022379F"/>
    <w:rsid w:val="0022459A"/>
    <w:rsid w:val="0022476E"/>
    <w:rsid w:val="00225F7C"/>
    <w:rsid w:val="002279CF"/>
    <w:rsid w:val="002333C1"/>
    <w:rsid w:val="00242DE0"/>
    <w:rsid w:val="00246487"/>
    <w:rsid w:val="00250A00"/>
    <w:rsid w:val="00253AFF"/>
    <w:rsid w:val="00264096"/>
    <w:rsid w:val="0026536E"/>
    <w:rsid w:val="00266035"/>
    <w:rsid w:val="00271AA0"/>
    <w:rsid w:val="00275CA3"/>
    <w:rsid w:val="00276666"/>
    <w:rsid w:val="00285B74"/>
    <w:rsid w:val="002871F8"/>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64527"/>
    <w:rsid w:val="00473BB4"/>
    <w:rsid w:val="00476BF0"/>
    <w:rsid w:val="00491859"/>
    <w:rsid w:val="004A01AA"/>
    <w:rsid w:val="004A0372"/>
    <w:rsid w:val="004A1A1D"/>
    <w:rsid w:val="004A23D1"/>
    <w:rsid w:val="004A24A7"/>
    <w:rsid w:val="004A4F9A"/>
    <w:rsid w:val="004A6018"/>
    <w:rsid w:val="004A702E"/>
    <w:rsid w:val="004A7A4B"/>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51F3"/>
    <w:rsid w:val="005C6AA9"/>
    <w:rsid w:val="005D14E9"/>
    <w:rsid w:val="005D22E5"/>
    <w:rsid w:val="005D4557"/>
    <w:rsid w:val="005E044A"/>
    <w:rsid w:val="005E2B2C"/>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7081"/>
    <w:rsid w:val="00667F5A"/>
    <w:rsid w:val="00677B93"/>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3532D"/>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04CA"/>
    <w:rsid w:val="008F4BC0"/>
    <w:rsid w:val="008F50D8"/>
    <w:rsid w:val="008F57ED"/>
    <w:rsid w:val="008F7BB5"/>
    <w:rsid w:val="009013E2"/>
    <w:rsid w:val="00902AFA"/>
    <w:rsid w:val="00902C05"/>
    <w:rsid w:val="009104A4"/>
    <w:rsid w:val="00912C52"/>
    <w:rsid w:val="009159D7"/>
    <w:rsid w:val="00920A26"/>
    <w:rsid w:val="00921DC0"/>
    <w:rsid w:val="00926DD7"/>
    <w:rsid w:val="00947674"/>
    <w:rsid w:val="00952170"/>
    <w:rsid w:val="009547FA"/>
    <w:rsid w:val="00954C38"/>
    <w:rsid w:val="00956689"/>
    <w:rsid w:val="0097363A"/>
    <w:rsid w:val="00973949"/>
    <w:rsid w:val="009767C9"/>
    <w:rsid w:val="00983A2A"/>
    <w:rsid w:val="00986BAC"/>
    <w:rsid w:val="00986DE1"/>
    <w:rsid w:val="00990E1A"/>
    <w:rsid w:val="009914C9"/>
    <w:rsid w:val="009A1B79"/>
    <w:rsid w:val="009A2776"/>
    <w:rsid w:val="009A4D34"/>
    <w:rsid w:val="009A525E"/>
    <w:rsid w:val="009A5E41"/>
    <w:rsid w:val="009B1040"/>
    <w:rsid w:val="009C14F4"/>
    <w:rsid w:val="009C1E69"/>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28A7"/>
    <w:rsid w:val="00B34F6A"/>
    <w:rsid w:val="00B40BEF"/>
    <w:rsid w:val="00B418B5"/>
    <w:rsid w:val="00B43CD4"/>
    <w:rsid w:val="00B469B7"/>
    <w:rsid w:val="00B47E24"/>
    <w:rsid w:val="00B524C8"/>
    <w:rsid w:val="00B5758F"/>
    <w:rsid w:val="00B64069"/>
    <w:rsid w:val="00B65CC6"/>
    <w:rsid w:val="00B67EFF"/>
    <w:rsid w:val="00B70FD1"/>
    <w:rsid w:val="00B726C7"/>
    <w:rsid w:val="00B72889"/>
    <w:rsid w:val="00B72CE7"/>
    <w:rsid w:val="00B774CF"/>
    <w:rsid w:val="00B80AD5"/>
    <w:rsid w:val="00B860C3"/>
    <w:rsid w:val="00B90671"/>
    <w:rsid w:val="00B90B6E"/>
    <w:rsid w:val="00B91E38"/>
    <w:rsid w:val="00B92400"/>
    <w:rsid w:val="00B948CB"/>
    <w:rsid w:val="00B96B7C"/>
    <w:rsid w:val="00B9707D"/>
    <w:rsid w:val="00BA4916"/>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0DCC"/>
    <w:rsid w:val="00C053E5"/>
    <w:rsid w:val="00C07BF1"/>
    <w:rsid w:val="00C11059"/>
    <w:rsid w:val="00C174A4"/>
    <w:rsid w:val="00C226D9"/>
    <w:rsid w:val="00C23B98"/>
    <w:rsid w:val="00C24E1E"/>
    <w:rsid w:val="00C2645D"/>
    <w:rsid w:val="00C27B6D"/>
    <w:rsid w:val="00C3028C"/>
    <w:rsid w:val="00C3119C"/>
    <w:rsid w:val="00C315D6"/>
    <w:rsid w:val="00C3242D"/>
    <w:rsid w:val="00C4031C"/>
    <w:rsid w:val="00C43DB5"/>
    <w:rsid w:val="00C514A7"/>
    <w:rsid w:val="00C706FF"/>
    <w:rsid w:val="00C739F8"/>
    <w:rsid w:val="00C74CE8"/>
    <w:rsid w:val="00C90657"/>
    <w:rsid w:val="00C9536A"/>
    <w:rsid w:val="00CA1AC9"/>
    <w:rsid w:val="00CA621C"/>
    <w:rsid w:val="00CB5412"/>
    <w:rsid w:val="00CD2F21"/>
    <w:rsid w:val="00CD6ADB"/>
    <w:rsid w:val="00CD6D98"/>
    <w:rsid w:val="00CD7E92"/>
    <w:rsid w:val="00CE5C4A"/>
    <w:rsid w:val="00CE7860"/>
    <w:rsid w:val="00CF023C"/>
    <w:rsid w:val="00CF05BC"/>
    <w:rsid w:val="00D03706"/>
    <w:rsid w:val="00D048B7"/>
    <w:rsid w:val="00D1262C"/>
    <w:rsid w:val="00D14DB9"/>
    <w:rsid w:val="00D202CF"/>
    <w:rsid w:val="00D34D00"/>
    <w:rsid w:val="00D35C86"/>
    <w:rsid w:val="00D42526"/>
    <w:rsid w:val="00D4497C"/>
    <w:rsid w:val="00D51B1D"/>
    <w:rsid w:val="00D55836"/>
    <w:rsid w:val="00D5627D"/>
    <w:rsid w:val="00D57C42"/>
    <w:rsid w:val="00D62988"/>
    <w:rsid w:val="00D653FE"/>
    <w:rsid w:val="00D70E13"/>
    <w:rsid w:val="00D74120"/>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67482"/>
    <w:rsid w:val="00E72782"/>
    <w:rsid w:val="00E800E7"/>
    <w:rsid w:val="00E820B1"/>
    <w:rsid w:val="00E82448"/>
    <w:rsid w:val="00E82FB9"/>
    <w:rsid w:val="00E90910"/>
    <w:rsid w:val="00E97A9C"/>
    <w:rsid w:val="00EA4024"/>
    <w:rsid w:val="00EA4B1F"/>
    <w:rsid w:val="00EB0304"/>
    <w:rsid w:val="00EB6582"/>
    <w:rsid w:val="00EC0CD3"/>
    <w:rsid w:val="00EC0F7A"/>
    <w:rsid w:val="00EC5BF7"/>
    <w:rsid w:val="00ED2D79"/>
    <w:rsid w:val="00EE05C4"/>
    <w:rsid w:val="00EE7895"/>
    <w:rsid w:val="00EF18C1"/>
    <w:rsid w:val="00EF512B"/>
    <w:rsid w:val="00EF6BC6"/>
    <w:rsid w:val="00F02A17"/>
    <w:rsid w:val="00F05829"/>
    <w:rsid w:val="00F103F9"/>
    <w:rsid w:val="00F10A08"/>
    <w:rsid w:val="00F12359"/>
    <w:rsid w:val="00F1300D"/>
    <w:rsid w:val="00F2449B"/>
    <w:rsid w:val="00F25270"/>
    <w:rsid w:val="00F25E6E"/>
    <w:rsid w:val="00F25EC4"/>
    <w:rsid w:val="00F30157"/>
    <w:rsid w:val="00F34524"/>
    <w:rsid w:val="00F42B37"/>
    <w:rsid w:val="00F43993"/>
    <w:rsid w:val="00F44245"/>
    <w:rsid w:val="00F47C78"/>
    <w:rsid w:val="00F50FAC"/>
    <w:rsid w:val="00F53426"/>
    <w:rsid w:val="00F547F7"/>
    <w:rsid w:val="00F71114"/>
    <w:rsid w:val="00F71ADB"/>
    <w:rsid w:val="00F71B22"/>
    <w:rsid w:val="00F72461"/>
    <w:rsid w:val="00F74258"/>
    <w:rsid w:val="00F76A22"/>
    <w:rsid w:val="00F86D7B"/>
    <w:rsid w:val="00F9105E"/>
    <w:rsid w:val="00F93ED8"/>
    <w:rsid w:val="00F93F06"/>
    <w:rsid w:val="00F95DE1"/>
    <w:rsid w:val="00FA0034"/>
    <w:rsid w:val="00FB25F3"/>
    <w:rsid w:val="00FB3A30"/>
    <w:rsid w:val="00FB76BF"/>
    <w:rsid w:val="00FC33B2"/>
    <w:rsid w:val="00FC3A89"/>
    <w:rsid w:val="00FC3AC8"/>
    <w:rsid w:val="00FD202C"/>
    <w:rsid w:val="00FD2526"/>
    <w:rsid w:val="00FD42A2"/>
    <w:rsid w:val="00FD50E2"/>
    <w:rsid w:val="00FD63AD"/>
    <w:rsid w:val="00FE0AD6"/>
    <w:rsid w:val="00FE3A06"/>
    <w:rsid w:val="00FE6165"/>
    <w:rsid w:val="00FE61B4"/>
    <w:rsid w:val="00FE62DA"/>
    <w:rsid w:val="00FF088C"/>
    <w:rsid w:val="00FF28EC"/>
    <w:rsid w:val="00FF5451"/>
    <w:rsid w:val="00FF5C9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5B75B5"/>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28</Pages>
  <Words>2504</Words>
  <Characters>14275</Characters>
  <Lines>118</Lines>
  <Paragraphs>33</Paragraphs>
  <TotalTime>1577</TotalTime>
  <ScaleCrop>false</ScaleCrop>
  <LinksUpToDate>false</LinksUpToDate>
  <CharactersWithSpaces>16746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蒋明君</cp:lastModifiedBy>
  <cp:lastPrinted>2011-11-29T08:47:00Z</cp:lastPrinted>
  <dcterms:modified xsi:type="dcterms:W3CDTF">2022-02-09T09:51:09Z</dcterms:modified>
  <dc:title>广州大学城投资经营管理有限公司</dc:title>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