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highlight w:val="none"/>
        </w:rPr>
      </w:pPr>
      <w:r>
        <w:rPr>
          <w:rFonts w:hint="eastAsia"/>
          <w:b/>
          <w:sz w:val="28"/>
          <w:highlight w:val="none"/>
        </w:rPr>
        <w:t>广州大学城投资经营管理有限公司</w:t>
      </w:r>
    </w:p>
    <w:p>
      <w:pPr>
        <w:jc w:val="center"/>
        <w:rPr>
          <w:b/>
          <w:sz w:val="28"/>
          <w:highlight w:val="none"/>
        </w:rPr>
      </w:pPr>
      <w:r>
        <w:rPr>
          <w:rFonts w:hint="eastAsia"/>
          <w:b/>
          <w:sz w:val="28"/>
          <w:highlight w:val="none"/>
        </w:rPr>
        <w:t>科学中心冷冻水质改善配套高精度过滤器采购</w:t>
      </w:r>
    </w:p>
    <w:p>
      <w:pPr>
        <w:jc w:val="center"/>
        <w:rPr>
          <w:b/>
          <w:sz w:val="28"/>
          <w:highlight w:val="none"/>
        </w:rPr>
      </w:pPr>
      <w:r>
        <w:rPr>
          <w:rFonts w:hint="eastAsia"/>
          <w:b/>
          <w:sz w:val="28"/>
          <w:highlight w:val="none"/>
        </w:rPr>
        <w:t>竞选文件</w:t>
      </w:r>
    </w:p>
    <w:p>
      <w:pPr>
        <w:spacing w:line="360" w:lineRule="auto"/>
        <w:ind w:firstLine="482" w:firstLineChars="200"/>
        <w:jc w:val="left"/>
        <w:rPr>
          <w:rFonts w:ascii="宋体" w:hAnsi="宋体"/>
          <w:b/>
          <w:sz w:val="24"/>
          <w:highlight w:val="none"/>
        </w:rPr>
      </w:pPr>
    </w:p>
    <w:p>
      <w:pPr>
        <w:pStyle w:val="13"/>
        <w:numPr>
          <w:ilvl w:val="0"/>
          <w:numId w:val="1"/>
        </w:numPr>
        <w:spacing w:line="360" w:lineRule="auto"/>
        <w:ind w:left="0" w:firstLine="480"/>
        <w:rPr>
          <w:rFonts w:ascii="宋体" w:hAnsi="宋体"/>
          <w:sz w:val="24"/>
          <w:highlight w:val="none"/>
        </w:rPr>
      </w:pPr>
      <w:r>
        <w:rPr>
          <w:rFonts w:hint="eastAsia" w:ascii="宋体" w:hAnsi="宋体"/>
          <w:sz w:val="24"/>
          <w:highlight w:val="none"/>
        </w:rPr>
        <w:t>项目名称和采购内容</w:t>
      </w:r>
    </w:p>
    <w:p>
      <w:pPr>
        <w:pStyle w:val="13"/>
        <w:tabs>
          <w:tab w:val="left" w:pos="420"/>
        </w:tabs>
        <w:spacing w:line="360" w:lineRule="auto"/>
        <w:ind w:firstLine="480"/>
        <w:rPr>
          <w:rFonts w:ascii="宋体" w:hAnsi="宋体"/>
          <w:sz w:val="24"/>
          <w:highlight w:val="none"/>
        </w:rPr>
      </w:pPr>
      <w:r>
        <w:rPr>
          <w:rFonts w:hint="eastAsia" w:ascii="宋体" w:hAnsi="宋体"/>
          <w:sz w:val="24"/>
          <w:highlight w:val="none"/>
        </w:rPr>
        <w:t>（一）项目名称：科学中心冷冻水质改善配套高精度过滤器采购</w:t>
      </w:r>
    </w:p>
    <w:p>
      <w:pPr>
        <w:pStyle w:val="13"/>
        <w:tabs>
          <w:tab w:val="left" w:pos="420"/>
        </w:tabs>
        <w:spacing w:line="360" w:lineRule="auto"/>
        <w:ind w:firstLine="480"/>
        <w:rPr>
          <w:rFonts w:ascii="宋体" w:hAnsi="宋体"/>
          <w:sz w:val="24"/>
          <w:highlight w:val="none"/>
        </w:rPr>
      </w:pPr>
      <w:r>
        <w:rPr>
          <w:rFonts w:hint="eastAsia" w:ascii="宋体" w:hAnsi="宋体"/>
          <w:sz w:val="24"/>
          <w:highlight w:val="none"/>
        </w:rPr>
        <w:t>（二）采购限价：</w:t>
      </w:r>
      <w:r>
        <w:rPr>
          <w:rFonts w:hint="eastAsia" w:ascii="宋体" w:hAnsi="宋体"/>
          <w:sz w:val="24"/>
          <w:highlight w:val="none"/>
          <w:lang w:eastAsia="zh-CN"/>
        </w:rPr>
        <w:t>1</w:t>
      </w:r>
      <w:r>
        <w:rPr>
          <w:rFonts w:hint="eastAsia" w:ascii="宋体" w:hAnsi="宋体"/>
          <w:sz w:val="24"/>
          <w:highlight w:val="none"/>
          <w:lang w:val="en-US" w:eastAsia="zh-CN"/>
        </w:rPr>
        <w:t>6</w:t>
      </w:r>
      <w:r>
        <w:rPr>
          <w:rFonts w:hint="eastAsia" w:ascii="宋体" w:hAnsi="宋体"/>
          <w:sz w:val="24"/>
          <w:highlight w:val="none"/>
        </w:rPr>
        <w:t>万元。（投标报价超过采购限价为无效投标）。</w:t>
      </w:r>
    </w:p>
    <w:p>
      <w:pPr>
        <w:pStyle w:val="13"/>
        <w:tabs>
          <w:tab w:val="left" w:pos="420"/>
        </w:tabs>
        <w:spacing w:line="360" w:lineRule="auto"/>
        <w:ind w:firstLine="480"/>
        <w:rPr>
          <w:rFonts w:ascii="宋体" w:hAnsi="宋体"/>
          <w:sz w:val="24"/>
          <w:highlight w:val="none"/>
        </w:rPr>
      </w:pPr>
      <w:r>
        <w:rPr>
          <w:rFonts w:hint="eastAsia" w:ascii="宋体" w:hAnsi="宋体"/>
          <w:sz w:val="24"/>
          <w:highlight w:val="none"/>
        </w:rPr>
        <w:t>（三）采购内容：过滤器</w:t>
      </w:r>
      <w:r>
        <w:rPr>
          <w:rFonts w:hint="eastAsia" w:ascii="宋体" w:hAnsi="宋体" w:eastAsia="宋体" w:cs="宋体"/>
          <w:sz w:val="24"/>
          <w:highlight w:val="none"/>
        </w:rPr>
        <w:t>材料</w:t>
      </w:r>
      <w:r>
        <w:rPr>
          <w:rFonts w:hint="eastAsia" w:ascii="宋体" w:hAnsi="宋体"/>
          <w:sz w:val="24"/>
          <w:highlight w:val="none"/>
        </w:rPr>
        <w:t>，具体详见附件1.1本项目“采购需求”及附件1.2技术要求。</w:t>
      </w:r>
    </w:p>
    <w:p>
      <w:pPr>
        <w:spacing w:line="360" w:lineRule="auto"/>
        <w:ind w:firstLine="480" w:firstLineChars="200"/>
        <w:rPr>
          <w:rFonts w:ascii="宋体" w:hAnsi="宋体"/>
          <w:sz w:val="24"/>
          <w:highlight w:val="none"/>
        </w:rPr>
      </w:pPr>
      <w:r>
        <w:rPr>
          <w:rFonts w:hint="eastAsia" w:ascii="宋体" w:hAnsi="宋体"/>
          <w:sz w:val="24"/>
          <w:highlight w:val="none"/>
        </w:rPr>
        <w:t>二、合格供应商资格要求</w:t>
      </w:r>
    </w:p>
    <w:p>
      <w:pPr>
        <w:pStyle w:val="13"/>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必须具有独立承担民事责任能力、在中华人民共和国境内注册的企业法人，或其他组织，按国家法律经营，提供有效的营业执照副本或其他组织证明文件复印件；</w:t>
      </w:r>
    </w:p>
    <w:p>
      <w:pPr>
        <w:pStyle w:val="13"/>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已办理合法税务登记，具有开具相应增值税专用发票资格；</w:t>
      </w:r>
    </w:p>
    <w:p>
      <w:pPr>
        <w:pStyle w:val="13"/>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不接受联合体报价。</w:t>
      </w:r>
    </w:p>
    <w:p>
      <w:pPr>
        <w:pStyle w:val="13"/>
        <w:numPr>
          <w:ilvl w:val="0"/>
          <w:numId w:val="3"/>
        </w:numPr>
        <w:spacing w:line="360" w:lineRule="auto"/>
        <w:ind w:left="0" w:firstLine="480"/>
        <w:rPr>
          <w:rFonts w:ascii="宋体" w:hAnsi="宋体"/>
          <w:sz w:val="24"/>
          <w:highlight w:val="none"/>
        </w:rPr>
      </w:pPr>
      <w:r>
        <w:rPr>
          <w:rFonts w:hint="eastAsia" w:ascii="宋体" w:hAnsi="宋体"/>
          <w:sz w:val="24"/>
          <w:highlight w:val="none"/>
        </w:rPr>
        <w:t>费用、支付方式及货期。</w:t>
      </w:r>
    </w:p>
    <w:p>
      <w:pPr>
        <w:pStyle w:val="13"/>
        <w:numPr>
          <w:ilvl w:val="0"/>
          <w:numId w:val="4"/>
        </w:numPr>
        <w:spacing w:line="360" w:lineRule="auto"/>
        <w:ind w:firstLine="480"/>
        <w:rPr>
          <w:rFonts w:ascii="宋体" w:hAnsi="宋体"/>
          <w:sz w:val="24"/>
          <w:highlight w:val="none"/>
        </w:rPr>
      </w:pPr>
      <w:r>
        <w:rPr>
          <w:rFonts w:hint="eastAsia" w:ascii="宋体" w:hAnsi="宋体"/>
          <w:sz w:val="24"/>
          <w:highlight w:val="none"/>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标配工具、相关辅件、组件、包装运输至交货地（含装卸）、试运行、厂家技术支持、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，采购人有权根据实际情况调整采购数量。</w:t>
      </w:r>
    </w:p>
    <w:p>
      <w:pPr>
        <w:pStyle w:val="13"/>
        <w:numPr>
          <w:ilvl w:val="0"/>
          <w:numId w:val="4"/>
        </w:numPr>
        <w:spacing w:line="360" w:lineRule="auto"/>
        <w:ind w:firstLine="480"/>
        <w:rPr>
          <w:rFonts w:ascii="宋体" w:hAnsi="宋体"/>
          <w:sz w:val="24"/>
          <w:highlight w:val="none"/>
        </w:rPr>
      </w:pPr>
      <w:r>
        <w:rPr>
          <w:rFonts w:hint="eastAsia" w:ascii="宋体" w:hAnsi="宋体"/>
          <w:sz w:val="24"/>
          <w:highlight w:val="none"/>
        </w:rPr>
        <w:t>付款方式</w:t>
      </w:r>
    </w:p>
    <w:p>
      <w:pPr>
        <w:pStyle w:val="13"/>
        <w:tabs>
          <w:tab w:val="left" w:pos="420"/>
        </w:tabs>
        <w:spacing w:line="360" w:lineRule="auto"/>
        <w:ind w:firstLineChars="0"/>
        <w:rPr>
          <w:rFonts w:ascii="宋体" w:hAnsi="宋体"/>
          <w:sz w:val="24"/>
          <w:highlight w:val="none"/>
        </w:rPr>
      </w:pPr>
      <w:r>
        <w:rPr>
          <w:rFonts w:hint="eastAsia" w:ascii="宋体" w:hAnsi="宋体"/>
          <w:sz w:val="24"/>
          <w:highlight w:val="none"/>
        </w:rPr>
        <w:t>合同签订后预付合同总价的30%款项作为预付款；全部货物货到现场经需方到货验收合格后付至结算价</w:t>
      </w:r>
      <w:r>
        <w:rPr>
          <w:rFonts w:hint="eastAsia" w:ascii="宋体" w:hAnsi="宋体"/>
          <w:sz w:val="24"/>
          <w:highlight w:val="none"/>
          <w:lang w:eastAsia="zh-CN"/>
        </w:rPr>
        <w:t>6</w:t>
      </w:r>
      <w:r>
        <w:rPr>
          <w:rFonts w:hint="eastAsia" w:ascii="宋体" w:hAnsi="宋体"/>
          <w:sz w:val="24"/>
          <w:highlight w:val="none"/>
        </w:rPr>
        <w:t>0%；货物试运行后，经需方验收合格签字和收到供方相关的技术资料后15天内支付至结算价的95%款项，同时余下结算价的5%作为质保金，质保期为1年，质保期自货物试运行验收合格之日起算，质保期满供方履行完质保期义务后付清余款。付款前供方开具相应金额增值税(含13%增值税)专用发票给需方。</w:t>
      </w:r>
    </w:p>
    <w:p>
      <w:pPr>
        <w:pStyle w:val="13"/>
        <w:numPr>
          <w:ilvl w:val="0"/>
          <w:numId w:val="4"/>
        </w:numPr>
        <w:spacing w:line="360" w:lineRule="auto"/>
        <w:ind w:firstLine="480"/>
        <w:rPr>
          <w:rFonts w:ascii="宋体" w:hAnsi="宋体"/>
          <w:sz w:val="24"/>
          <w:highlight w:val="none"/>
        </w:rPr>
      </w:pPr>
      <w:r>
        <w:rPr>
          <w:rFonts w:hint="eastAsia" w:ascii="宋体" w:hAnsi="宋体"/>
          <w:sz w:val="24"/>
          <w:highlight w:val="none"/>
        </w:rPr>
        <w:t>货期：按照供应商报价响应所承诺的货期</w:t>
      </w:r>
      <w:r>
        <w:rPr>
          <w:rFonts w:hint="eastAsia"/>
          <w:sz w:val="24"/>
          <w:highlight w:val="none"/>
        </w:rPr>
        <w:t>将</w:t>
      </w:r>
      <w:r>
        <w:rPr>
          <w:rFonts w:hint="eastAsia" w:ascii="宋体" w:hAnsi="宋体"/>
          <w:sz w:val="24"/>
          <w:highlight w:val="none"/>
        </w:rPr>
        <w:t>货物安全、完整、按时</w:t>
      </w:r>
      <w:r>
        <w:rPr>
          <w:rFonts w:hint="eastAsia"/>
          <w:sz w:val="24"/>
          <w:highlight w:val="none"/>
        </w:rPr>
        <w:t>送货到</w:t>
      </w:r>
      <w:r>
        <w:rPr>
          <w:rFonts w:hint="eastAsia" w:ascii="宋体" w:hAnsi="宋体"/>
          <w:sz w:val="24"/>
          <w:highlight w:val="none"/>
        </w:rPr>
        <w:t>采购人指定地点</w:t>
      </w:r>
      <w:r>
        <w:rPr>
          <w:rFonts w:ascii="宋体" w:hAnsi="宋体"/>
          <w:sz w:val="24"/>
          <w:highlight w:val="none"/>
        </w:rPr>
        <w:t>。</w:t>
      </w:r>
    </w:p>
    <w:p>
      <w:pPr>
        <w:pStyle w:val="13"/>
        <w:numPr>
          <w:ilvl w:val="0"/>
          <w:numId w:val="4"/>
        </w:numPr>
        <w:spacing w:line="360" w:lineRule="auto"/>
        <w:ind w:firstLine="480"/>
        <w:rPr>
          <w:rFonts w:ascii="宋体" w:hAnsi="宋体"/>
          <w:sz w:val="24"/>
          <w:highlight w:val="none"/>
        </w:rPr>
      </w:pPr>
      <w:r>
        <w:rPr>
          <w:rFonts w:hint="eastAsia" w:ascii="宋体" w:hAnsi="宋体"/>
          <w:sz w:val="24"/>
          <w:highlight w:val="none"/>
        </w:rPr>
        <w:t>送货地点：</w:t>
      </w:r>
      <w:r>
        <w:rPr>
          <w:rFonts w:hint="eastAsia" w:ascii="宋体" w:hAnsi="宋体"/>
          <w:sz w:val="24"/>
          <w:highlight w:val="none"/>
          <w:lang w:val="en-US" w:eastAsia="zh-CN"/>
        </w:rPr>
        <w:t>广州大学城</w:t>
      </w:r>
      <w:r>
        <w:rPr>
          <w:rFonts w:hint="eastAsia" w:ascii="宋体" w:hAnsi="宋体" w:eastAsiaTheme="minorEastAsia"/>
          <w:sz w:val="24"/>
          <w:szCs w:val="24"/>
          <w:highlight w:val="none"/>
        </w:rPr>
        <w:t>科学中心地下室热交换站</w:t>
      </w:r>
    </w:p>
    <w:p>
      <w:pPr>
        <w:spacing w:line="360" w:lineRule="auto"/>
        <w:ind w:firstLine="480" w:firstLineChars="200"/>
        <w:rPr>
          <w:rFonts w:ascii="宋体" w:hAnsi="宋体"/>
          <w:sz w:val="24"/>
          <w:highlight w:val="none"/>
        </w:rPr>
      </w:pPr>
      <w:r>
        <w:rPr>
          <w:rFonts w:hint="eastAsia" w:ascii="宋体" w:hAnsi="宋体"/>
          <w:sz w:val="24"/>
          <w:highlight w:val="none"/>
        </w:rPr>
        <w:t>四、报价响应要求</w:t>
      </w:r>
    </w:p>
    <w:p>
      <w:pPr>
        <w:pStyle w:val="13"/>
        <w:numPr>
          <w:ilvl w:val="0"/>
          <w:numId w:val="5"/>
        </w:numPr>
        <w:spacing w:line="360" w:lineRule="auto"/>
        <w:ind w:firstLine="480"/>
        <w:rPr>
          <w:rFonts w:ascii="宋体" w:hAnsi="宋体"/>
          <w:sz w:val="24"/>
          <w:highlight w:val="none"/>
        </w:rPr>
      </w:pPr>
      <w:r>
        <w:rPr>
          <w:rFonts w:hint="eastAsia" w:ascii="宋体" w:hAnsi="宋体"/>
          <w:sz w:val="24"/>
          <w:highlight w:val="none"/>
        </w:rPr>
        <w:t>本项目采购需求（附件</w:t>
      </w:r>
      <w:r>
        <w:rPr>
          <w:rFonts w:ascii="宋体" w:hAnsi="宋体"/>
          <w:sz w:val="24"/>
          <w:highlight w:val="none"/>
        </w:rPr>
        <w:t>1）中的所有指标均为最低参考标准，其中涉及要求出具资质、质保、售后服务、供货确认等相关文书的</w:t>
      </w:r>
      <w:r>
        <w:rPr>
          <w:rFonts w:hint="eastAsia" w:ascii="宋体" w:hAnsi="宋体"/>
          <w:sz w:val="24"/>
          <w:highlight w:val="none"/>
        </w:rPr>
        <w:t>，默认约定供货时提供（采购需求另有描述的，从其要求）报价文件中的总价金额与分项报价汇总金额或者单价汇总金额不一致的，按就低不就高原则修正金额。</w:t>
      </w:r>
    </w:p>
    <w:p>
      <w:pPr>
        <w:pStyle w:val="13"/>
        <w:numPr>
          <w:ilvl w:val="0"/>
          <w:numId w:val="5"/>
        </w:numPr>
        <w:spacing w:line="360" w:lineRule="auto"/>
        <w:ind w:firstLine="480"/>
        <w:rPr>
          <w:rFonts w:ascii="宋体" w:hAnsi="宋体"/>
          <w:sz w:val="24"/>
          <w:highlight w:val="none"/>
        </w:rPr>
      </w:pPr>
      <w:r>
        <w:rPr>
          <w:rFonts w:hint="eastAsia" w:ascii="宋体" w:hAnsi="宋体"/>
          <w:sz w:val="24"/>
          <w:highlight w:val="none"/>
        </w:rPr>
        <w:t>投标时，供应商必须对项目的产品参数、规格型号逐一作实质性响应，并详细列出响应的具体内容（必须以本项目竞选文件规定的《实质性要求响应表》作为附件，加盖公章）</w:t>
      </w:r>
    </w:p>
    <w:p>
      <w:pPr>
        <w:pStyle w:val="13"/>
        <w:spacing w:line="360" w:lineRule="auto"/>
        <w:ind w:firstLine="480"/>
        <w:rPr>
          <w:rFonts w:ascii="宋体" w:hAnsi="宋体"/>
          <w:sz w:val="24"/>
          <w:highlight w:val="none"/>
        </w:rPr>
      </w:pPr>
      <w:r>
        <w:rPr>
          <w:rFonts w:hint="eastAsia" w:ascii="宋体" w:hAnsi="宋体"/>
          <w:sz w:val="24"/>
          <w:highlight w:val="none"/>
        </w:rPr>
        <w:t>五、投标文件</w:t>
      </w:r>
    </w:p>
    <w:p>
      <w:pPr>
        <w:pStyle w:val="13"/>
        <w:spacing w:line="360" w:lineRule="auto"/>
        <w:ind w:firstLine="480"/>
        <w:rPr>
          <w:rFonts w:ascii="宋体" w:hAnsi="宋体"/>
          <w:sz w:val="24"/>
          <w:highlight w:val="none"/>
        </w:rPr>
      </w:pPr>
      <w:r>
        <w:rPr>
          <w:rFonts w:hint="eastAsia" w:ascii="宋体" w:hAnsi="宋体"/>
          <w:sz w:val="24"/>
          <w:highlight w:val="none"/>
        </w:rPr>
        <w:t>根据采购人要求的投标文件格式编制，进行密封报价（盖章）。投标文件应包含以下内容：</w:t>
      </w:r>
    </w:p>
    <w:p>
      <w:pPr>
        <w:pStyle w:val="13"/>
        <w:numPr>
          <w:ilvl w:val="0"/>
          <w:numId w:val="6"/>
        </w:numPr>
        <w:spacing w:line="360" w:lineRule="auto"/>
        <w:ind w:firstLine="480"/>
        <w:rPr>
          <w:rFonts w:ascii="宋体" w:hAnsi="宋体"/>
          <w:sz w:val="24"/>
          <w:highlight w:val="none"/>
        </w:rPr>
      </w:pPr>
      <w:r>
        <w:rPr>
          <w:rFonts w:hint="eastAsia" w:ascii="宋体" w:hAnsi="宋体"/>
          <w:sz w:val="24"/>
          <w:highlight w:val="none"/>
        </w:rPr>
        <w:t>价格文件（格式见附件2，加盖公章）</w:t>
      </w:r>
    </w:p>
    <w:p>
      <w:pPr>
        <w:numPr>
          <w:ilvl w:val="0"/>
          <w:numId w:val="7"/>
        </w:numPr>
        <w:spacing w:line="360" w:lineRule="auto"/>
        <w:ind w:firstLine="480" w:firstLineChars="200"/>
        <w:rPr>
          <w:rFonts w:ascii="宋体" w:hAnsi="宋体"/>
          <w:sz w:val="24"/>
          <w:highlight w:val="none"/>
        </w:rPr>
      </w:pPr>
      <w:r>
        <w:rPr>
          <w:rFonts w:hint="eastAsia" w:ascii="宋体" w:hAnsi="宋体"/>
          <w:sz w:val="24"/>
          <w:highlight w:val="none"/>
        </w:rPr>
        <w:t>报价明细表</w:t>
      </w:r>
    </w:p>
    <w:p>
      <w:pPr>
        <w:pStyle w:val="13"/>
        <w:numPr>
          <w:ilvl w:val="0"/>
          <w:numId w:val="6"/>
        </w:numPr>
        <w:spacing w:line="360" w:lineRule="auto"/>
        <w:ind w:firstLine="480"/>
        <w:rPr>
          <w:rFonts w:ascii="宋体" w:hAnsi="宋体"/>
          <w:sz w:val="24"/>
          <w:highlight w:val="none"/>
        </w:rPr>
      </w:pPr>
      <w:r>
        <w:rPr>
          <w:rFonts w:hint="eastAsia" w:ascii="宋体" w:hAnsi="宋体"/>
          <w:sz w:val="24"/>
          <w:highlight w:val="none"/>
        </w:rPr>
        <w:t>商务部分</w:t>
      </w:r>
    </w:p>
    <w:p>
      <w:pPr>
        <w:pStyle w:val="13"/>
        <w:numPr>
          <w:ilvl w:val="0"/>
          <w:numId w:val="8"/>
        </w:numPr>
        <w:spacing w:line="360" w:lineRule="auto"/>
        <w:ind w:left="0" w:firstLine="480"/>
        <w:rPr>
          <w:rFonts w:ascii="宋体" w:hAnsi="宋体"/>
          <w:sz w:val="24"/>
          <w:highlight w:val="none"/>
        </w:rPr>
      </w:pPr>
      <w:r>
        <w:rPr>
          <w:rFonts w:hint="eastAsia" w:ascii="宋体" w:hAnsi="宋体"/>
          <w:sz w:val="24"/>
          <w:highlight w:val="none"/>
        </w:rPr>
        <w:t>有效的工商营业执照、企业法人组织机构代码证书、税务登记证书（或三证合一），提供复印件，并加盖公章。</w:t>
      </w:r>
    </w:p>
    <w:p>
      <w:pPr>
        <w:pStyle w:val="13"/>
        <w:numPr>
          <w:ilvl w:val="0"/>
          <w:numId w:val="8"/>
        </w:numPr>
        <w:spacing w:line="360" w:lineRule="auto"/>
        <w:ind w:left="0" w:firstLine="480"/>
        <w:rPr>
          <w:rFonts w:ascii="宋体" w:hAnsi="宋体"/>
          <w:sz w:val="24"/>
          <w:highlight w:val="none"/>
        </w:rPr>
      </w:pPr>
      <w:r>
        <w:rPr>
          <w:rFonts w:hint="eastAsia" w:ascii="宋体" w:hAnsi="宋体"/>
          <w:sz w:val="24"/>
          <w:highlight w:val="none"/>
        </w:rPr>
        <w:t>供应商调查表（格式见附件</w:t>
      </w:r>
      <w:r>
        <w:rPr>
          <w:rFonts w:hint="eastAsia" w:ascii="宋体" w:hAnsi="宋体"/>
          <w:sz w:val="24"/>
          <w:highlight w:val="none"/>
          <w:lang w:val="en-US" w:eastAsia="zh-CN"/>
        </w:rPr>
        <w:t>3</w:t>
      </w:r>
      <w:r>
        <w:rPr>
          <w:rFonts w:hint="eastAsia" w:ascii="宋体" w:hAnsi="宋体"/>
          <w:sz w:val="24"/>
          <w:highlight w:val="none"/>
        </w:rPr>
        <w:t>）。</w:t>
      </w:r>
    </w:p>
    <w:p>
      <w:pPr>
        <w:pStyle w:val="13"/>
        <w:numPr>
          <w:ilvl w:val="0"/>
          <w:numId w:val="8"/>
        </w:numPr>
        <w:spacing w:line="360" w:lineRule="auto"/>
        <w:ind w:left="0" w:firstLine="480"/>
        <w:rPr>
          <w:rFonts w:ascii="宋体" w:hAnsi="宋体"/>
          <w:sz w:val="24"/>
          <w:highlight w:val="none"/>
        </w:rPr>
      </w:pPr>
      <w:r>
        <w:rPr>
          <w:rFonts w:hint="eastAsia" w:ascii="宋体" w:hAnsi="宋体"/>
          <w:sz w:val="24"/>
          <w:highlight w:val="none"/>
        </w:rPr>
        <w:t>实质性要求响应表（格式见附件</w:t>
      </w:r>
      <w:r>
        <w:rPr>
          <w:rFonts w:hint="eastAsia" w:ascii="宋体" w:hAnsi="宋体"/>
          <w:sz w:val="24"/>
          <w:highlight w:val="none"/>
          <w:lang w:val="en-US" w:eastAsia="zh-CN"/>
        </w:rPr>
        <w:t>4</w:t>
      </w:r>
      <w:r>
        <w:rPr>
          <w:rFonts w:hint="eastAsia" w:ascii="宋体" w:hAnsi="宋体"/>
          <w:sz w:val="24"/>
          <w:highlight w:val="none"/>
        </w:rPr>
        <w:t>）。</w:t>
      </w:r>
    </w:p>
    <w:p>
      <w:pPr>
        <w:pStyle w:val="13"/>
        <w:numPr>
          <w:ilvl w:val="0"/>
          <w:numId w:val="8"/>
        </w:numPr>
        <w:spacing w:line="360" w:lineRule="auto"/>
        <w:ind w:left="0" w:firstLine="480"/>
        <w:rPr>
          <w:rFonts w:ascii="宋体" w:hAnsi="宋体"/>
          <w:sz w:val="24"/>
          <w:highlight w:val="none"/>
        </w:rPr>
      </w:pPr>
      <w:r>
        <w:rPr>
          <w:rFonts w:hint="eastAsia" w:ascii="宋体" w:hAnsi="宋体"/>
          <w:sz w:val="24"/>
          <w:highlight w:val="none"/>
        </w:rPr>
        <w:t>供应商认为有必要的其他资质（包括相关产品授权资质证书）等材料复印件。</w:t>
      </w:r>
    </w:p>
    <w:p>
      <w:pPr>
        <w:pStyle w:val="13"/>
        <w:numPr>
          <w:ilvl w:val="0"/>
          <w:numId w:val="6"/>
        </w:numPr>
        <w:spacing w:line="360" w:lineRule="auto"/>
        <w:ind w:firstLine="480"/>
        <w:rPr>
          <w:rFonts w:ascii="宋体" w:hAnsi="宋体"/>
          <w:sz w:val="24"/>
          <w:highlight w:val="none"/>
        </w:rPr>
      </w:pPr>
      <w:r>
        <w:rPr>
          <w:rFonts w:hint="eastAsia" w:ascii="宋体" w:hAnsi="宋体"/>
          <w:sz w:val="24"/>
          <w:highlight w:val="none"/>
        </w:rPr>
        <w:t>技术部分（格式自定，加盖公章）</w:t>
      </w:r>
    </w:p>
    <w:p>
      <w:pPr>
        <w:pStyle w:val="13"/>
        <w:numPr>
          <w:ilvl w:val="255"/>
          <w:numId w:val="0"/>
        </w:numPr>
        <w:spacing w:line="360" w:lineRule="auto"/>
        <w:ind w:left="0" w:leftChars="0" w:firstLine="480" w:firstLineChars="200"/>
        <w:rPr>
          <w:rFonts w:hint="eastAsia" w:ascii="宋体" w:hAnsi="宋体" w:eastAsiaTheme="minorEastAsia"/>
          <w:sz w:val="24"/>
          <w:highlight w:val="none"/>
          <w:lang w:val="en-US" w:eastAsia="zh-CN"/>
        </w:rPr>
      </w:pPr>
      <w:r>
        <w:rPr>
          <w:rFonts w:hint="eastAsia" w:ascii="宋体" w:hAnsi="宋体"/>
          <w:b w:val="0"/>
          <w:bCs w:val="0"/>
          <w:sz w:val="24"/>
          <w:szCs w:val="24"/>
          <w:highlight w:val="none"/>
          <w:lang w:val="en-US" w:eastAsia="zh-CN"/>
        </w:rPr>
        <w:t>1、</w:t>
      </w:r>
      <w:r>
        <w:rPr>
          <w:rFonts w:hint="eastAsia" w:ascii="宋体" w:hAnsi="宋体" w:eastAsiaTheme="minorEastAsia"/>
          <w:b w:val="0"/>
          <w:bCs w:val="0"/>
          <w:sz w:val="24"/>
          <w:szCs w:val="24"/>
          <w:highlight w:val="none"/>
        </w:rPr>
        <w:t>设备装配图、外形图，列明安装滤网的规格、数量及设备元件清单、设备制造材料清单、易损件清单（滤网2支，电气元件若干）。</w:t>
      </w:r>
    </w:p>
    <w:p>
      <w:pPr>
        <w:pStyle w:val="13"/>
        <w:numPr>
          <w:ilvl w:val="255"/>
          <w:numId w:val="0"/>
        </w:numPr>
        <w:spacing w:line="360" w:lineRule="auto"/>
        <w:ind w:left="420" w:leftChars="200"/>
        <w:rPr>
          <w:rFonts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服务方案</w:t>
      </w:r>
      <w:r>
        <w:rPr>
          <w:rFonts w:hint="eastAsia" w:ascii="宋体" w:hAnsi="宋体"/>
          <w:sz w:val="24"/>
          <w:highlight w:val="none"/>
          <w:lang w:eastAsia="zh-CN"/>
        </w:rPr>
        <w:t>（</w:t>
      </w:r>
      <w:r>
        <w:rPr>
          <w:rFonts w:hint="eastAsia" w:ascii="宋体" w:hAnsi="宋体"/>
          <w:sz w:val="24"/>
          <w:highlight w:val="none"/>
          <w:lang w:val="en-US" w:eastAsia="zh-CN"/>
        </w:rPr>
        <w:t>如有</w:t>
      </w:r>
      <w:r>
        <w:rPr>
          <w:rFonts w:hint="eastAsia" w:ascii="宋体" w:hAnsi="宋体"/>
          <w:sz w:val="24"/>
          <w:highlight w:val="none"/>
          <w:lang w:eastAsia="zh-CN"/>
        </w:rPr>
        <w:t>）：</w:t>
      </w:r>
      <w:r>
        <w:rPr>
          <w:rFonts w:hint="eastAsia" w:ascii="宋体" w:hAnsi="宋体"/>
          <w:sz w:val="24"/>
          <w:highlight w:val="none"/>
        </w:rPr>
        <w:t>供应商应针对本项目制定切实可行的服务方案，包括但不限于：</w:t>
      </w:r>
    </w:p>
    <w:p>
      <w:pPr>
        <w:pStyle w:val="13"/>
        <w:numPr>
          <w:ilvl w:val="255"/>
          <w:numId w:val="0"/>
        </w:numPr>
        <w:spacing w:line="360" w:lineRule="auto"/>
        <w:ind w:left="0" w:leftChars="0" w:firstLine="480" w:firstLineChars="2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1</w:t>
      </w:r>
      <w:r>
        <w:rPr>
          <w:rFonts w:hint="eastAsia" w:ascii="宋体" w:hAnsi="宋体"/>
          <w:sz w:val="24"/>
          <w:highlight w:val="none"/>
          <w:lang w:eastAsia="zh-CN"/>
        </w:rPr>
        <w:t>）</w:t>
      </w:r>
      <w:r>
        <w:rPr>
          <w:rFonts w:hint="eastAsia" w:ascii="宋体" w:hAnsi="宋体"/>
          <w:sz w:val="24"/>
          <w:highlight w:val="none"/>
        </w:rPr>
        <w:t>总体实施方案；</w:t>
      </w:r>
    </w:p>
    <w:p>
      <w:pPr>
        <w:pStyle w:val="13"/>
        <w:numPr>
          <w:ilvl w:val="255"/>
          <w:numId w:val="0"/>
        </w:numPr>
        <w:spacing w:line="360" w:lineRule="auto"/>
        <w:ind w:left="420" w:leftChars="2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2</w:t>
      </w:r>
      <w:r>
        <w:rPr>
          <w:rFonts w:hint="eastAsia" w:ascii="宋体" w:hAnsi="宋体"/>
          <w:sz w:val="24"/>
          <w:highlight w:val="none"/>
          <w:lang w:eastAsia="zh-CN"/>
        </w:rPr>
        <w:t>）</w:t>
      </w:r>
      <w:r>
        <w:rPr>
          <w:rFonts w:hint="eastAsia" w:ascii="宋体" w:hAnsi="宋体"/>
          <w:sz w:val="24"/>
          <w:highlight w:val="none"/>
        </w:rPr>
        <w:t>实施进度计划和工期承诺书；</w:t>
      </w:r>
    </w:p>
    <w:p>
      <w:pPr>
        <w:pStyle w:val="13"/>
        <w:numPr>
          <w:ilvl w:val="255"/>
          <w:numId w:val="0"/>
        </w:numPr>
        <w:spacing w:line="360" w:lineRule="auto"/>
        <w:ind w:left="420" w:leftChars="2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3</w:t>
      </w:r>
      <w:r>
        <w:rPr>
          <w:rFonts w:hint="eastAsia" w:ascii="宋体" w:hAnsi="宋体"/>
          <w:sz w:val="24"/>
          <w:highlight w:val="none"/>
          <w:lang w:eastAsia="zh-CN"/>
        </w:rPr>
        <w:t>）</w:t>
      </w:r>
      <w:r>
        <w:rPr>
          <w:rFonts w:hint="eastAsia" w:ascii="宋体" w:hAnsi="宋体"/>
          <w:sz w:val="24"/>
          <w:highlight w:val="none"/>
        </w:rPr>
        <w:t>确保实施进度的技术和组织措施；</w:t>
      </w:r>
    </w:p>
    <w:p>
      <w:pPr>
        <w:pStyle w:val="13"/>
        <w:numPr>
          <w:ilvl w:val="255"/>
          <w:numId w:val="0"/>
        </w:numPr>
        <w:spacing w:line="360" w:lineRule="auto"/>
        <w:ind w:left="420" w:leftChars="2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4</w:t>
      </w:r>
      <w:r>
        <w:rPr>
          <w:rFonts w:hint="eastAsia" w:ascii="宋体" w:hAnsi="宋体"/>
          <w:sz w:val="24"/>
          <w:highlight w:val="none"/>
          <w:lang w:eastAsia="zh-CN"/>
        </w:rPr>
        <w:t>）</w:t>
      </w:r>
      <w:r>
        <w:rPr>
          <w:rFonts w:hint="eastAsia" w:ascii="宋体" w:hAnsi="宋体"/>
          <w:sz w:val="24"/>
          <w:highlight w:val="none"/>
        </w:rPr>
        <w:t>确保安全文明施工的技术和组织措施；</w:t>
      </w:r>
    </w:p>
    <w:p>
      <w:pPr>
        <w:pStyle w:val="13"/>
        <w:numPr>
          <w:ilvl w:val="255"/>
          <w:numId w:val="0"/>
        </w:numPr>
        <w:spacing w:line="360" w:lineRule="auto"/>
        <w:ind w:left="420" w:leftChars="2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5</w:t>
      </w:r>
      <w:r>
        <w:rPr>
          <w:rFonts w:hint="eastAsia" w:ascii="宋体" w:hAnsi="宋体"/>
          <w:sz w:val="24"/>
          <w:highlight w:val="none"/>
          <w:lang w:eastAsia="zh-CN"/>
        </w:rPr>
        <w:t>）</w:t>
      </w:r>
      <w:r>
        <w:rPr>
          <w:rFonts w:hint="eastAsia" w:ascii="宋体" w:hAnsi="宋体"/>
          <w:sz w:val="24"/>
          <w:highlight w:val="none"/>
        </w:rPr>
        <w:t>投入的人员配置情况；</w:t>
      </w:r>
    </w:p>
    <w:p>
      <w:pPr>
        <w:pStyle w:val="13"/>
        <w:numPr>
          <w:ilvl w:val="255"/>
          <w:numId w:val="0"/>
        </w:numPr>
        <w:spacing w:line="360" w:lineRule="auto"/>
        <w:ind w:left="420" w:leftChars="2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6</w:t>
      </w:r>
      <w:r>
        <w:rPr>
          <w:rFonts w:hint="eastAsia" w:ascii="宋体" w:hAnsi="宋体"/>
          <w:sz w:val="24"/>
          <w:highlight w:val="none"/>
          <w:lang w:eastAsia="zh-CN"/>
        </w:rPr>
        <w:t>）</w:t>
      </w:r>
      <w:r>
        <w:rPr>
          <w:rFonts w:hint="eastAsia" w:ascii="宋体" w:hAnsi="宋体"/>
          <w:sz w:val="24"/>
          <w:highlight w:val="none"/>
        </w:rPr>
        <w:t>供应商认为其它需要说明的文字。</w:t>
      </w:r>
    </w:p>
    <w:p>
      <w:pPr>
        <w:spacing w:line="360" w:lineRule="auto"/>
        <w:ind w:firstLine="480" w:firstLineChars="200"/>
        <w:rPr>
          <w:rFonts w:ascii="宋体" w:hAnsi="宋体"/>
          <w:sz w:val="24"/>
          <w:highlight w:val="none"/>
        </w:rPr>
      </w:pPr>
      <w:r>
        <w:rPr>
          <w:rFonts w:hint="eastAsia" w:ascii="宋体" w:hAnsi="宋体"/>
          <w:sz w:val="24"/>
          <w:highlight w:val="none"/>
        </w:rPr>
        <w:t>六、评标方法：</w:t>
      </w:r>
    </w:p>
    <w:p>
      <w:pPr>
        <w:spacing w:line="360" w:lineRule="auto"/>
        <w:ind w:firstLine="480" w:firstLineChars="200"/>
        <w:rPr>
          <w:rFonts w:ascii="宋体" w:hAnsi="宋体"/>
          <w:sz w:val="24"/>
          <w:highlight w:val="none"/>
        </w:rPr>
      </w:pPr>
      <w:r>
        <w:rPr>
          <w:rFonts w:hint="eastAsia" w:ascii="宋体" w:hAnsi="宋体"/>
          <w:sz w:val="24"/>
          <w:highlight w:val="none"/>
        </w:rPr>
        <w:t>本项目采用综合评</w:t>
      </w:r>
      <w:r>
        <w:rPr>
          <w:rFonts w:hint="eastAsia" w:ascii="宋体" w:hAnsi="宋体"/>
          <w:sz w:val="24"/>
          <w:highlight w:val="none"/>
          <w:lang w:val="en-US" w:eastAsia="zh-CN"/>
        </w:rPr>
        <w:t>标</w:t>
      </w:r>
      <w:r>
        <w:rPr>
          <w:rFonts w:hint="eastAsia" w:ascii="宋体" w:hAnsi="宋体"/>
          <w:sz w:val="24"/>
          <w:highlight w:val="none"/>
        </w:rPr>
        <w:t>法，对投标人进行价格和信用评审，其中价格评审部分占90%，供应商诚信部分占10%，投标人评审得分=价格得分+诚信分。以经评审的最低投标报价作为评标基准价，当投标价等于评标基准价时价格分得满分，投标价每高于评标基准价1%扣1分，扣至0分为止。供应商诚信分以评标当天采购人供应商管理系统查到的分值直接计取（供应商诚信分原始分为0分），投标人不在供应商管理系统内的，诚信分按0分计算。供应商诚信分在采购人官方网站上定期公布。同时通过</w:t>
      </w:r>
      <w:r>
        <w:rPr>
          <w:rFonts w:hint="eastAsia" w:ascii="宋体" w:hAnsi="宋体"/>
          <w:sz w:val="24"/>
          <w:highlight w:val="none"/>
          <w:lang w:val="en-US" w:eastAsia="zh-CN"/>
        </w:rPr>
        <w:t>供应商资格性何有效性审查表</w:t>
      </w:r>
      <w:r>
        <w:rPr>
          <w:rFonts w:hint="eastAsia" w:ascii="宋体" w:hAnsi="宋体"/>
          <w:sz w:val="24"/>
          <w:highlight w:val="none"/>
        </w:rPr>
        <w:t>（见附件5）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spacing w:line="360" w:lineRule="auto"/>
        <w:ind w:firstLine="482" w:firstLineChars="200"/>
        <w:rPr>
          <w:rFonts w:ascii="宋体" w:hAnsi="宋体"/>
          <w:b/>
          <w:sz w:val="24"/>
          <w:highlight w:val="none"/>
        </w:rPr>
      </w:pPr>
      <w:r>
        <w:rPr>
          <w:rFonts w:hint="eastAsia" w:ascii="宋体" w:hAnsi="宋体"/>
          <w:b/>
          <w:sz w:val="24"/>
          <w:highlight w:val="none"/>
        </w:rPr>
        <w:t>七、递交投标文件</w:t>
      </w:r>
    </w:p>
    <w:p>
      <w:pPr>
        <w:spacing w:line="360" w:lineRule="auto"/>
        <w:ind w:firstLine="480" w:firstLineChars="200"/>
        <w:rPr>
          <w:rFonts w:ascii="宋体" w:hAnsi="宋体"/>
          <w:sz w:val="24"/>
          <w:highlight w:val="none"/>
        </w:rPr>
      </w:pPr>
      <w:r>
        <w:rPr>
          <w:rFonts w:hint="eastAsia" w:ascii="宋体" w:hAnsi="宋体"/>
          <w:sz w:val="24"/>
          <w:highlight w:val="none"/>
        </w:rPr>
        <w:t>（一）投标文件递交截止时间：202</w:t>
      </w:r>
      <w:r>
        <w:rPr>
          <w:rFonts w:hint="eastAsia" w:ascii="宋体" w:hAnsi="宋体"/>
          <w:sz w:val="24"/>
          <w:highlight w:val="none"/>
          <w:lang w:val="en-US" w:eastAsia="zh-CN"/>
        </w:rPr>
        <w:t>2</w:t>
      </w:r>
      <w:r>
        <w:rPr>
          <w:rFonts w:ascii="宋体" w:hAnsi="宋体"/>
          <w:sz w:val="24"/>
          <w:highlight w:val="none"/>
        </w:rPr>
        <w:t xml:space="preserve"> </w:t>
      </w:r>
      <w:r>
        <w:rPr>
          <w:rFonts w:hint="eastAsia" w:ascii="宋体" w:hAnsi="宋体"/>
          <w:sz w:val="24"/>
          <w:highlight w:val="none"/>
        </w:rPr>
        <w:t>年</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26</w:t>
      </w:r>
      <w:r>
        <w:rPr>
          <w:rFonts w:hint="eastAsia" w:ascii="宋体" w:hAnsi="宋体"/>
          <w:sz w:val="24"/>
          <w:highlight w:val="none"/>
        </w:rPr>
        <w:t>日北京时间</w:t>
      </w:r>
      <w:r>
        <w:rPr>
          <w:rFonts w:hint="eastAsia" w:ascii="宋体" w:hAnsi="宋体"/>
          <w:sz w:val="24"/>
          <w:highlight w:val="none"/>
          <w:lang w:val="en-US" w:eastAsia="zh-CN"/>
        </w:rPr>
        <w:t>15</w:t>
      </w:r>
      <w:r>
        <w:rPr>
          <w:rFonts w:hint="eastAsia" w:ascii="宋体" w:hAnsi="宋体"/>
          <w:sz w:val="24"/>
          <w:highlight w:val="none"/>
        </w:rPr>
        <w:t>时0分前。以密封的形式提供投标文件到：广州市番禺区大学城明志街1号信息枢纽楼9楼前台。</w:t>
      </w:r>
      <w:r>
        <w:rPr>
          <w:rFonts w:hint="eastAsia" w:ascii="宋体" w:hAnsi="宋体" w:eastAsia="宋体" w:cs="宋体"/>
          <w:sz w:val="24"/>
          <w:highlight w:val="none"/>
        </w:rPr>
        <w:t>投标文件信封或外包装上应当注明采购项目名称、投标供应商名称和“在（竞选文件中规定的开标日期）之前不得启封”的字样，封口处应加盖投标供应商印章。</w:t>
      </w:r>
      <w:r>
        <w:rPr>
          <w:rFonts w:hint="eastAsia" w:ascii="宋体" w:hAnsi="宋体"/>
          <w:sz w:val="24"/>
          <w:highlight w:val="none"/>
        </w:rPr>
        <w:t>采购人接受现场递交或邮寄两种方式。</w:t>
      </w:r>
      <w:r>
        <w:rPr>
          <w:rFonts w:hint="eastAsia" w:ascii="宋体" w:hAnsi="宋体" w:eastAsia="宋体" w:cs="宋体"/>
          <w:sz w:val="24"/>
          <w:highlight w:val="none"/>
        </w:rPr>
        <w:t>采用邮寄方式的，应在邮寄外包装袋上注明“</w:t>
      </w:r>
      <w:r>
        <w:rPr>
          <w:rFonts w:hint="eastAsia" w:ascii="宋体" w:hAnsi="宋体"/>
          <w:sz w:val="24"/>
          <w:highlight w:val="none"/>
        </w:rPr>
        <w:t>科学中心冷冻水质改善配套高精度过滤器采购</w:t>
      </w:r>
      <w:r>
        <w:rPr>
          <w:rFonts w:hint="eastAsia" w:ascii="宋体" w:hAnsi="宋体" w:eastAsia="宋体" w:cs="宋体"/>
          <w:sz w:val="24"/>
          <w:highlight w:val="none"/>
        </w:rPr>
        <w:t>”字样。投标供应商递交投标文件后，请联系采购人确认。</w:t>
      </w:r>
    </w:p>
    <w:p>
      <w:pPr>
        <w:spacing w:line="360" w:lineRule="auto"/>
        <w:ind w:firstLine="480" w:firstLineChars="200"/>
        <w:rPr>
          <w:rFonts w:ascii="宋体" w:hAnsi="宋体"/>
          <w:sz w:val="24"/>
          <w:highlight w:val="none"/>
        </w:rPr>
      </w:pPr>
      <w:r>
        <w:rPr>
          <w:rFonts w:hint="eastAsia" w:ascii="宋体" w:hAnsi="宋体"/>
          <w:sz w:val="24"/>
          <w:highlight w:val="none"/>
        </w:rPr>
        <w:t>（二）投标文件逾期递交、未送达指定地点的、或未按要求密封的，采购人有权不予受理。</w:t>
      </w:r>
    </w:p>
    <w:p>
      <w:pPr>
        <w:spacing w:line="360" w:lineRule="auto"/>
        <w:ind w:firstLine="480" w:firstLineChars="200"/>
        <w:rPr>
          <w:rFonts w:ascii="宋体" w:hAnsi="宋体"/>
          <w:sz w:val="24"/>
          <w:highlight w:val="none"/>
        </w:rPr>
      </w:pPr>
      <w:r>
        <w:rPr>
          <w:rFonts w:hint="eastAsia" w:ascii="宋体" w:hAnsi="宋体"/>
          <w:sz w:val="24"/>
          <w:highlight w:val="none"/>
        </w:rPr>
        <w:t>八、采购人地址和联系方式</w:t>
      </w:r>
    </w:p>
    <w:p>
      <w:pPr>
        <w:pStyle w:val="16"/>
        <w:numPr>
          <w:ilvl w:val="0"/>
          <w:numId w:val="9"/>
        </w:numPr>
        <w:spacing w:line="360" w:lineRule="auto"/>
        <w:ind w:firstLineChars="0"/>
        <w:rPr>
          <w:rFonts w:ascii="宋体" w:hAnsi="宋体"/>
          <w:sz w:val="24"/>
          <w:highlight w:val="none"/>
        </w:rPr>
      </w:pPr>
      <w:r>
        <w:rPr>
          <w:rFonts w:hint="eastAsia" w:ascii="宋体" w:hAnsi="宋体"/>
          <w:sz w:val="24"/>
          <w:highlight w:val="none"/>
        </w:rPr>
        <w:t>采购单位：广州大学城投资经营管理有限公司</w:t>
      </w:r>
    </w:p>
    <w:p>
      <w:pPr>
        <w:pStyle w:val="16"/>
        <w:numPr>
          <w:ilvl w:val="0"/>
          <w:numId w:val="9"/>
        </w:numPr>
        <w:spacing w:line="360" w:lineRule="auto"/>
        <w:ind w:firstLineChars="0"/>
        <w:rPr>
          <w:rFonts w:ascii="宋体" w:hAnsi="宋体"/>
          <w:sz w:val="24"/>
          <w:highlight w:val="none"/>
        </w:rPr>
      </w:pPr>
      <w:r>
        <w:rPr>
          <w:rFonts w:hint="eastAsia" w:ascii="宋体" w:hAnsi="宋体"/>
          <w:sz w:val="24"/>
          <w:highlight w:val="none"/>
        </w:rPr>
        <w:t>联系地址：广州市番禺区大学城明志街1号信息枢纽楼9楼</w:t>
      </w:r>
    </w:p>
    <w:p>
      <w:pPr>
        <w:pStyle w:val="13"/>
        <w:numPr>
          <w:ilvl w:val="0"/>
          <w:numId w:val="9"/>
        </w:numPr>
        <w:spacing w:line="360" w:lineRule="auto"/>
        <w:ind w:firstLineChars="0"/>
        <w:rPr>
          <w:rFonts w:ascii="宋体" w:hAnsi="宋体"/>
          <w:sz w:val="24"/>
          <w:highlight w:val="none"/>
        </w:rPr>
      </w:pPr>
      <w:r>
        <w:rPr>
          <w:rFonts w:hint="eastAsia" w:ascii="宋体" w:hAnsi="宋体"/>
          <w:sz w:val="24"/>
          <w:highlight w:val="none"/>
        </w:rPr>
        <w:t>联系人：詹映静 ，联系电话：020-393020</w:t>
      </w:r>
      <w:r>
        <w:rPr>
          <w:rFonts w:hint="eastAsia" w:ascii="宋体" w:hAnsi="宋体"/>
          <w:sz w:val="24"/>
          <w:highlight w:val="none"/>
          <w:lang w:val="en-US" w:eastAsia="zh-CN"/>
        </w:rPr>
        <w:t>78</w:t>
      </w:r>
      <w:r>
        <w:rPr>
          <w:rFonts w:hint="eastAsia" w:ascii="宋体" w:hAnsi="宋体"/>
          <w:sz w:val="24"/>
          <w:highlight w:val="none"/>
        </w:rPr>
        <w:t>，电子邮件：3280623452qq.com</w:t>
      </w:r>
    </w:p>
    <w:p>
      <w:pPr>
        <w:pStyle w:val="13"/>
        <w:spacing w:line="360" w:lineRule="auto"/>
        <w:ind w:firstLine="480"/>
        <w:rPr>
          <w:rFonts w:ascii="宋体" w:hAnsi="宋体"/>
          <w:sz w:val="24"/>
          <w:highlight w:val="none"/>
        </w:rPr>
      </w:pPr>
      <w:r>
        <w:rPr>
          <w:rFonts w:hint="eastAsia" w:ascii="宋体" w:hAnsi="宋体"/>
          <w:sz w:val="24"/>
          <w:highlight w:val="none"/>
        </w:rPr>
        <w:t>附件1.1、采购需求</w:t>
      </w:r>
    </w:p>
    <w:p>
      <w:pPr>
        <w:pStyle w:val="13"/>
        <w:spacing w:line="360" w:lineRule="auto"/>
        <w:ind w:firstLine="480"/>
        <w:rPr>
          <w:rFonts w:ascii="宋体" w:hAnsi="宋体"/>
          <w:sz w:val="24"/>
          <w:highlight w:val="none"/>
        </w:rPr>
      </w:pPr>
      <w:r>
        <w:rPr>
          <w:rFonts w:hint="eastAsia" w:ascii="宋体" w:hAnsi="宋体"/>
          <w:sz w:val="24"/>
          <w:highlight w:val="none"/>
        </w:rPr>
        <w:t>附件1.2、采购技术要求</w:t>
      </w:r>
    </w:p>
    <w:p>
      <w:pPr>
        <w:pStyle w:val="13"/>
        <w:spacing w:line="360" w:lineRule="auto"/>
        <w:ind w:firstLine="480"/>
        <w:rPr>
          <w:rFonts w:ascii="宋体" w:hAnsi="宋体"/>
          <w:sz w:val="24"/>
          <w:highlight w:val="none"/>
        </w:rPr>
      </w:pPr>
      <w:r>
        <w:rPr>
          <w:rFonts w:hint="eastAsia" w:ascii="宋体" w:hAnsi="宋体"/>
          <w:sz w:val="24"/>
          <w:highlight w:val="none"/>
        </w:rPr>
        <w:t>附件2、报价明细表</w:t>
      </w:r>
    </w:p>
    <w:p>
      <w:pPr>
        <w:pStyle w:val="13"/>
        <w:spacing w:line="360" w:lineRule="auto"/>
        <w:ind w:firstLine="480"/>
        <w:rPr>
          <w:rFonts w:ascii="宋体" w:hAnsi="宋体"/>
          <w:sz w:val="24"/>
          <w:highlight w:val="none"/>
        </w:rPr>
      </w:pPr>
      <w:r>
        <w:rPr>
          <w:rFonts w:hint="eastAsia" w:ascii="宋体" w:hAnsi="宋体"/>
          <w:sz w:val="24"/>
          <w:highlight w:val="none"/>
        </w:rPr>
        <w:t>附件3、供应商调查表</w:t>
      </w:r>
    </w:p>
    <w:p>
      <w:pPr>
        <w:pStyle w:val="13"/>
        <w:spacing w:line="360" w:lineRule="auto"/>
        <w:ind w:firstLine="480"/>
        <w:rPr>
          <w:rFonts w:ascii="宋体" w:hAnsi="宋体"/>
          <w:sz w:val="24"/>
          <w:highlight w:val="none"/>
        </w:rPr>
      </w:pPr>
      <w:r>
        <w:rPr>
          <w:rFonts w:hint="eastAsia" w:ascii="宋体" w:hAnsi="宋体"/>
          <w:sz w:val="24"/>
          <w:highlight w:val="none"/>
        </w:rPr>
        <w:t>附件4、实质性要求响应表</w:t>
      </w:r>
    </w:p>
    <w:p>
      <w:pPr>
        <w:pStyle w:val="13"/>
        <w:spacing w:line="360" w:lineRule="auto"/>
        <w:ind w:firstLine="480"/>
        <w:rPr>
          <w:rFonts w:ascii="宋体" w:hAnsi="宋体"/>
          <w:sz w:val="24"/>
          <w:highlight w:val="none"/>
        </w:rPr>
      </w:pPr>
      <w:r>
        <w:rPr>
          <w:rFonts w:hint="eastAsia" w:ascii="宋体" w:hAnsi="宋体"/>
          <w:sz w:val="24"/>
          <w:highlight w:val="none"/>
        </w:rPr>
        <w:t>附件5、资格性和有效性审查表</w:t>
      </w:r>
    </w:p>
    <w:p>
      <w:pPr>
        <w:pStyle w:val="13"/>
        <w:spacing w:line="360" w:lineRule="auto"/>
        <w:ind w:firstLine="480"/>
        <w:jc w:val="center"/>
        <w:rPr>
          <w:rFonts w:ascii="宋体" w:hAnsi="宋体"/>
          <w:sz w:val="24"/>
          <w:highlight w:val="none"/>
        </w:rPr>
      </w:pPr>
      <w:r>
        <w:rPr>
          <w:rFonts w:hint="eastAsia" w:ascii="宋体" w:hAnsi="宋体"/>
          <w:sz w:val="24"/>
          <w:highlight w:val="none"/>
        </w:rPr>
        <w:t xml:space="preserve">             采购人：广州大学城投资经营管理有限公司</w:t>
      </w:r>
    </w:p>
    <w:p>
      <w:pPr>
        <w:pStyle w:val="13"/>
        <w:spacing w:line="360" w:lineRule="auto"/>
        <w:ind w:right="960" w:firstLine="4260" w:firstLineChars="1775"/>
        <w:rPr>
          <w:rFonts w:ascii="宋体" w:hAnsi="宋体"/>
          <w:sz w:val="24"/>
          <w:highlight w:val="none"/>
        </w:rPr>
      </w:pPr>
      <w:r>
        <w:rPr>
          <w:rFonts w:hint="eastAsia" w:ascii="宋体" w:hAnsi="宋体"/>
          <w:sz w:val="24"/>
          <w:highlight w:val="none"/>
        </w:rPr>
        <w:t>202</w:t>
      </w:r>
      <w:r>
        <w:rPr>
          <w:rFonts w:hint="eastAsia" w:ascii="宋体" w:hAnsi="宋体"/>
          <w:sz w:val="24"/>
          <w:highlight w:val="none"/>
          <w:lang w:val="en-US" w:eastAsia="zh-CN"/>
        </w:rPr>
        <w:t>2</w:t>
      </w:r>
      <w:r>
        <w:rPr>
          <w:rFonts w:hint="eastAsia" w:ascii="宋体" w:hAnsi="宋体"/>
          <w:sz w:val="24"/>
          <w:highlight w:val="none"/>
        </w:rPr>
        <w:t>年</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16</w:t>
      </w:r>
      <w:r>
        <w:rPr>
          <w:rFonts w:hint="eastAsia" w:ascii="宋体" w:hAnsi="宋体"/>
          <w:sz w:val="24"/>
          <w:highlight w:val="none"/>
        </w:rPr>
        <w:t>日</w:t>
      </w:r>
    </w:p>
    <w:p>
      <w:pPr>
        <w:widowControl/>
        <w:jc w:val="left"/>
        <w:rPr>
          <w:highlight w:val="none"/>
        </w:rPr>
      </w:pPr>
    </w:p>
    <w:p>
      <w:pPr>
        <w:widowControl/>
        <w:jc w:val="left"/>
        <w:rPr>
          <w:rFonts w:ascii="宋体" w:hAnsi="宋体"/>
          <w:sz w:val="32"/>
          <w:highlight w:val="none"/>
        </w:rPr>
      </w:pPr>
      <w:r>
        <w:rPr>
          <w:rFonts w:ascii="宋体" w:hAnsi="宋体"/>
          <w:sz w:val="32"/>
          <w:highlight w:val="none"/>
        </w:rPr>
        <w:br w:type="page"/>
      </w:r>
      <w:r>
        <w:rPr>
          <w:rFonts w:hint="eastAsia" w:ascii="宋体" w:hAnsi="宋体"/>
          <w:sz w:val="32"/>
          <w:highlight w:val="none"/>
        </w:rPr>
        <w:t>附件1：</w:t>
      </w:r>
    </w:p>
    <w:p>
      <w:pPr>
        <w:widowControl/>
        <w:jc w:val="left"/>
        <w:rPr>
          <w:rFonts w:ascii="宋体" w:hAnsi="宋体"/>
          <w:sz w:val="28"/>
          <w:szCs w:val="28"/>
          <w:highlight w:val="none"/>
        </w:rPr>
      </w:pPr>
      <w:r>
        <w:rPr>
          <w:rFonts w:hint="eastAsia" w:ascii="宋体" w:hAnsi="宋体"/>
          <w:sz w:val="28"/>
          <w:szCs w:val="28"/>
          <w:highlight w:val="none"/>
        </w:rPr>
        <w:t>附件</w:t>
      </w:r>
      <w:r>
        <w:rPr>
          <w:rFonts w:ascii="宋体" w:hAnsi="宋体"/>
          <w:sz w:val="28"/>
          <w:szCs w:val="28"/>
          <w:highlight w:val="none"/>
        </w:rPr>
        <w:t>1.1</w:t>
      </w:r>
    </w:p>
    <w:p>
      <w:pPr>
        <w:spacing w:line="360" w:lineRule="auto"/>
        <w:jc w:val="center"/>
        <w:rPr>
          <w:rFonts w:ascii="宋体" w:hAnsi="宋体"/>
          <w:sz w:val="32"/>
          <w:highlight w:val="none"/>
        </w:rPr>
      </w:pPr>
      <w:r>
        <w:rPr>
          <w:rFonts w:hint="eastAsia" w:ascii="宋体" w:hAnsi="宋体"/>
          <w:sz w:val="32"/>
          <w:highlight w:val="none"/>
        </w:rPr>
        <w:t>采购需求</w:t>
      </w:r>
    </w:p>
    <w:p>
      <w:pPr>
        <w:numPr>
          <w:ilvl w:val="0"/>
          <w:numId w:val="10"/>
        </w:numPr>
        <w:tabs>
          <w:tab w:val="left" w:pos="420"/>
        </w:tabs>
        <w:spacing w:line="360" w:lineRule="auto"/>
        <w:rPr>
          <w:rFonts w:ascii="宋体" w:hAnsi="宋体"/>
          <w:sz w:val="24"/>
          <w:highlight w:val="none"/>
        </w:rPr>
      </w:pPr>
      <w:r>
        <w:rPr>
          <w:rFonts w:hint="eastAsia" w:ascii="宋体" w:hAnsi="宋体"/>
          <w:sz w:val="24"/>
          <w:highlight w:val="none"/>
        </w:rPr>
        <w:t>总体说明</w:t>
      </w:r>
    </w:p>
    <w:p>
      <w:pPr>
        <w:spacing w:line="360" w:lineRule="auto"/>
        <w:ind w:firstLine="480" w:firstLineChars="200"/>
        <w:rPr>
          <w:rFonts w:ascii="宋体" w:hAnsi="宋体"/>
          <w:sz w:val="24"/>
          <w:highlight w:val="none"/>
        </w:rPr>
      </w:pPr>
      <w:r>
        <w:rPr>
          <w:rFonts w:hint="eastAsia" w:ascii="宋体" w:hAnsi="宋体"/>
          <w:sz w:val="24"/>
          <w:highlight w:val="none"/>
        </w:rPr>
        <w:t>本采购需求中标有“★”的条款为必须完全满足的项目，任何负偏离将导致废标。</w:t>
      </w:r>
      <w:r>
        <w:rPr>
          <w:rFonts w:hint="eastAsia" w:cs="宋体" w:asciiTheme="minorEastAsia" w:hAnsiTheme="minorEastAsia"/>
          <w:sz w:val="24"/>
          <w:highlight w:val="none"/>
        </w:rPr>
        <w:t>凡上一级条目带★号，则表示该条目向下的所有条目均为带★号内容，如第一条带★号，则表示第一条向下的第（一）条、第1条等所有条目均为带★号内容。</w:t>
      </w:r>
    </w:p>
    <w:p>
      <w:pPr>
        <w:numPr>
          <w:ilvl w:val="0"/>
          <w:numId w:val="10"/>
        </w:numPr>
        <w:tabs>
          <w:tab w:val="left" w:pos="420"/>
        </w:tabs>
        <w:spacing w:line="360" w:lineRule="auto"/>
        <w:ind w:left="420" w:leftChars="200" w:firstLine="0"/>
        <w:rPr>
          <w:sz w:val="24"/>
          <w:highlight w:val="none"/>
        </w:rPr>
      </w:pPr>
      <w:r>
        <w:rPr>
          <w:rFonts w:hint="eastAsia" w:ascii="宋体" w:hAnsi="宋体"/>
          <w:sz w:val="24"/>
          <w:highlight w:val="none"/>
        </w:rPr>
        <w:t>资质要求</w:t>
      </w:r>
    </w:p>
    <w:p>
      <w:pPr>
        <w:numPr>
          <w:ilvl w:val="255"/>
          <w:numId w:val="0"/>
        </w:numPr>
        <w:tabs>
          <w:tab w:val="left" w:pos="420"/>
        </w:tabs>
        <w:spacing w:line="360" w:lineRule="auto"/>
        <w:ind w:left="420" w:leftChars="200"/>
        <w:rPr>
          <w:sz w:val="24"/>
          <w:highlight w:val="none"/>
        </w:rPr>
      </w:pPr>
      <w:r>
        <w:rPr>
          <w:rFonts w:hint="eastAsia" w:ascii="宋体" w:hAnsi="宋体"/>
          <w:sz w:val="24"/>
          <w:highlight w:val="none"/>
        </w:rPr>
        <w:t>（无）</w:t>
      </w:r>
    </w:p>
    <w:p>
      <w:pPr>
        <w:numPr>
          <w:ilvl w:val="0"/>
          <w:numId w:val="10"/>
        </w:numPr>
        <w:tabs>
          <w:tab w:val="left" w:pos="420"/>
        </w:tabs>
        <w:spacing w:line="360" w:lineRule="auto"/>
        <w:ind w:left="420" w:leftChars="200" w:firstLine="0"/>
        <w:rPr>
          <w:sz w:val="24"/>
          <w:highlight w:val="none"/>
        </w:rPr>
      </w:pPr>
      <w:r>
        <w:rPr>
          <w:rFonts w:hint="eastAsia" w:ascii="宋体" w:hAnsi="宋体"/>
          <w:sz w:val="24"/>
          <w:highlight w:val="none"/>
        </w:rPr>
        <w:t>业绩要求</w:t>
      </w:r>
    </w:p>
    <w:p>
      <w:pPr>
        <w:spacing w:line="360" w:lineRule="auto"/>
        <w:ind w:firstLine="480" w:firstLineChars="200"/>
        <w:rPr>
          <w:rFonts w:ascii="宋体" w:hAnsi="宋体"/>
          <w:sz w:val="24"/>
          <w:highlight w:val="none"/>
        </w:rPr>
      </w:pPr>
      <w:r>
        <w:rPr>
          <w:rFonts w:hint="eastAsia" w:ascii="宋体" w:hAnsi="宋体"/>
          <w:sz w:val="24"/>
          <w:highlight w:val="none"/>
        </w:rPr>
        <w:t>（无）</w:t>
      </w:r>
    </w:p>
    <w:p>
      <w:pPr>
        <w:numPr>
          <w:ilvl w:val="0"/>
          <w:numId w:val="10"/>
        </w:numPr>
        <w:tabs>
          <w:tab w:val="left" w:pos="420"/>
        </w:tabs>
        <w:spacing w:line="360" w:lineRule="auto"/>
        <w:ind w:left="420" w:leftChars="200" w:firstLine="0"/>
        <w:rPr>
          <w:sz w:val="24"/>
          <w:highlight w:val="none"/>
        </w:rPr>
      </w:pPr>
      <w:r>
        <w:rPr>
          <w:rFonts w:hint="eastAsia" w:ascii="宋体" w:hAnsi="宋体"/>
          <w:sz w:val="24"/>
          <w:highlight w:val="none"/>
        </w:rPr>
        <w:t>需求内容</w:t>
      </w:r>
    </w:p>
    <w:p>
      <w:pPr>
        <w:numPr>
          <w:ilvl w:val="0"/>
          <w:numId w:val="11"/>
        </w:numPr>
        <w:tabs>
          <w:tab w:val="left" w:pos="420"/>
        </w:tabs>
        <w:spacing w:line="360" w:lineRule="auto"/>
        <w:rPr>
          <w:sz w:val="24"/>
          <w:highlight w:val="none"/>
        </w:rPr>
      </w:pPr>
      <w:r>
        <w:rPr>
          <w:rFonts w:hint="eastAsia" w:ascii="宋体" w:hAnsi="宋体"/>
          <w:sz w:val="24"/>
          <w:highlight w:val="none"/>
        </w:rPr>
        <w:t>科学中心冷冻水质改善配套高精度过滤器采购清单</w:t>
      </w:r>
    </w:p>
    <w:tbl>
      <w:tblPr>
        <w:tblStyle w:val="11"/>
        <w:tblW w:w="8522" w:type="dxa"/>
        <w:tblInd w:w="0" w:type="dxa"/>
        <w:tblLayout w:type="fixed"/>
        <w:tblCellMar>
          <w:top w:w="0" w:type="dxa"/>
          <w:left w:w="108" w:type="dxa"/>
          <w:bottom w:w="0" w:type="dxa"/>
          <w:right w:w="108" w:type="dxa"/>
        </w:tblCellMar>
      </w:tblPr>
      <w:tblGrid>
        <w:gridCol w:w="534"/>
        <w:gridCol w:w="1842"/>
        <w:gridCol w:w="3262"/>
        <w:gridCol w:w="568"/>
        <w:gridCol w:w="707"/>
        <w:gridCol w:w="1609"/>
      </w:tblGrid>
      <w:tr>
        <w:tblPrEx>
          <w:tblLayout w:type="fixed"/>
          <w:tblCellMar>
            <w:top w:w="0" w:type="dxa"/>
            <w:left w:w="108" w:type="dxa"/>
            <w:bottom w:w="0" w:type="dxa"/>
            <w:right w:w="108" w:type="dxa"/>
          </w:tblCellMar>
        </w:tblPrEx>
        <w:trPr>
          <w:trHeight w:val="675" w:hRule="atLeast"/>
        </w:trPr>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184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产品名称</w:t>
            </w:r>
          </w:p>
        </w:tc>
        <w:tc>
          <w:tcPr>
            <w:tcW w:w="326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568"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70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609"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备注</w:t>
            </w: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2"/>
                <w:szCs w:val="22"/>
                <w:highlight w:val="none"/>
              </w:rPr>
            </w:pPr>
            <w:r>
              <w:rPr>
                <w:rFonts w:hint="eastAsia"/>
                <w:sz w:val="22"/>
                <w:szCs w:val="22"/>
                <w:highlight w:val="none"/>
                <w:lang w:val="en-US" w:eastAsia="zh-CN"/>
              </w:rPr>
              <w:t>1</w:t>
            </w: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sz w:val="22"/>
                <w:szCs w:val="22"/>
                <w:highlight w:val="none"/>
              </w:rPr>
            </w:pPr>
            <w:r>
              <w:rPr>
                <w:rFonts w:ascii="微软雅黑" w:hAnsi="微软雅黑" w:eastAsia="微软雅黑" w:cs="微软雅黑"/>
                <w:b w:val="0"/>
                <w:i w:val="0"/>
                <w:color w:val="333333"/>
                <w:sz w:val="21"/>
                <w:szCs w:val="21"/>
                <w:highlight w:val="none"/>
                <w:u w:val="none"/>
              </w:rPr>
              <w:t>“钢制”高流速双功能螺旋排气集污装置</w:t>
            </w:r>
          </w:p>
        </w:tc>
        <w:tc>
          <w:tcPr>
            <w:tcW w:w="3262"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sz w:val="22"/>
                <w:szCs w:val="22"/>
                <w:highlight w:val="none"/>
              </w:rPr>
            </w:pPr>
            <w:r>
              <w:rPr>
                <w:rFonts w:ascii="微软雅黑" w:hAnsi="微软雅黑" w:eastAsia="微软雅黑" w:cs="微软雅黑"/>
                <w:b w:val="0"/>
                <w:i w:val="0"/>
                <w:color w:val="333333"/>
                <w:sz w:val="21"/>
                <w:szCs w:val="21"/>
                <w:highlight w:val="none"/>
                <w:u w:val="none"/>
              </w:rPr>
              <w:t>DN450,PN16,流量1700m³/h，双功能，高流速，带检修法兰</w:t>
            </w:r>
            <w:r>
              <w:rPr>
                <w:rFonts w:hint="eastAsia" w:ascii="微软雅黑" w:hAnsi="微软雅黑" w:eastAsia="微软雅黑" w:cs="微软雅黑"/>
                <w:b w:val="0"/>
                <w:i w:val="0"/>
                <w:color w:val="333333"/>
                <w:sz w:val="21"/>
                <w:szCs w:val="21"/>
                <w:highlight w:val="none"/>
                <w:u w:val="none"/>
                <w:lang w:val="en-US" w:eastAsia="zh-CN"/>
              </w:rPr>
              <w:t>等</w:t>
            </w:r>
            <w:r>
              <w:rPr>
                <w:rFonts w:ascii="微软雅黑" w:hAnsi="微软雅黑" w:eastAsia="微软雅黑" w:cs="微软雅黑"/>
                <w:b w:val="0"/>
                <w:i w:val="0"/>
                <w:color w:val="333333"/>
                <w:sz w:val="21"/>
                <w:szCs w:val="21"/>
                <w:highlight w:val="none"/>
                <w:u w:val="none"/>
              </w:rPr>
              <w:t>,德国螺旋微泡排气排污形式，品牌：MISATO,REFLEX,</w:t>
            </w:r>
            <w:r>
              <w:rPr>
                <w:rFonts w:hint="eastAsia" w:ascii="微软雅黑" w:hAnsi="微软雅黑" w:eastAsia="微软雅黑" w:cs="微软雅黑"/>
                <w:i w:val="0"/>
                <w:color w:val="5E5E5E"/>
                <w:kern w:val="0"/>
                <w:sz w:val="22"/>
                <w:szCs w:val="22"/>
                <w:highlight w:val="none"/>
                <w:u w:val="none"/>
                <w:lang w:val="en-US" w:eastAsia="zh-CN" w:bidi="ar"/>
              </w:rPr>
              <w:t>。具体技术要求及配套材料详见附件1.2</w:t>
            </w:r>
          </w:p>
        </w:tc>
        <w:tc>
          <w:tcPr>
            <w:tcW w:w="568"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sz w:val="22"/>
                <w:szCs w:val="22"/>
                <w:highlight w:val="none"/>
              </w:rPr>
            </w:pPr>
            <w:r>
              <w:rPr>
                <w:rFonts w:hint="eastAsia" w:ascii="微软雅黑" w:hAnsi="微软雅黑" w:eastAsia="微软雅黑" w:cs="微软雅黑"/>
                <w:i w:val="0"/>
                <w:color w:val="5E5E5E"/>
                <w:kern w:val="0"/>
                <w:sz w:val="22"/>
                <w:szCs w:val="22"/>
                <w:highlight w:val="none"/>
                <w:u w:val="none"/>
                <w:lang w:val="en-US" w:eastAsia="zh-CN" w:bidi="ar"/>
              </w:rPr>
              <w:t>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sz w:val="22"/>
                <w:szCs w:val="22"/>
                <w:highlight w:val="none"/>
              </w:rPr>
            </w:pPr>
            <w:r>
              <w:rPr>
                <w:rFonts w:hint="eastAsia" w:ascii="微软雅黑" w:hAnsi="微软雅黑" w:eastAsia="微软雅黑" w:cs="微软雅黑"/>
                <w:i w:val="0"/>
                <w:color w:val="5E5E5E"/>
                <w:kern w:val="0"/>
                <w:sz w:val="22"/>
                <w:szCs w:val="22"/>
                <w:highlight w:val="none"/>
                <w:u w:val="none"/>
                <w:lang w:val="en-US" w:eastAsia="zh-CN" w:bidi="ar"/>
              </w:rPr>
              <w:t>1</w:t>
            </w:r>
          </w:p>
        </w:tc>
        <w:tc>
          <w:tcPr>
            <w:tcW w:w="1609" w:type="dxa"/>
            <w:tcBorders>
              <w:top w:val="single" w:color="auto" w:sz="4" w:space="0"/>
              <w:left w:val="nil"/>
              <w:bottom w:val="single" w:color="auto" w:sz="4" w:space="0"/>
              <w:right w:val="single" w:color="auto" w:sz="4" w:space="0"/>
              <w:tl2br w:val="nil"/>
              <w:tr2bl w:val="nil"/>
            </w:tcBorders>
            <w:vAlign w:val="center"/>
          </w:tcPr>
          <w:p>
            <w:pPr>
              <w:widowControl/>
              <w:jc w:val="center"/>
              <w:rPr>
                <w:highlight w:val="none"/>
              </w:rPr>
            </w:pP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2"/>
                <w:szCs w:val="22"/>
                <w:highlight w:val="none"/>
              </w:rPr>
            </w:pP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2"/>
                <w:szCs w:val="22"/>
                <w:highlight w:val="none"/>
              </w:rPr>
            </w:pPr>
          </w:p>
        </w:tc>
        <w:tc>
          <w:tcPr>
            <w:tcW w:w="3262"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highlight w:val="none"/>
              </w:rPr>
            </w:pPr>
            <w:r>
              <w:rPr>
                <w:rFonts w:hint="eastAsia"/>
                <w:sz w:val="22"/>
                <w:szCs w:val="22"/>
                <w:highlight w:val="none"/>
              </w:rPr>
              <w:t>合计</w:t>
            </w:r>
          </w:p>
        </w:tc>
        <w:tc>
          <w:tcPr>
            <w:tcW w:w="568"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highlight w:val="none"/>
              </w:rPr>
            </w:pPr>
          </w:p>
        </w:tc>
        <w:tc>
          <w:tcPr>
            <w:tcW w:w="707"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highlight w:val="none"/>
              </w:rPr>
            </w:pPr>
          </w:p>
        </w:tc>
        <w:tc>
          <w:tcPr>
            <w:tcW w:w="1609" w:type="dxa"/>
            <w:tcBorders>
              <w:top w:val="single" w:color="auto" w:sz="4" w:space="0"/>
              <w:left w:val="nil"/>
              <w:bottom w:val="single" w:color="auto" w:sz="4" w:space="0"/>
              <w:right w:val="single" w:color="auto" w:sz="4" w:space="0"/>
              <w:tl2br w:val="nil"/>
              <w:tr2bl w:val="nil"/>
            </w:tcBorders>
            <w:vAlign w:val="center"/>
          </w:tcPr>
          <w:p>
            <w:pPr>
              <w:widowControl/>
              <w:jc w:val="center"/>
              <w:rPr>
                <w:highlight w:val="none"/>
              </w:rPr>
            </w:pPr>
          </w:p>
        </w:tc>
      </w:tr>
    </w:tbl>
    <w:p>
      <w:pPr>
        <w:spacing w:line="360" w:lineRule="auto"/>
        <w:rPr>
          <w:sz w:val="24"/>
          <w:highlight w:val="none"/>
        </w:rPr>
      </w:pPr>
    </w:p>
    <w:p>
      <w:pPr>
        <w:numPr>
          <w:ilvl w:val="0"/>
          <w:numId w:val="12"/>
        </w:numPr>
        <w:tabs>
          <w:tab w:val="left" w:pos="420"/>
        </w:tabs>
        <w:spacing w:line="360" w:lineRule="auto"/>
        <w:rPr>
          <w:rFonts w:ascii="宋体" w:hAnsi="宋体"/>
          <w:sz w:val="24"/>
          <w:highlight w:val="none"/>
        </w:rPr>
      </w:pPr>
      <w:r>
        <w:rPr>
          <w:rFonts w:hint="eastAsia" w:ascii="宋体" w:hAnsi="宋体"/>
          <w:sz w:val="24"/>
          <w:highlight w:val="none"/>
        </w:rPr>
        <w:t xml:space="preserve">★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包装运输至交货地（含装卸）、试运行、厂家技术支持、利润、税费（包括关税、增值税专用发票等）、质保期服务、采购实施过程中不可预见费用以及与设备有关的特殊要求等完成本合同工作所需的所有费用。 </w:t>
      </w:r>
    </w:p>
    <w:p>
      <w:pPr>
        <w:numPr>
          <w:ilvl w:val="0"/>
          <w:numId w:val="12"/>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除另有约定，供应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pPr>
        <w:numPr>
          <w:ilvl w:val="0"/>
          <w:numId w:val="12"/>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报价有效期不低于30天。</w:t>
      </w: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w:t>
      </w:r>
      <w:r>
        <w:rPr>
          <w:rFonts w:hint="eastAsia" w:ascii="宋体" w:hAnsi="宋体"/>
          <w:kern w:val="0"/>
          <w:sz w:val="24"/>
          <w:highlight w:val="none"/>
        </w:rPr>
        <w:t>货物要求</w:t>
      </w:r>
    </w:p>
    <w:p>
      <w:pPr>
        <w:spacing w:line="360" w:lineRule="auto"/>
        <w:ind w:firstLine="480" w:firstLineChars="200"/>
        <w:rPr>
          <w:rFonts w:ascii="宋体" w:hAnsi="宋体"/>
          <w:sz w:val="24"/>
          <w:highlight w:val="none"/>
        </w:rPr>
      </w:pPr>
      <w:r>
        <w:rPr>
          <w:rFonts w:hint="eastAsia" w:ascii="宋体" w:hAnsi="宋体"/>
          <w:sz w:val="24"/>
          <w:highlight w:val="none"/>
        </w:rPr>
        <w:t>供应商应提供所代表品牌厂商原装的、全新的、未使用过的、技术先进、性能优良、结构紧凑、便于安装和维护、符合国家、行业及采购需求书提出的有关质量标准的货物。</w:t>
      </w: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特别说明</w:t>
      </w:r>
    </w:p>
    <w:p>
      <w:pPr>
        <w:numPr>
          <w:ilvl w:val="0"/>
          <w:numId w:val="13"/>
        </w:numPr>
        <w:tabs>
          <w:tab w:val="left" w:pos="420"/>
        </w:tabs>
        <w:spacing w:line="360" w:lineRule="auto"/>
        <w:rPr>
          <w:rFonts w:ascii="宋体" w:hAnsi="宋体"/>
          <w:sz w:val="24"/>
          <w:highlight w:val="none"/>
        </w:rPr>
      </w:pPr>
      <w:r>
        <w:rPr>
          <w:rFonts w:hint="eastAsia" w:ascii="宋体" w:hAnsi="宋体"/>
          <w:sz w:val="24"/>
          <w:highlight w:val="none"/>
        </w:rPr>
        <w:t>供应商报价时须按分项报单价、总价，注明所报产品的品牌、货期、产品质保期等详细信息。</w:t>
      </w:r>
    </w:p>
    <w:p>
      <w:pPr>
        <w:numPr>
          <w:ilvl w:val="0"/>
          <w:numId w:val="13"/>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供应商对“采购清单”中的所有货物都应报齐，不允许缺漏项。如有缺漏项的，按废标处理。</w:t>
      </w:r>
    </w:p>
    <w:p>
      <w:pPr>
        <w:numPr>
          <w:ilvl w:val="0"/>
          <w:numId w:val="11"/>
        </w:numPr>
        <w:tabs>
          <w:tab w:val="left" w:pos="420"/>
        </w:tabs>
        <w:spacing w:line="360" w:lineRule="auto"/>
        <w:rPr>
          <w:rFonts w:ascii="宋体" w:hAnsi="宋体"/>
          <w:kern w:val="0"/>
          <w:sz w:val="24"/>
          <w:highlight w:val="none"/>
        </w:rPr>
      </w:pPr>
      <w:r>
        <w:rPr>
          <w:rFonts w:hint="eastAsia" w:ascii="宋体" w:hAnsi="宋体"/>
          <w:kern w:val="0"/>
          <w:sz w:val="24"/>
          <w:highlight w:val="none"/>
        </w:rPr>
        <w:t>交货要求</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1.需送货至指定地点：</w:t>
      </w:r>
      <w:r>
        <w:rPr>
          <w:rFonts w:hint="eastAsia" w:ascii="宋体" w:hAnsi="宋体"/>
          <w:sz w:val="24"/>
          <w:highlight w:val="none"/>
          <w:lang w:val="en-US" w:eastAsia="zh-CN"/>
        </w:rPr>
        <w:t>广州大学城</w:t>
      </w:r>
      <w:r>
        <w:rPr>
          <w:rFonts w:hint="eastAsia" w:ascii="宋体" w:hAnsi="宋体" w:eastAsiaTheme="minorEastAsia"/>
          <w:sz w:val="24"/>
          <w:szCs w:val="24"/>
          <w:highlight w:val="none"/>
        </w:rPr>
        <w:t>科学中心地下室热交换站</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2.成交供应商应提供原装、全新的、符合国家质量标准的货物，不得以旧货翻新充数，并按有关要求进行包装及装运。</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3. ★成交供应商非生产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4.到货日期：按照供应商报价响应所承诺的货期将货物安全、完整、按时送货到采购人指定地点。</w:t>
      </w: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包装和装运</w:t>
      </w:r>
    </w:p>
    <w:p>
      <w:pPr>
        <w:numPr>
          <w:ilvl w:val="0"/>
          <w:numId w:val="14"/>
        </w:numPr>
        <w:tabs>
          <w:tab w:val="left" w:pos="420"/>
        </w:tabs>
        <w:spacing w:line="360" w:lineRule="auto"/>
        <w:rPr>
          <w:rFonts w:ascii="宋体" w:hAnsi="宋体"/>
          <w:sz w:val="24"/>
          <w:highlight w:val="none"/>
        </w:rPr>
      </w:pPr>
      <w:r>
        <w:rPr>
          <w:rFonts w:hint="eastAsia" w:ascii="宋体" w:hAnsi="宋体"/>
          <w:sz w:val="24"/>
          <w:highlight w:val="none"/>
        </w:rPr>
        <w:t>包装必须与运输方式相适应，包装方式的确定及包装费用均由成交供应商负责；由于不适当的包装而造成货物在运输过程中有任何损坏由成交供应商负责。</w:t>
      </w:r>
    </w:p>
    <w:p>
      <w:pPr>
        <w:numPr>
          <w:ilvl w:val="0"/>
          <w:numId w:val="14"/>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包装应足以承受整个过程中的运输、转运、装卸、储存等，充分考虑到运输途中的各种情况（如暴露于恶劣气候等）和广州地区的气候特点，以及露天存放的需要。</w:t>
      </w:r>
    </w:p>
    <w:p>
      <w:pPr>
        <w:numPr>
          <w:ilvl w:val="0"/>
          <w:numId w:val="14"/>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包装费、运费（包吊卸、搬运等）、保险费及卸货费等其他相关费用已包含在中标价内。</w:t>
      </w: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验收要求</w:t>
      </w:r>
    </w:p>
    <w:p>
      <w:pPr>
        <w:numPr>
          <w:ilvl w:val="0"/>
          <w:numId w:val="15"/>
        </w:numPr>
        <w:tabs>
          <w:tab w:val="left" w:pos="420"/>
        </w:tabs>
        <w:spacing w:line="360" w:lineRule="auto"/>
        <w:rPr>
          <w:rFonts w:ascii="宋体" w:hAnsi="宋体"/>
          <w:sz w:val="24"/>
          <w:highlight w:val="none"/>
        </w:rPr>
      </w:pPr>
      <w:r>
        <w:rPr>
          <w:rFonts w:hint="eastAsia" w:ascii="宋体" w:hAnsi="宋体"/>
          <w:sz w:val="24"/>
          <w:highlight w:val="none"/>
        </w:rPr>
        <w:t>成交供应商交付的货物必须达到</w:t>
      </w:r>
      <w:r>
        <w:rPr>
          <w:rFonts w:hint="eastAsia"/>
          <w:sz w:val="24"/>
          <w:highlight w:val="none"/>
        </w:rPr>
        <w:t>国家、行业有关标准、产品说明书、</w:t>
      </w:r>
      <w:r>
        <w:rPr>
          <w:rFonts w:hint="eastAsia" w:ascii="宋体" w:hAnsi="宋体"/>
          <w:sz w:val="24"/>
          <w:highlight w:val="none"/>
        </w:rPr>
        <w:t>技术性能参数、质量参数和竞选文件提及的质量标准</w:t>
      </w:r>
      <w:r>
        <w:rPr>
          <w:rFonts w:hint="eastAsia"/>
          <w:sz w:val="24"/>
          <w:highlight w:val="none"/>
        </w:rPr>
        <w:t>（以要求较高者为准）</w:t>
      </w:r>
      <w:r>
        <w:rPr>
          <w:rFonts w:hint="eastAsia" w:ascii="宋体" w:hAnsi="宋体"/>
          <w:sz w:val="24"/>
          <w:highlight w:val="none"/>
        </w:rPr>
        <w:t>。</w:t>
      </w:r>
    </w:p>
    <w:p>
      <w:pPr>
        <w:numPr>
          <w:ilvl w:val="0"/>
          <w:numId w:val="1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一次合格率大于</w:t>
      </w:r>
      <w:r>
        <w:rPr>
          <w:rFonts w:ascii="宋体" w:hAnsi="宋体"/>
          <w:sz w:val="24"/>
          <w:highlight w:val="none"/>
        </w:rPr>
        <w:t>98%。</w:t>
      </w:r>
    </w:p>
    <w:p>
      <w:pPr>
        <w:numPr>
          <w:ilvl w:val="0"/>
          <w:numId w:val="11"/>
        </w:numPr>
        <w:tabs>
          <w:tab w:val="left" w:pos="420"/>
        </w:tabs>
        <w:spacing w:line="360" w:lineRule="auto"/>
        <w:rPr>
          <w:rFonts w:ascii="宋体" w:hAnsi="宋体"/>
          <w:kern w:val="0"/>
          <w:sz w:val="24"/>
          <w:highlight w:val="none"/>
        </w:rPr>
      </w:pPr>
      <w:r>
        <w:rPr>
          <w:rFonts w:hint="eastAsia" w:ascii="宋体" w:hAnsi="宋体"/>
          <w:sz w:val="24"/>
          <w:highlight w:val="none"/>
        </w:rPr>
        <w:t>质量</w:t>
      </w:r>
      <w:r>
        <w:rPr>
          <w:rFonts w:hint="eastAsia" w:ascii="宋体" w:hAnsi="宋体"/>
          <w:kern w:val="0"/>
          <w:sz w:val="24"/>
          <w:highlight w:val="none"/>
        </w:rPr>
        <w:t>保证及售后服务</w:t>
      </w:r>
    </w:p>
    <w:p>
      <w:pPr>
        <w:numPr>
          <w:ilvl w:val="0"/>
          <w:numId w:val="16"/>
        </w:numPr>
        <w:tabs>
          <w:tab w:val="left" w:pos="420"/>
        </w:tabs>
        <w:spacing w:line="360" w:lineRule="auto"/>
        <w:rPr>
          <w:rFonts w:ascii="宋体" w:hAnsi="宋体"/>
          <w:sz w:val="24"/>
          <w:highlight w:val="none"/>
        </w:rPr>
      </w:pPr>
      <w:r>
        <w:rPr>
          <w:rFonts w:hint="eastAsia" w:ascii="宋体" w:hAnsi="宋体"/>
          <w:sz w:val="24"/>
          <w:highlight w:val="none"/>
        </w:rPr>
        <w:t>成交供应商必须保证提供的货物是全新的、完整的、未开封的、未使用过并且在设计、材料及工艺上没有缺陷，</w:t>
      </w:r>
      <w:r>
        <w:rPr>
          <w:rFonts w:hint="eastAsia"/>
          <w:sz w:val="24"/>
          <w:highlight w:val="none"/>
        </w:rPr>
        <w:t>权属明确的且</w:t>
      </w:r>
      <w:r>
        <w:rPr>
          <w:rFonts w:hint="eastAsia" w:ascii="宋体" w:hAnsi="宋体"/>
          <w:sz w:val="24"/>
          <w:highlight w:val="none"/>
        </w:rPr>
        <w:t>完全符合本项目</w:t>
      </w:r>
      <w:r>
        <w:rPr>
          <w:rFonts w:hint="eastAsia" w:ascii="宋体" w:hAnsi="宋体"/>
          <w:sz w:val="24"/>
          <w:highlight w:val="none"/>
          <w:lang w:val="en-GB"/>
        </w:rPr>
        <w:t>规定的品牌、质量、规格和性能的要求和</w:t>
      </w:r>
      <w:r>
        <w:rPr>
          <w:rFonts w:hint="eastAsia" w:ascii="宋体" w:hAnsi="宋体"/>
          <w:sz w:val="24"/>
          <w:highlight w:val="none"/>
        </w:rPr>
        <w:t>质量标准要求的原装合格正品，并有生产厂家提供的产品质量证明书。严禁提供假冒伪劣产品，一经发现，采购人有权拒收、作退货处理或取消采购，且因此而产生的一切费用和责任由成交供应商承担。同时应根据国家有关规定、厂家服务承诺及采购人的要求做好售后服务工作。</w:t>
      </w:r>
    </w:p>
    <w:p>
      <w:pPr>
        <w:numPr>
          <w:ilvl w:val="0"/>
          <w:numId w:val="16"/>
        </w:numPr>
        <w:tabs>
          <w:tab w:val="left" w:pos="420"/>
        </w:tabs>
        <w:spacing w:line="360" w:lineRule="auto"/>
        <w:rPr>
          <w:rFonts w:ascii="宋体" w:hAnsi="宋体"/>
          <w:sz w:val="24"/>
          <w:highlight w:val="none"/>
        </w:rPr>
      </w:pPr>
      <w:r>
        <w:rPr>
          <w:rFonts w:hint="eastAsia" w:ascii="宋体" w:hAnsi="宋体"/>
          <w:sz w:val="24"/>
          <w:highlight w:val="none"/>
        </w:rPr>
        <w:t>★采购清单中货物的质保期最少为试运行验收合格之日起1年（不少于1年）。</w:t>
      </w:r>
    </w:p>
    <w:p>
      <w:pPr>
        <w:numPr>
          <w:ilvl w:val="0"/>
          <w:numId w:val="1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在质保期内均要求供应商对所供货物实行上门包修、包换、包退、包维护保养，费用由供应商负责，不再向采购人收取费用。</w:t>
      </w:r>
    </w:p>
    <w:p>
      <w:pPr>
        <w:numPr>
          <w:ilvl w:val="0"/>
          <w:numId w:val="1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如出现严重质量问题或产品厂商推诿质量、服务责任时，供应商应承担责任并提供质量和服务保障。</w:t>
      </w:r>
    </w:p>
    <w:p>
      <w:pPr>
        <w:numPr>
          <w:ilvl w:val="0"/>
          <w:numId w:val="1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★供应商在投标文件中承诺提供的服务须能提供制造商的服务热线（如400电话等）查证。</w:t>
      </w:r>
    </w:p>
    <w:p>
      <w:pPr>
        <w:numPr>
          <w:ilvl w:val="0"/>
          <w:numId w:val="10"/>
        </w:numPr>
        <w:tabs>
          <w:tab w:val="left" w:pos="420"/>
        </w:tabs>
        <w:spacing w:line="360" w:lineRule="auto"/>
        <w:ind w:left="420" w:leftChars="200" w:firstLine="0"/>
        <w:rPr>
          <w:rFonts w:ascii="宋体" w:hAnsi="宋体"/>
          <w:sz w:val="24"/>
          <w:highlight w:val="none"/>
        </w:rPr>
      </w:pPr>
      <w:r>
        <w:rPr>
          <w:rFonts w:hint="eastAsia" w:ascii="宋体" w:hAnsi="宋体"/>
          <w:sz w:val="24"/>
          <w:highlight w:val="none"/>
        </w:rPr>
        <w:t>商务要求</w:t>
      </w:r>
    </w:p>
    <w:p>
      <w:pPr>
        <w:numPr>
          <w:ilvl w:val="0"/>
          <w:numId w:val="17"/>
        </w:numPr>
        <w:tabs>
          <w:tab w:val="left" w:pos="420"/>
        </w:tabs>
        <w:spacing w:line="360" w:lineRule="auto"/>
        <w:rPr>
          <w:rFonts w:ascii="宋体" w:hAnsi="宋体"/>
          <w:sz w:val="24"/>
          <w:highlight w:val="none"/>
        </w:rPr>
      </w:pPr>
      <w:r>
        <w:rPr>
          <w:rFonts w:hint="eastAsia" w:ascii="宋体" w:hAnsi="宋体"/>
          <w:sz w:val="24"/>
          <w:highlight w:val="none"/>
        </w:rPr>
        <w:t>★付款方式：合同签订后预付合同总价的30%款项作为预付款；全部货物货到现场经需方到货验收合格后付至结算价</w:t>
      </w:r>
      <w:r>
        <w:rPr>
          <w:rFonts w:hint="eastAsia" w:ascii="宋体" w:hAnsi="宋体"/>
          <w:sz w:val="24"/>
          <w:highlight w:val="none"/>
          <w:lang w:val="en-US" w:eastAsia="zh-CN"/>
        </w:rPr>
        <w:t>6</w:t>
      </w:r>
      <w:r>
        <w:rPr>
          <w:rFonts w:hint="eastAsia" w:ascii="宋体" w:hAnsi="宋体"/>
          <w:sz w:val="24"/>
          <w:highlight w:val="none"/>
        </w:rPr>
        <w:t>0%；货物安装试运行后，经需方验收合格签字和收到供方相关的技术资料后</w:t>
      </w:r>
      <w:r>
        <w:rPr>
          <w:rFonts w:ascii="宋体" w:hAnsi="宋体"/>
          <w:sz w:val="24"/>
          <w:highlight w:val="none"/>
        </w:rPr>
        <w:t>15天内支付至结算价的95%款项，同时余下结算价的5%作为质保金，质保期为1年，质保期自货物试运行验收合格之日起算。质保期满供方</w:t>
      </w:r>
      <w:r>
        <w:rPr>
          <w:rFonts w:hint="eastAsia" w:ascii="宋体" w:hAnsi="宋体"/>
          <w:sz w:val="24"/>
          <w:highlight w:val="none"/>
        </w:rPr>
        <w:t>履行完质保期义务后付清余款。付款前供方开具相应金额增值税</w:t>
      </w:r>
      <w:r>
        <w:rPr>
          <w:rFonts w:ascii="宋体" w:hAnsi="宋体"/>
          <w:sz w:val="24"/>
          <w:highlight w:val="none"/>
        </w:rPr>
        <w:t>(含13%增值税)专用发票给需方</w:t>
      </w:r>
      <w:r>
        <w:rPr>
          <w:rFonts w:hint="eastAsia" w:ascii="宋体" w:hAnsi="宋体"/>
          <w:sz w:val="24"/>
          <w:highlight w:val="none"/>
        </w:rPr>
        <w:t>。</w:t>
      </w:r>
    </w:p>
    <w:p>
      <w:pPr>
        <w:numPr>
          <w:ilvl w:val="0"/>
          <w:numId w:val="17"/>
        </w:numPr>
        <w:tabs>
          <w:tab w:val="left" w:pos="420"/>
        </w:tabs>
        <w:spacing w:line="360" w:lineRule="auto"/>
        <w:rPr>
          <w:rFonts w:ascii="宋体" w:hAnsi="宋体"/>
          <w:sz w:val="24"/>
          <w:highlight w:val="none"/>
        </w:rPr>
      </w:pPr>
      <w:r>
        <w:rPr>
          <w:rFonts w:hint="eastAsia" w:ascii="宋体" w:hAnsi="宋体"/>
          <w:sz w:val="24"/>
          <w:highlight w:val="none"/>
        </w:rPr>
        <w:t>违约责任</w:t>
      </w:r>
    </w:p>
    <w:p>
      <w:pPr>
        <w:numPr>
          <w:ilvl w:val="0"/>
          <w:numId w:val="18"/>
        </w:numPr>
        <w:tabs>
          <w:tab w:val="left" w:pos="420"/>
        </w:tabs>
        <w:spacing w:line="360" w:lineRule="auto"/>
        <w:rPr>
          <w:rFonts w:ascii="宋体" w:hAnsi="宋体"/>
          <w:sz w:val="24"/>
          <w:highlight w:val="none"/>
        </w:rPr>
      </w:pPr>
      <w:r>
        <w:rPr>
          <w:rFonts w:hint="eastAsia" w:ascii="宋体" w:hAnsi="宋体"/>
          <w:sz w:val="24"/>
          <w:highlight w:val="none"/>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Pr>
          <w:rFonts w:hint="eastAsia"/>
          <w:sz w:val="24"/>
          <w:highlight w:val="none"/>
        </w:rPr>
        <w:t>有权从货款中扣除供应商应支付的违约金。</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因另外购买替换货物而产生的一切费用及额外支出。</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质保期内发现重大质量不合格问题（该重大质量问题应界定为达不到质量标准要求或同类型故障出现超过3次情形的），供应商必须在规定的期限调整或改正并达到采购需求约定的质量标准。</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保修期内，供应商不履行保修义务，采购人有权要求供应商每次支付不超过采购项目总价5%的违约金，且采购人有权委托第三方予以维修，因此而产生的一切费用由供应商承担。</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未经采购人同意，供应商拒不履行或</w:t>
      </w:r>
      <w:r>
        <w:rPr>
          <w:rFonts w:hint="eastAsia" w:ascii="宋体" w:hAnsi="宋体"/>
          <w:kern w:val="0"/>
          <w:sz w:val="24"/>
          <w:highlight w:val="none"/>
        </w:rPr>
        <w:t>部分不履行采购项目的，供应商按未履行部分采购项目金额的20%向采购人支付违约金。</w:t>
      </w:r>
    </w:p>
    <w:p>
      <w:pPr>
        <w:spacing w:line="360" w:lineRule="auto"/>
        <w:rPr>
          <w:rFonts w:ascii="宋体" w:hAnsi="宋体"/>
          <w:highlight w:val="none"/>
        </w:rPr>
      </w:pPr>
    </w:p>
    <w:p>
      <w:pPr>
        <w:spacing w:line="360" w:lineRule="auto"/>
        <w:rPr>
          <w:rFonts w:ascii="宋体" w:hAnsi="宋体"/>
          <w:highlight w:val="none"/>
        </w:rPr>
      </w:pPr>
    </w:p>
    <w:p>
      <w:pPr>
        <w:widowControl/>
        <w:jc w:val="left"/>
        <w:rPr>
          <w:rFonts w:ascii="宋体" w:hAnsi="宋体"/>
          <w:highlight w:val="none"/>
        </w:rPr>
      </w:pPr>
      <w:r>
        <w:rPr>
          <w:rFonts w:ascii="宋体" w:hAnsi="宋体"/>
          <w:highlight w:val="none"/>
        </w:rPr>
        <w:br w:type="page"/>
      </w:r>
    </w:p>
    <w:p>
      <w:pPr>
        <w:widowControl/>
        <w:jc w:val="left"/>
        <w:rPr>
          <w:rFonts w:ascii="宋体" w:hAnsi="宋体"/>
          <w:sz w:val="30"/>
          <w:szCs w:val="30"/>
          <w:highlight w:val="none"/>
        </w:rPr>
      </w:pPr>
      <w:r>
        <w:rPr>
          <w:rFonts w:hint="eastAsia" w:ascii="宋体" w:hAnsi="宋体"/>
          <w:sz w:val="24"/>
          <w:highlight w:val="none"/>
        </w:rPr>
        <w:t>★</w:t>
      </w:r>
      <w:r>
        <w:rPr>
          <w:rFonts w:hint="eastAsia" w:ascii="宋体" w:hAnsi="宋体"/>
          <w:sz w:val="30"/>
          <w:szCs w:val="30"/>
          <w:highlight w:val="none"/>
        </w:rPr>
        <w:t>附件</w:t>
      </w:r>
      <w:r>
        <w:rPr>
          <w:rFonts w:ascii="宋体" w:hAnsi="宋体"/>
          <w:sz w:val="30"/>
          <w:szCs w:val="30"/>
          <w:highlight w:val="none"/>
        </w:rPr>
        <w:t>1.</w:t>
      </w:r>
      <w:r>
        <w:rPr>
          <w:rFonts w:hint="eastAsia" w:ascii="宋体" w:hAnsi="宋体"/>
          <w:sz w:val="30"/>
          <w:szCs w:val="30"/>
          <w:highlight w:val="none"/>
        </w:rPr>
        <w:t>2</w:t>
      </w:r>
    </w:p>
    <w:p>
      <w:pPr>
        <w:jc w:val="center"/>
        <w:rPr>
          <w:rFonts w:ascii="仿宋" w:hAnsi="仿宋" w:eastAsia="仿宋"/>
          <w:b/>
          <w:sz w:val="32"/>
          <w:szCs w:val="32"/>
          <w:highlight w:val="none"/>
        </w:rPr>
      </w:pPr>
      <w:r>
        <w:rPr>
          <w:rFonts w:hint="eastAsia" w:ascii="仿宋" w:hAnsi="仿宋" w:eastAsia="仿宋"/>
          <w:b/>
          <w:sz w:val="32"/>
          <w:szCs w:val="32"/>
          <w:highlight w:val="none"/>
        </w:rPr>
        <w:t>科学中心高精度过滤器采购技术要求</w:t>
      </w:r>
    </w:p>
    <w:p>
      <w:pPr>
        <w:pStyle w:val="16"/>
        <w:tabs>
          <w:tab w:val="left" w:pos="426"/>
        </w:tabs>
        <w:ind w:left="720" w:firstLine="0" w:firstLineChars="0"/>
        <w:rPr>
          <w:rFonts w:ascii="仿宋" w:hAnsi="仿宋" w:eastAsia="仿宋"/>
          <w:sz w:val="28"/>
          <w:szCs w:val="28"/>
          <w:highlight w:val="none"/>
        </w:rPr>
      </w:pPr>
    </w:p>
    <w:p>
      <w:pPr>
        <w:pStyle w:val="16"/>
        <w:numPr>
          <w:ilvl w:val="0"/>
          <w:numId w:val="19"/>
        </w:numPr>
        <w:tabs>
          <w:tab w:val="left" w:pos="426"/>
        </w:tabs>
        <w:ind w:left="567" w:hanging="567" w:firstLineChars="0"/>
        <w:rPr>
          <w:rFonts w:ascii="仿宋" w:hAnsi="仿宋" w:eastAsia="仿宋"/>
          <w:sz w:val="28"/>
          <w:szCs w:val="28"/>
          <w:highlight w:val="none"/>
        </w:rPr>
      </w:pPr>
      <w:r>
        <w:rPr>
          <w:rFonts w:ascii="仿宋" w:hAnsi="仿宋" w:eastAsia="仿宋"/>
          <w:sz w:val="28"/>
          <w:szCs w:val="28"/>
          <w:highlight w:val="none"/>
        </w:rPr>
        <w:t>设备名称：螺旋排气集污装置</w:t>
      </w:r>
    </w:p>
    <w:p>
      <w:pPr>
        <w:pStyle w:val="16"/>
        <w:numPr>
          <w:ilvl w:val="0"/>
          <w:numId w:val="19"/>
        </w:numPr>
        <w:tabs>
          <w:tab w:val="left" w:pos="426"/>
        </w:tabs>
        <w:ind w:left="567" w:hanging="567" w:firstLineChars="0"/>
        <w:rPr>
          <w:rFonts w:ascii="仿宋" w:hAnsi="仿宋" w:eastAsia="仿宋"/>
          <w:sz w:val="28"/>
          <w:szCs w:val="28"/>
          <w:highlight w:val="none"/>
        </w:rPr>
      </w:pPr>
      <w:r>
        <w:rPr>
          <w:rFonts w:hint="eastAsia" w:ascii="仿宋" w:hAnsi="仿宋" w:eastAsia="仿宋"/>
          <w:sz w:val="28"/>
          <w:szCs w:val="28"/>
          <w:highlight w:val="none"/>
        </w:rPr>
        <w:t>设备原理</w:t>
      </w:r>
    </w:p>
    <w:p>
      <w:pPr>
        <w:tabs>
          <w:tab w:val="left" w:pos="426"/>
        </w:tabs>
        <w:ind w:firstLine="560" w:firstLineChars="200"/>
        <w:rPr>
          <w:rFonts w:ascii="仿宋" w:hAnsi="仿宋" w:eastAsia="仿宋"/>
          <w:sz w:val="28"/>
          <w:szCs w:val="28"/>
          <w:highlight w:val="none"/>
        </w:rPr>
      </w:pPr>
      <w:r>
        <w:rPr>
          <w:rFonts w:hint="eastAsia" w:ascii="仿宋" w:hAnsi="仿宋" w:eastAsia="仿宋"/>
          <w:sz w:val="28"/>
          <w:szCs w:val="28"/>
          <w:highlight w:val="none"/>
        </w:rPr>
        <w:t>设备过水部分的尺寸远远大于连接管，这种结构使得流体流过阀体时，在其内部形成湍流。这时系统中携带的微小颗粒和微小气泡会被内置铜丝网桶状编织芯体捕捉到，在浮力和重力的作用下，微小气泡上升到顶部的集气空腔、微小颗粒下降到腔体下部的收集区域，颗粒通过下部排污阀排出，气泡则通过上部排气阀排出系统。收集区积累到一定污物后，定期通过排污阀排空。</w:t>
      </w:r>
    </w:p>
    <w:p>
      <w:pPr>
        <w:tabs>
          <w:tab w:val="left" w:pos="426"/>
        </w:tabs>
        <w:jc w:val="center"/>
        <w:rPr>
          <w:rFonts w:ascii="仿宋" w:hAnsi="仿宋" w:eastAsia="仿宋"/>
          <w:sz w:val="28"/>
          <w:szCs w:val="28"/>
          <w:highlight w:val="none"/>
        </w:rPr>
      </w:pPr>
      <w:r>
        <w:rPr>
          <w:rFonts w:ascii="仿宋" w:hAnsi="仿宋" w:eastAsia="仿宋"/>
          <w:sz w:val="28"/>
          <w:szCs w:val="28"/>
          <w:highlight w:val="none"/>
        </w:rPr>
        <w:drawing>
          <wp:inline distT="0" distB="0" distL="0" distR="0">
            <wp:extent cx="4337685" cy="5219700"/>
            <wp:effectExtent l="0" t="0" r="5715" b="0"/>
            <wp:docPr id="5" name="图片 5" descr="C:\Users\lilin\AppData\Local\Temp\16068762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ilin\AppData\Local\Temp\1606876274(1).png"/>
                    <pic:cNvPicPr>
                      <a:picLocks noChangeAspect="1" noChangeArrowheads="1"/>
                    </pic:cNvPicPr>
                  </pic:nvPicPr>
                  <pic:blipFill>
                    <a:blip r:embed="rId5">
                      <a:extLst>
                        <a:ext uri="{28A0092B-C50C-407E-A947-70E740481C1C}">
                          <a14:useLocalDpi xmlns:a14="http://schemas.microsoft.com/office/drawing/2010/main" val="0"/>
                        </a:ext>
                      </a:extLst>
                    </a:blip>
                    <a:srcRect l="1646" r="1234"/>
                    <a:stretch>
                      <a:fillRect/>
                    </a:stretch>
                  </pic:blipFill>
                  <pic:spPr>
                    <a:xfrm>
                      <a:off x="0" y="0"/>
                      <a:ext cx="4337748" cy="5220000"/>
                    </a:xfrm>
                    <a:prstGeom prst="rect">
                      <a:avLst/>
                    </a:prstGeom>
                    <a:noFill/>
                    <a:ln>
                      <a:noFill/>
                    </a:ln>
                  </pic:spPr>
                </pic:pic>
              </a:graphicData>
            </a:graphic>
          </wp:inline>
        </w:drawing>
      </w:r>
    </w:p>
    <w:p>
      <w:pPr>
        <w:pStyle w:val="16"/>
        <w:numPr>
          <w:ilvl w:val="0"/>
          <w:numId w:val="19"/>
        </w:numPr>
        <w:tabs>
          <w:tab w:val="left" w:pos="426"/>
        </w:tabs>
        <w:ind w:left="567" w:hanging="567" w:firstLineChars="0"/>
        <w:rPr>
          <w:rFonts w:ascii="仿宋" w:hAnsi="仿宋" w:eastAsia="仿宋"/>
          <w:sz w:val="28"/>
          <w:szCs w:val="28"/>
          <w:highlight w:val="none"/>
        </w:rPr>
      </w:pPr>
      <w:r>
        <w:rPr>
          <w:rFonts w:hint="eastAsia" w:ascii="仿宋" w:hAnsi="仿宋" w:eastAsia="仿宋"/>
          <w:sz w:val="28"/>
          <w:szCs w:val="28"/>
          <w:highlight w:val="none"/>
        </w:rPr>
        <w:t>设备特征</w:t>
      </w:r>
    </w:p>
    <w:p>
      <w:pPr>
        <w:pStyle w:val="16"/>
        <w:numPr>
          <w:ilvl w:val="1"/>
          <w:numId w:val="20"/>
        </w:numPr>
        <w:tabs>
          <w:tab w:val="left" w:pos="426"/>
        </w:tabs>
        <w:ind w:left="0" w:firstLine="0" w:firstLineChars="0"/>
        <w:rPr>
          <w:rFonts w:ascii="仿宋" w:hAnsi="仿宋" w:eastAsia="仿宋"/>
          <w:sz w:val="28"/>
          <w:szCs w:val="28"/>
          <w:highlight w:val="none"/>
        </w:rPr>
      </w:pPr>
      <w:r>
        <w:rPr>
          <w:rFonts w:hint="eastAsia" w:ascii="仿宋" w:hAnsi="仿宋" w:eastAsia="仿宋"/>
          <w:sz w:val="28"/>
          <w:szCs w:val="28"/>
          <w:highlight w:val="none"/>
        </w:rPr>
        <w:t>微米级螺旋微泡排气除污装置具有排除系统液体中携带的微小颗粒和微小气泡的能力。</w:t>
      </w:r>
    </w:p>
    <w:p>
      <w:pPr>
        <w:pStyle w:val="16"/>
        <w:numPr>
          <w:ilvl w:val="1"/>
          <w:numId w:val="20"/>
        </w:numPr>
        <w:tabs>
          <w:tab w:val="left" w:pos="426"/>
        </w:tabs>
        <w:ind w:left="0" w:firstLine="0" w:firstLineChars="0"/>
        <w:rPr>
          <w:rFonts w:ascii="仿宋" w:hAnsi="仿宋" w:eastAsia="仿宋"/>
          <w:sz w:val="28"/>
          <w:szCs w:val="28"/>
          <w:highlight w:val="none"/>
        </w:rPr>
      </w:pPr>
      <w:r>
        <w:rPr>
          <w:rFonts w:ascii="仿宋" w:hAnsi="仿宋" w:eastAsia="仿宋"/>
          <w:sz w:val="28"/>
          <w:szCs w:val="28"/>
          <w:highlight w:val="none"/>
        </w:rPr>
        <w:t>高效、高精度过滤，过滤精度可达</w:t>
      </w:r>
      <w:r>
        <w:rPr>
          <w:rFonts w:hint="eastAsia" w:ascii="仿宋" w:hAnsi="仿宋" w:eastAsia="仿宋"/>
          <w:sz w:val="28"/>
          <w:szCs w:val="28"/>
          <w:highlight w:val="none"/>
        </w:rPr>
        <w:t>5μm，</w:t>
      </w:r>
      <w:r>
        <w:rPr>
          <w:rFonts w:ascii="仿宋" w:hAnsi="仿宋" w:eastAsia="仿宋"/>
          <w:sz w:val="28"/>
          <w:szCs w:val="28"/>
          <w:highlight w:val="none"/>
        </w:rPr>
        <w:t>4</w:t>
      </w:r>
      <w:r>
        <w:rPr>
          <w:rFonts w:hint="eastAsia" w:ascii="仿宋" w:hAnsi="仿宋" w:eastAsia="仿宋"/>
          <w:sz w:val="28"/>
          <w:szCs w:val="28"/>
          <w:highlight w:val="none"/>
        </w:rPr>
        <w:t>0个系统循环即可将系统污垢降低至原来的4%以下。</w:t>
      </w:r>
    </w:p>
    <w:p>
      <w:pPr>
        <w:pStyle w:val="16"/>
        <w:numPr>
          <w:ilvl w:val="1"/>
          <w:numId w:val="20"/>
        </w:numPr>
        <w:tabs>
          <w:tab w:val="left" w:pos="426"/>
        </w:tabs>
        <w:ind w:left="0" w:firstLine="0" w:firstLineChars="0"/>
        <w:rPr>
          <w:rFonts w:ascii="仿宋" w:hAnsi="仿宋" w:eastAsia="仿宋"/>
          <w:sz w:val="28"/>
          <w:szCs w:val="28"/>
          <w:highlight w:val="none"/>
        </w:rPr>
      </w:pPr>
      <w:r>
        <w:rPr>
          <w:rFonts w:hint="eastAsia" w:ascii="仿宋" w:hAnsi="仿宋" w:eastAsia="仿宋"/>
          <w:sz w:val="28"/>
          <w:szCs w:val="28"/>
          <w:highlight w:val="none"/>
        </w:rPr>
        <w:t>系统压降小，管径不同，压降也不同，但最高不超过20kpa。</w:t>
      </w:r>
    </w:p>
    <w:p>
      <w:pPr>
        <w:pStyle w:val="16"/>
        <w:numPr>
          <w:ilvl w:val="1"/>
          <w:numId w:val="20"/>
        </w:numPr>
        <w:tabs>
          <w:tab w:val="left" w:pos="426"/>
        </w:tabs>
        <w:ind w:left="0" w:firstLine="0" w:firstLineChars="0"/>
        <w:rPr>
          <w:rFonts w:ascii="仿宋" w:hAnsi="仿宋" w:eastAsia="仿宋"/>
          <w:sz w:val="28"/>
          <w:szCs w:val="28"/>
          <w:highlight w:val="none"/>
        </w:rPr>
      </w:pPr>
      <w:r>
        <w:rPr>
          <w:rFonts w:hint="eastAsia" w:ascii="仿宋" w:hAnsi="仿宋" w:eastAsia="仿宋"/>
          <w:sz w:val="28"/>
          <w:szCs w:val="28"/>
          <w:highlight w:val="none"/>
        </w:rPr>
        <w:t>无需系统停机，可在线排污，管网压降不超过</w:t>
      </w:r>
      <w:r>
        <w:rPr>
          <w:rFonts w:ascii="仿宋" w:hAnsi="仿宋" w:eastAsia="仿宋"/>
          <w:sz w:val="28"/>
          <w:szCs w:val="28"/>
          <w:highlight w:val="none"/>
        </w:rPr>
        <w:t>1bar，单次排污时间不超过</w:t>
      </w:r>
      <w:r>
        <w:rPr>
          <w:rFonts w:hint="eastAsia" w:ascii="仿宋" w:hAnsi="仿宋" w:eastAsia="仿宋"/>
          <w:sz w:val="28"/>
          <w:szCs w:val="28"/>
          <w:highlight w:val="none"/>
        </w:rPr>
        <w:t>1</w:t>
      </w:r>
      <w:r>
        <w:rPr>
          <w:rFonts w:ascii="仿宋" w:hAnsi="仿宋" w:eastAsia="仿宋"/>
          <w:sz w:val="28"/>
          <w:szCs w:val="28"/>
          <w:highlight w:val="none"/>
        </w:rPr>
        <w:t>0秒,水损不大于</w:t>
      </w:r>
      <w:r>
        <w:rPr>
          <w:rFonts w:hint="eastAsia" w:ascii="仿宋" w:hAnsi="仿宋" w:eastAsia="仿宋"/>
          <w:sz w:val="28"/>
          <w:szCs w:val="28"/>
          <w:highlight w:val="none"/>
        </w:rPr>
        <w:t>5</w:t>
      </w:r>
      <w:r>
        <w:rPr>
          <w:rFonts w:ascii="仿宋" w:hAnsi="仿宋" w:eastAsia="仿宋"/>
          <w:sz w:val="28"/>
          <w:szCs w:val="28"/>
          <w:highlight w:val="none"/>
        </w:rPr>
        <w:t>0L。</w:t>
      </w:r>
    </w:p>
    <w:p>
      <w:pPr>
        <w:pStyle w:val="16"/>
        <w:numPr>
          <w:ilvl w:val="1"/>
          <w:numId w:val="20"/>
        </w:numPr>
        <w:tabs>
          <w:tab w:val="left" w:pos="426"/>
        </w:tabs>
        <w:ind w:left="0" w:firstLine="0" w:firstLineChars="0"/>
        <w:rPr>
          <w:rFonts w:ascii="仿宋" w:hAnsi="仿宋" w:eastAsia="仿宋"/>
          <w:sz w:val="28"/>
          <w:szCs w:val="28"/>
          <w:highlight w:val="none"/>
        </w:rPr>
      </w:pPr>
      <w:r>
        <w:rPr>
          <w:rFonts w:hint="eastAsia" w:ascii="仿宋" w:hAnsi="仿宋" w:eastAsia="仿宋"/>
          <w:sz w:val="28"/>
          <w:szCs w:val="28"/>
          <w:highlight w:val="none"/>
        </w:rPr>
        <w:t>微米级螺旋微泡排气除污装置罐体为两段式且设置检修人孔门，便于检修维护。</w:t>
      </w:r>
      <w:r>
        <w:rPr>
          <w:rFonts w:ascii="仿宋" w:hAnsi="仿宋" w:eastAsia="仿宋"/>
          <w:sz w:val="28"/>
          <w:szCs w:val="28"/>
          <w:highlight w:val="none"/>
        </w:rPr>
        <w:t xml:space="preserve"> </w:t>
      </w:r>
    </w:p>
    <w:p>
      <w:pPr>
        <w:pStyle w:val="16"/>
        <w:numPr>
          <w:ilvl w:val="1"/>
          <w:numId w:val="20"/>
        </w:numPr>
        <w:tabs>
          <w:tab w:val="left" w:pos="426"/>
        </w:tabs>
        <w:ind w:left="0" w:firstLine="0" w:firstLineChars="0"/>
        <w:rPr>
          <w:rFonts w:ascii="仿宋" w:hAnsi="仿宋" w:eastAsia="仿宋"/>
          <w:sz w:val="28"/>
          <w:szCs w:val="28"/>
          <w:highlight w:val="none"/>
        </w:rPr>
      </w:pPr>
      <w:r>
        <w:rPr>
          <w:rFonts w:hint="eastAsia" w:ascii="仿宋" w:hAnsi="仿宋" w:eastAsia="仿宋"/>
          <w:sz w:val="28"/>
          <w:szCs w:val="28"/>
          <w:highlight w:val="none"/>
        </w:rPr>
        <w:t>最高耐温180 ℃ ，最大耐压</w:t>
      </w:r>
      <w:r>
        <w:rPr>
          <w:rFonts w:ascii="仿宋" w:hAnsi="仿宋" w:eastAsia="仿宋"/>
          <w:sz w:val="28"/>
          <w:szCs w:val="28"/>
          <w:highlight w:val="none"/>
        </w:rPr>
        <w:t>30</w:t>
      </w:r>
      <w:r>
        <w:rPr>
          <w:rFonts w:hint="eastAsia" w:ascii="仿宋" w:hAnsi="仿宋" w:eastAsia="仿宋"/>
          <w:sz w:val="28"/>
          <w:szCs w:val="28"/>
          <w:highlight w:val="none"/>
        </w:rPr>
        <w:t>bar</w:t>
      </w:r>
    </w:p>
    <w:p>
      <w:pPr>
        <w:pStyle w:val="16"/>
        <w:numPr>
          <w:ilvl w:val="1"/>
          <w:numId w:val="20"/>
        </w:numPr>
        <w:tabs>
          <w:tab w:val="left" w:pos="426"/>
        </w:tabs>
        <w:ind w:left="0" w:firstLine="0" w:firstLineChars="0"/>
        <w:rPr>
          <w:rFonts w:ascii="仿宋" w:hAnsi="仿宋" w:eastAsia="仿宋"/>
          <w:sz w:val="28"/>
          <w:szCs w:val="28"/>
          <w:highlight w:val="none"/>
        </w:rPr>
      </w:pPr>
      <w:r>
        <w:rPr>
          <w:rFonts w:hint="eastAsia" w:ascii="仿宋" w:hAnsi="仿宋" w:eastAsia="仿宋"/>
          <w:sz w:val="28"/>
          <w:szCs w:val="28"/>
          <w:highlight w:val="none"/>
        </w:rPr>
        <w:t>预留高梯度磁力棒安装位置，吸附并排除磁性污垢。</w:t>
      </w:r>
    </w:p>
    <w:p>
      <w:pPr>
        <w:pStyle w:val="16"/>
        <w:numPr>
          <w:ilvl w:val="0"/>
          <w:numId w:val="19"/>
        </w:numPr>
        <w:tabs>
          <w:tab w:val="left" w:pos="426"/>
        </w:tabs>
        <w:ind w:left="567" w:hanging="567" w:firstLineChars="0"/>
        <w:rPr>
          <w:rFonts w:ascii="仿宋" w:hAnsi="仿宋" w:eastAsia="仿宋"/>
          <w:sz w:val="28"/>
          <w:szCs w:val="28"/>
          <w:highlight w:val="none"/>
        </w:rPr>
      </w:pPr>
      <w:r>
        <w:rPr>
          <w:rFonts w:ascii="仿宋" w:hAnsi="仿宋" w:eastAsia="仿宋"/>
          <w:sz w:val="28"/>
          <w:szCs w:val="28"/>
          <w:highlight w:val="none"/>
        </w:rPr>
        <w:t>技术参数和性能要求</w:t>
      </w:r>
    </w:p>
    <w:p>
      <w:pPr>
        <w:tabs>
          <w:tab w:val="left" w:pos="426"/>
        </w:tabs>
        <w:jc w:val="left"/>
        <w:rPr>
          <w:rFonts w:ascii="仿宋" w:hAnsi="仿宋" w:eastAsia="仿宋"/>
          <w:sz w:val="28"/>
          <w:szCs w:val="28"/>
          <w:highlight w:val="none"/>
        </w:rPr>
      </w:pPr>
      <w:r>
        <w:rPr>
          <w:rFonts w:hint="eastAsia" w:ascii="仿宋" w:hAnsi="仿宋" w:eastAsia="仿宋"/>
          <w:sz w:val="28"/>
          <w:szCs w:val="28"/>
          <w:highlight w:val="none"/>
        </w:rPr>
        <w:t>1、系统原理</w:t>
      </w:r>
    </w:p>
    <w:p>
      <w:pPr>
        <w:tabs>
          <w:tab w:val="left" w:pos="426"/>
        </w:tabs>
        <w:jc w:val="left"/>
        <w:rPr>
          <w:rFonts w:ascii="仿宋" w:hAnsi="仿宋" w:eastAsia="仿宋"/>
          <w:sz w:val="28"/>
          <w:szCs w:val="28"/>
          <w:highlight w:val="none"/>
        </w:rPr>
      </w:pPr>
      <w:r>
        <w:rPr>
          <w:highlight w:val="none"/>
        </w:rPr>
        <w:object>
          <v:shape id="_x0000_i1025" o:spt="75" type="#_x0000_t75" style="height:165.75pt;width:432pt;" o:ole="t" filled="f" o:preferrelative="t" stroked="f" coordsize="21600,21600">
            <v:path/>
            <v:fill on="f" focussize="0,0"/>
            <v:stroke on="f" joinstyle="miter"/>
            <v:imagedata r:id="rId7" cropleft="21145f" croptop="8309f" cropright="27208f" cropbottom="38143f" o:title=""/>
            <o:lock v:ext="edit" aspectratio="f"/>
            <w10:wrap type="none"/>
            <w10:anchorlock/>
          </v:shape>
          <o:OLEObject Type="Embed" ProgID="AutoCAD.Drawing.19" ShapeID="_x0000_i1025" DrawAspect="Content" ObjectID="_1468075725" r:id="rId6">
            <o:LockedField>false</o:LockedField>
          </o:OLEObject>
        </w:object>
      </w:r>
    </w:p>
    <w:p>
      <w:pPr>
        <w:pStyle w:val="16"/>
        <w:tabs>
          <w:tab w:val="left" w:pos="426"/>
        </w:tabs>
        <w:ind w:firstLine="560"/>
        <w:jc w:val="left"/>
        <w:rPr>
          <w:rFonts w:ascii="仿宋" w:hAnsi="仿宋" w:eastAsia="仿宋"/>
          <w:sz w:val="28"/>
          <w:szCs w:val="28"/>
          <w:highlight w:val="none"/>
        </w:rPr>
      </w:pPr>
      <w:r>
        <w:rPr>
          <w:rFonts w:hint="eastAsia" w:ascii="仿宋" w:hAnsi="仿宋" w:eastAsia="仿宋"/>
          <w:sz w:val="28"/>
          <w:szCs w:val="28"/>
          <w:highlight w:val="none"/>
        </w:rPr>
        <w:t>针对冷站管网</w:t>
      </w:r>
      <w:r>
        <w:rPr>
          <w:rFonts w:ascii="仿宋" w:hAnsi="仿宋" w:eastAsia="仿宋"/>
          <w:sz w:val="28"/>
          <w:szCs w:val="28"/>
          <w:highlight w:val="none"/>
        </w:rPr>
        <w:t>水质情况，管道施工遗留物比较复杂，为保护螺旋铜网，过滤器附设前置粗过滤器</w:t>
      </w:r>
      <w:r>
        <w:rPr>
          <w:rFonts w:hint="eastAsia" w:ascii="仿宋" w:hAnsi="仿宋" w:eastAsia="仿宋"/>
          <w:sz w:val="28"/>
          <w:szCs w:val="28"/>
          <w:highlight w:val="none"/>
        </w:rPr>
        <w:t>⑥</w:t>
      </w:r>
      <w:r>
        <w:rPr>
          <w:rFonts w:ascii="仿宋" w:hAnsi="仿宋" w:eastAsia="仿宋"/>
          <w:sz w:val="28"/>
          <w:szCs w:val="28"/>
          <w:highlight w:val="none"/>
        </w:rPr>
        <w:t>。设备由前置粗过滤器</w:t>
      </w:r>
      <w:r>
        <w:rPr>
          <w:rFonts w:hint="eastAsia" w:ascii="仿宋" w:hAnsi="仿宋" w:eastAsia="仿宋"/>
          <w:sz w:val="28"/>
          <w:szCs w:val="28"/>
          <w:highlight w:val="none"/>
        </w:rPr>
        <w:t>⑥</w:t>
      </w:r>
      <w:r>
        <w:rPr>
          <w:rFonts w:ascii="仿宋" w:hAnsi="仿宋" w:eastAsia="仿宋"/>
          <w:sz w:val="28"/>
          <w:szCs w:val="28"/>
          <w:highlight w:val="none"/>
        </w:rPr>
        <w:t>、螺旋排气集污装置</w:t>
      </w:r>
      <w:r>
        <w:rPr>
          <w:rFonts w:hint="eastAsia" w:ascii="仿宋" w:hAnsi="仿宋" w:eastAsia="仿宋"/>
          <w:sz w:val="28"/>
          <w:szCs w:val="28"/>
          <w:highlight w:val="none"/>
        </w:rPr>
        <w:t>④</w:t>
      </w:r>
      <w:r>
        <w:rPr>
          <w:rFonts w:ascii="仿宋" w:hAnsi="仿宋" w:eastAsia="仿宋"/>
          <w:sz w:val="28"/>
          <w:szCs w:val="28"/>
          <w:highlight w:val="none"/>
        </w:rPr>
        <w:t>组成，其中前置粗过滤器为</w:t>
      </w:r>
      <w:r>
        <w:rPr>
          <w:rFonts w:hint="eastAsia" w:ascii="仿宋" w:hAnsi="仿宋" w:eastAsia="仿宋"/>
          <w:sz w:val="28"/>
          <w:szCs w:val="28"/>
          <w:highlight w:val="none"/>
        </w:rPr>
        <w:t>Y型过滤器，</w:t>
      </w:r>
      <w:r>
        <w:rPr>
          <w:rFonts w:ascii="仿宋" w:hAnsi="仿宋" w:eastAsia="仿宋"/>
          <w:sz w:val="28"/>
          <w:szCs w:val="28"/>
          <w:highlight w:val="none"/>
        </w:rPr>
        <w:t>由不锈钢滤网组成，以截留回水中的大颗粒，定期拆卸清洗滤网，</w:t>
      </w:r>
      <w:r>
        <w:rPr>
          <w:rFonts w:hint="eastAsia" w:ascii="仿宋" w:hAnsi="仿宋" w:eastAsia="仿宋"/>
          <w:sz w:val="28"/>
          <w:szCs w:val="28"/>
          <w:highlight w:val="none"/>
        </w:rPr>
        <w:t>以</w:t>
      </w:r>
      <w:r>
        <w:rPr>
          <w:rFonts w:ascii="仿宋" w:hAnsi="仿宋" w:eastAsia="仿宋"/>
          <w:sz w:val="28"/>
          <w:szCs w:val="28"/>
          <w:highlight w:val="none"/>
        </w:rPr>
        <w:t>保护螺旋集污装置。</w:t>
      </w:r>
    </w:p>
    <w:p>
      <w:pPr>
        <w:pStyle w:val="16"/>
        <w:tabs>
          <w:tab w:val="left" w:pos="426"/>
        </w:tabs>
        <w:ind w:firstLine="560"/>
        <w:jc w:val="left"/>
        <w:rPr>
          <w:rFonts w:ascii="仿宋" w:hAnsi="仿宋" w:eastAsia="仿宋"/>
          <w:sz w:val="28"/>
          <w:szCs w:val="28"/>
          <w:highlight w:val="none"/>
        </w:rPr>
      </w:pPr>
      <w:r>
        <w:rPr>
          <w:rFonts w:hint="eastAsia" w:ascii="仿宋" w:hAnsi="仿宋" w:eastAsia="仿宋"/>
          <w:sz w:val="28"/>
          <w:szCs w:val="28"/>
          <w:highlight w:val="none"/>
        </w:rPr>
        <w:t>粗过滤器（甲供）前后应设有压力表和压差报警装置，便于观察压力变化，及时清洗或者更换滤网，保证粗过滤器的正常使用。</w:t>
      </w:r>
    </w:p>
    <w:p>
      <w:pPr>
        <w:pStyle w:val="16"/>
        <w:tabs>
          <w:tab w:val="left" w:pos="426"/>
        </w:tabs>
        <w:ind w:firstLine="560"/>
        <w:jc w:val="left"/>
        <w:rPr>
          <w:rFonts w:ascii="仿宋" w:hAnsi="仿宋" w:eastAsia="仿宋"/>
          <w:sz w:val="28"/>
          <w:szCs w:val="28"/>
          <w:highlight w:val="none"/>
        </w:rPr>
      </w:pPr>
      <w:r>
        <w:rPr>
          <w:rFonts w:hint="eastAsia" w:ascii="仿宋" w:hAnsi="仿宋" w:eastAsia="仿宋"/>
          <w:sz w:val="28"/>
          <w:szCs w:val="28"/>
          <w:highlight w:val="none"/>
        </w:rPr>
        <w:t>螺旋集污装置为精密过滤器，利用螺旋原理除去水中细小颗粒，通过电动阀自动完成清洗排污，操作方式为自动运行（亦可手动运行），具有压差报警、定时自动排污功能，其自动化部分采用可靠的</w:t>
      </w:r>
      <w:r>
        <w:rPr>
          <w:rFonts w:ascii="仿宋" w:hAnsi="仿宋" w:eastAsia="仿宋"/>
          <w:sz w:val="28"/>
          <w:szCs w:val="28"/>
          <w:highlight w:val="none"/>
        </w:rPr>
        <w:t>PLC可编程控制系统。</w:t>
      </w:r>
    </w:p>
    <w:p>
      <w:pPr>
        <w:tabs>
          <w:tab w:val="left" w:pos="426"/>
        </w:tabs>
        <w:jc w:val="left"/>
        <w:rPr>
          <w:rFonts w:ascii="仿宋" w:hAnsi="仿宋" w:eastAsia="仿宋"/>
          <w:sz w:val="28"/>
          <w:szCs w:val="28"/>
          <w:highlight w:val="none"/>
        </w:rPr>
      </w:pPr>
      <w:r>
        <w:rPr>
          <w:rFonts w:hint="eastAsia" w:ascii="仿宋" w:hAnsi="仿宋" w:eastAsia="仿宋"/>
          <w:sz w:val="28"/>
          <w:szCs w:val="28"/>
          <w:highlight w:val="none"/>
        </w:rPr>
        <w:t>2、技术要求</w:t>
      </w:r>
    </w:p>
    <w:p>
      <w:pPr>
        <w:pStyle w:val="16"/>
        <w:numPr>
          <w:ilvl w:val="0"/>
          <w:numId w:val="21"/>
        </w:numPr>
        <w:tabs>
          <w:tab w:val="left" w:pos="567"/>
        </w:tabs>
        <w:ind w:left="0" w:firstLine="0" w:firstLineChars="0"/>
        <w:jc w:val="left"/>
        <w:rPr>
          <w:rFonts w:ascii="仿宋" w:hAnsi="仿宋" w:eastAsia="仿宋"/>
          <w:sz w:val="28"/>
          <w:szCs w:val="28"/>
          <w:highlight w:val="none"/>
        </w:rPr>
      </w:pPr>
      <w:r>
        <w:rPr>
          <w:rFonts w:hint="eastAsia" w:ascii="仿宋" w:hAnsi="仿宋" w:eastAsia="仿宋"/>
          <w:sz w:val="28"/>
          <w:szCs w:val="28"/>
          <w:highlight w:val="none"/>
          <w:lang w:val="en-US" w:eastAsia="zh-CN"/>
        </w:rPr>
        <w:t>保证所供</w:t>
      </w:r>
      <w:r>
        <w:rPr>
          <w:rFonts w:ascii="仿宋" w:hAnsi="仿宋" w:eastAsia="仿宋"/>
          <w:sz w:val="28"/>
          <w:szCs w:val="28"/>
          <w:highlight w:val="none"/>
        </w:rPr>
        <w:t>设备外形</w:t>
      </w:r>
      <w:r>
        <w:rPr>
          <w:rFonts w:hint="eastAsia" w:ascii="仿宋" w:hAnsi="仿宋" w:eastAsia="仿宋"/>
          <w:sz w:val="28"/>
          <w:szCs w:val="28"/>
          <w:highlight w:val="none"/>
          <w:lang w:val="en-US" w:eastAsia="zh-CN"/>
        </w:rPr>
        <w:t>尺寸适应现场</w:t>
      </w:r>
      <w:r>
        <w:rPr>
          <w:rFonts w:ascii="仿宋" w:hAnsi="仿宋" w:eastAsia="仿宋"/>
          <w:b/>
          <w:sz w:val="28"/>
          <w:szCs w:val="28"/>
          <w:highlight w:val="none"/>
        </w:rPr>
        <w:t>运输和安装空间、</w:t>
      </w:r>
      <w:r>
        <w:rPr>
          <w:rFonts w:hint="eastAsia" w:ascii="仿宋" w:hAnsi="仿宋" w:eastAsia="仿宋"/>
          <w:b/>
          <w:sz w:val="28"/>
          <w:szCs w:val="28"/>
          <w:highlight w:val="none"/>
          <w:lang w:val="en-US" w:eastAsia="zh-CN"/>
        </w:rPr>
        <w:t>预留</w:t>
      </w:r>
      <w:r>
        <w:rPr>
          <w:rFonts w:ascii="仿宋" w:hAnsi="仿宋" w:eastAsia="仿宋"/>
          <w:b/>
          <w:sz w:val="28"/>
          <w:szCs w:val="28"/>
          <w:highlight w:val="none"/>
        </w:rPr>
        <w:t>设备维护</w:t>
      </w:r>
      <w:r>
        <w:rPr>
          <w:rFonts w:hint="eastAsia" w:ascii="仿宋" w:hAnsi="仿宋" w:eastAsia="仿宋"/>
          <w:b/>
          <w:sz w:val="28"/>
          <w:szCs w:val="28"/>
          <w:highlight w:val="none"/>
          <w:lang w:val="en-US" w:eastAsia="zh-CN"/>
        </w:rPr>
        <w:t>空间</w:t>
      </w:r>
      <w:r>
        <w:rPr>
          <w:rFonts w:ascii="仿宋" w:hAnsi="仿宋" w:eastAsia="仿宋"/>
          <w:sz w:val="28"/>
          <w:szCs w:val="28"/>
          <w:highlight w:val="none"/>
        </w:rPr>
        <w:t>，</w:t>
      </w:r>
      <w:r>
        <w:rPr>
          <w:rFonts w:hint="eastAsia" w:ascii="仿宋" w:hAnsi="仿宋" w:eastAsia="仿宋"/>
          <w:sz w:val="28"/>
          <w:szCs w:val="28"/>
          <w:highlight w:val="none"/>
          <w:lang w:val="en-US" w:eastAsia="zh-CN"/>
        </w:rPr>
        <w:t>现场</w:t>
      </w:r>
      <w:r>
        <w:rPr>
          <w:rFonts w:ascii="仿宋" w:hAnsi="仿宋" w:eastAsia="仿宋"/>
          <w:b/>
          <w:bCs/>
          <w:sz w:val="28"/>
          <w:szCs w:val="28"/>
          <w:highlight w:val="none"/>
        </w:rPr>
        <w:t>运输通道门宽</w:t>
      </w:r>
      <w:r>
        <w:rPr>
          <w:rFonts w:hint="eastAsia" w:ascii="仿宋" w:hAnsi="仿宋" w:eastAsia="仿宋"/>
          <w:b/>
          <w:bCs/>
          <w:sz w:val="28"/>
          <w:szCs w:val="28"/>
          <w:highlight w:val="none"/>
        </w:rPr>
        <w:t>1</w:t>
      </w:r>
      <w:r>
        <w:rPr>
          <w:rFonts w:ascii="仿宋" w:hAnsi="仿宋" w:eastAsia="仿宋"/>
          <w:b/>
          <w:bCs/>
          <w:sz w:val="28"/>
          <w:szCs w:val="28"/>
          <w:highlight w:val="none"/>
        </w:rPr>
        <w:t>.3m，热交换站房间高度为</w:t>
      </w:r>
      <w:r>
        <w:rPr>
          <w:rFonts w:hint="eastAsia" w:ascii="仿宋" w:hAnsi="仿宋" w:eastAsia="仿宋"/>
          <w:b/>
          <w:bCs/>
          <w:sz w:val="28"/>
          <w:szCs w:val="28"/>
          <w:highlight w:val="none"/>
        </w:rPr>
        <w:t>3.</w:t>
      </w:r>
      <w:r>
        <w:rPr>
          <w:rFonts w:ascii="仿宋" w:hAnsi="仿宋" w:eastAsia="仿宋"/>
          <w:b/>
          <w:bCs/>
          <w:sz w:val="28"/>
          <w:szCs w:val="28"/>
          <w:highlight w:val="none"/>
        </w:rPr>
        <w:t>95m</w:t>
      </w:r>
      <w:r>
        <w:rPr>
          <w:rFonts w:ascii="仿宋" w:hAnsi="仿宋" w:eastAsia="仿宋"/>
          <w:sz w:val="28"/>
          <w:szCs w:val="28"/>
          <w:highlight w:val="none"/>
        </w:rPr>
        <w:t>，外形参考下图</w:t>
      </w:r>
      <w:r>
        <w:rPr>
          <w:rFonts w:hint="eastAsia" w:ascii="仿宋" w:hAnsi="仿宋" w:eastAsia="仿宋"/>
          <w:sz w:val="28"/>
          <w:szCs w:val="28"/>
          <w:highlight w:val="none"/>
          <w:lang w:val="en-US" w:eastAsia="zh-CN"/>
        </w:rPr>
        <w:t>(非尺寸参考）</w:t>
      </w:r>
      <w:r>
        <w:rPr>
          <w:rFonts w:ascii="仿宋" w:hAnsi="仿宋" w:eastAsia="仿宋"/>
          <w:sz w:val="28"/>
          <w:szCs w:val="28"/>
          <w:highlight w:val="none"/>
        </w:rPr>
        <w:t>：</w:t>
      </w:r>
    </w:p>
    <w:p>
      <w:pPr>
        <w:pStyle w:val="16"/>
        <w:tabs>
          <w:tab w:val="left" w:pos="567"/>
        </w:tabs>
        <w:ind w:firstLine="0" w:firstLineChars="0"/>
        <w:jc w:val="center"/>
        <w:rPr>
          <w:rFonts w:ascii="仿宋" w:hAnsi="仿宋" w:eastAsia="仿宋"/>
          <w:sz w:val="28"/>
          <w:szCs w:val="28"/>
          <w:highlight w:val="none"/>
        </w:rPr>
      </w:pPr>
      <w:r>
        <w:rPr>
          <w:rFonts w:ascii="仿宋" w:hAnsi="仿宋" w:eastAsia="仿宋"/>
          <w:sz w:val="28"/>
          <w:szCs w:val="28"/>
          <w:highlight w:val="none"/>
        </w:rPr>
        <w:drawing>
          <wp:inline distT="0" distB="0" distL="0" distR="0">
            <wp:extent cx="4947285" cy="4427855"/>
            <wp:effectExtent l="0" t="0" r="5715" b="10795"/>
            <wp:docPr id="2" name="图片 2" descr="C:\Users\LILIN~1.GZU\AppData\Local\Temp\16522512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ILIN~1.GZU\AppData\Local\Temp\165225128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947440" cy="4428000"/>
                    </a:xfrm>
                    <a:prstGeom prst="rect">
                      <a:avLst/>
                    </a:prstGeom>
                    <a:noFill/>
                    <a:ln>
                      <a:noFill/>
                    </a:ln>
                  </pic:spPr>
                </pic:pic>
              </a:graphicData>
            </a:graphic>
          </wp:inline>
        </w:drawing>
      </w:r>
    </w:p>
    <w:p>
      <w:pPr>
        <w:pStyle w:val="16"/>
        <w:numPr>
          <w:ilvl w:val="0"/>
          <w:numId w:val="21"/>
        </w:numPr>
        <w:tabs>
          <w:tab w:val="left" w:pos="567"/>
        </w:tabs>
        <w:ind w:left="0" w:firstLine="0" w:firstLineChars="0"/>
        <w:jc w:val="left"/>
        <w:rPr>
          <w:rFonts w:ascii="仿宋" w:hAnsi="仿宋" w:eastAsia="仿宋"/>
          <w:sz w:val="28"/>
          <w:szCs w:val="28"/>
          <w:highlight w:val="none"/>
        </w:rPr>
      </w:pPr>
      <w:r>
        <w:rPr>
          <w:rFonts w:ascii="仿宋" w:hAnsi="仿宋" w:eastAsia="仿宋"/>
          <w:sz w:val="28"/>
          <w:szCs w:val="28"/>
          <w:highlight w:val="none"/>
        </w:rPr>
        <w:t>采用可拆式结构，且设置检修人孔门，方便拆卸和维护。</w:t>
      </w:r>
    </w:p>
    <w:p>
      <w:pPr>
        <w:pStyle w:val="16"/>
        <w:numPr>
          <w:ilvl w:val="0"/>
          <w:numId w:val="21"/>
        </w:numPr>
        <w:tabs>
          <w:tab w:val="left" w:pos="567"/>
        </w:tabs>
        <w:ind w:left="0" w:firstLine="0" w:firstLineChars="0"/>
        <w:jc w:val="left"/>
        <w:rPr>
          <w:rFonts w:ascii="仿宋" w:hAnsi="仿宋" w:eastAsia="仿宋"/>
          <w:sz w:val="28"/>
          <w:szCs w:val="28"/>
          <w:highlight w:val="none"/>
        </w:rPr>
      </w:pPr>
      <w:r>
        <w:rPr>
          <w:rFonts w:ascii="仿宋" w:hAnsi="仿宋" w:eastAsia="仿宋"/>
          <w:sz w:val="28"/>
          <w:szCs w:val="28"/>
          <w:highlight w:val="none"/>
        </w:rPr>
        <w:t>设备整体包括：可拆卸</w:t>
      </w:r>
      <w:r>
        <w:rPr>
          <w:rFonts w:hint="eastAsia" w:ascii="仿宋" w:hAnsi="仿宋" w:eastAsia="仿宋"/>
          <w:sz w:val="28"/>
          <w:szCs w:val="28"/>
          <w:highlight w:val="none"/>
        </w:rPr>
        <w:t>设备罐体、排气阀、电动排污阀、内置铜丝网桶状编织芯体、设备的机座、支架、安装地脚螺栓、螺母、垫圈、控制箱、其他相关附件等。</w:t>
      </w:r>
    </w:p>
    <w:p>
      <w:pPr>
        <w:pStyle w:val="16"/>
        <w:numPr>
          <w:ilvl w:val="0"/>
          <w:numId w:val="21"/>
        </w:numPr>
        <w:tabs>
          <w:tab w:val="left" w:pos="567"/>
        </w:tabs>
        <w:ind w:left="0" w:firstLine="0" w:firstLineChars="0"/>
        <w:jc w:val="left"/>
        <w:rPr>
          <w:rFonts w:ascii="仿宋" w:hAnsi="仿宋" w:eastAsia="仿宋"/>
          <w:sz w:val="28"/>
          <w:szCs w:val="28"/>
          <w:highlight w:val="none"/>
        </w:rPr>
      </w:pPr>
      <w:r>
        <w:rPr>
          <w:rFonts w:ascii="仿宋" w:hAnsi="仿宋" w:eastAsia="仿宋"/>
          <w:sz w:val="28"/>
          <w:szCs w:val="28"/>
          <w:highlight w:val="none"/>
        </w:rPr>
        <w:t>腔体直径与接管口径之比不小于2倍，内置铜丝网桶状编织芯体必须为≥0.6mm铜丝绕制的立体螺旋状芯体。</w:t>
      </w:r>
    </w:p>
    <w:p>
      <w:pPr>
        <w:pStyle w:val="16"/>
        <w:numPr>
          <w:ilvl w:val="0"/>
          <w:numId w:val="21"/>
        </w:numPr>
        <w:tabs>
          <w:tab w:val="left" w:pos="567"/>
        </w:tabs>
        <w:ind w:left="0" w:firstLine="0" w:firstLineChars="0"/>
        <w:jc w:val="left"/>
        <w:rPr>
          <w:rFonts w:ascii="仿宋" w:hAnsi="仿宋" w:eastAsia="仿宋"/>
          <w:sz w:val="28"/>
          <w:szCs w:val="28"/>
          <w:highlight w:val="none"/>
        </w:rPr>
      </w:pPr>
      <w:r>
        <w:rPr>
          <w:rFonts w:ascii="仿宋" w:hAnsi="仿宋" w:eastAsia="仿宋"/>
          <w:sz w:val="28"/>
          <w:szCs w:val="28"/>
          <w:highlight w:val="none"/>
        </w:rPr>
        <w:t>阀体（罐体）材质为碳钢</w:t>
      </w:r>
      <w:r>
        <w:rPr>
          <w:rFonts w:hint="eastAsia" w:ascii="仿宋" w:hAnsi="仿宋" w:eastAsia="仿宋"/>
          <w:sz w:val="28"/>
          <w:szCs w:val="28"/>
          <w:highlight w:val="none"/>
        </w:rPr>
        <w:t>Q</w:t>
      </w:r>
      <w:r>
        <w:rPr>
          <w:rFonts w:ascii="仿宋" w:hAnsi="仿宋" w:eastAsia="仿宋"/>
          <w:sz w:val="28"/>
          <w:szCs w:val="28"/>
          <w:highlight w:val="none"/>
        </w:rPr>
        <w:t>345R，铜丝网编织芯体的铜丝成分中，铜含量不得低于99%，并提供材质证明。</w:t>
      </w:r>
    </w:p>
    <w:p>
      <w:pPr>
        <w:pStyle w:val="16"/>
        <w:numPr>
          <w:ilvl w:val="0"/>
          <w:numId w:val="21"/>
        </w:numPr>
        <w:tabs>
          <w:tab w:val="left" w:pos="567"/>
        </w:tabs>
        <w:ind w:left="0" w:firstLine="0" w:firstLineChars="0"/>
        <w:jc w:val="left"/>
        <w:rPr>
          <w:rFonts w:ascii="仿宋" w:hAnsi="仿宋" w:eastAsia="仿宋"/>
          <w:sz w:val="28"/>
          <w:szCs w:val="28"/>
          <w:highlight w:val="none"/>
        </w:rPr>
      </w:pPr>
      <w:r>
        <w:rPr>
          <w:rFonts w:ascii="仿宋" w:hAnsi="仿宋" w:eastAsia="仿宋"/>
          <w:sz w:val="28"/>
          <w:szCs w:val="28"/>
          <w:highlight w:val="none"/>
        </w:rPr>
        <w:t>阀体设计参照GB150标准，最大耐温不小于</w:t>
      </w:r>
      <w:r>
        <w:rPr>
          <w:rFonts w:hint="eastAsia" w:ascii="仿宋" w:hAnsi="仿宋" w:eastAsia="仿宋"/>
          <w:sz w:val="28"/>
          <w:szCs w:val="28"/>
          <w:highlight w:val="none"/>
        </w:rPr>
        <w:t>9</w:t>
      </w:r>
      <w:r>
        <w:rPr>
          <w:rFonts w:ascii="仿宋" w:hAnsi="仿宋" w:eastAsia="仿宋"/>
          <w:sz w:val="28"/>
          <w:szCs w:val="28"/>
          <w:highlight w:val="none"/>
        </w:rPr>
        <w:t>8℃，并需要提供压力容器许可证，与内置铜丝网桶状编织芯体为同一生产厂家。</w:t>
      </w:r>
    </w:p>
    <w:p>
      <w:pPr>
        <w:pStyle w:val="16"/>
        <w:numPr>
          <w:ilvl w:val="0"/>
          <w:numId w:val="21"/>
        </w:numPr>
        <w:tabs>
          <w:tab w:val="left" w:pos="567"/>
        </w:tabs>
        <w:ind w:left="0" w:firstLine="0" w:firstLineChars="0"/>
        <w:jc w:val="left"/>
        <w:rPr>
          <w:rFonts w:ascii="仿宋" w:hAnsi="仿宋" w:eastAsia="仿宋"/>
          <w:sz w:val="28"/>
          <w:szCs w:val="28"/>
          <w:highlight w:val="none"/>
        </w:rPr>
      </w:pPr>
      <w:r>
        <w:rPr>
          <w:rFonts w:ascii="仿宋" w:hAnsi="仿宋" w:eastAsia="仿宋"/>
          <w:sz w:val="28"/>
          <w:szCs w:val="28"/>
          <w:highlight w:val="none"/>
        </w:rPr>
        <w:t>铜丝网编织芯体单根直径不小于</w:t>
      </w:r>
      <w:r>
        <w:rPr>
          <w:rFonts w:hint="eastAsia" w:ascii="仿宋" w:hAnsi="仿宋" w:eastAsia="仿宋"/>
          <w:sz w:val="28"/>
          <w:szCs w:val="28"/>
          <w:highlight w:val="none"/>
        </w:rPr>
        <w:t>8</w:t>
      </w:r>
      <w:r>
        <w:rPr>
          <w:rFonts w:ascii="仿宋" w:hAnsi="仿宋" w:eastAsia="仿宋"/>
          <w:sz w:val="28"/>
          <w:szCs w:val="28"/>
          <w:highlight w:val="none"/>
        </w:rPr>
        <w:t>0mm，密布阀体腔体，数量不少于</w:t>
      </w:r>
      <w:r>
        <w:rPr>
          <w:rFonts w:hint="eastAsia" w:ascii="仿宋" w:hAnsi="仿宋" w:eastAsia="仿宋"/>
          <w:sz w:val="28"/>
          <w:szCs w:val="28"/>
          <w:highlight w:val="none"/>
        </w:rPr>
        <w:t>5</w:t>
      </w:r>
      <w:r>
        <w:rPr>
          <w:rFonts w:ascii="仿宋" w:hAnsi="仿宋" w:eastAsia="仿宋"/>
          <w:sz w:val="28"/>
          <w:szCs w:val="28"/>
          <w:highlight w:val="none"/>
        </w:rPr>
        <w:t>6支，长度不小于</w:t>
      </w:r>
      <w:r>
        <w:rPr>
          <w:rFonts w:hint="eastAsia" w:ascii="仿宋" w:hAnsi="仿宋" w:eastAsia="仿宋"/>
          <w:sz w:val="28"/>
          <w:szCs w:val="28"/>
          <w:highlight w:val="none"/>
        </w:rPr>
        <w:t>1.</w:t>
      </w:r>
      <w:r>
        <w:rPr>
          <w:rFonts w:ascii="仿宋" w:hAnsi="仿宋" w:eastAsia="仿宋"/>
          <w:sz w:val="28"/>
          <w:szCs w:val="28"/>
          <w:highlight w:val="none"/>
        </w:rPr>
        <w:t>2m，微气泡、微小污垢过滤精度不大于5μm，设备压损不大于</w:t>
      </w:r>
      <w:r>
        <w:rPr>
          <w:rFonts w:hint="eastAsia" w:ascii="仿宋" w:hAnsi="仿宋" w:eastAsia="仿宋"/>
          <w:sz w:val="28"/>
          <w:szCs w:val="28"/>
          <w:highlight w:val="none"/>
        </w:rPr>
        <w:t>2</w:t>
      </w:r>
      <w:r>
        <w:rPr>
          <w:rFonts w:ascii="仿宋" w:hAnsi="仿宋" w:eastAsia="仿宋"/>
          <w:sz w:val="28"/>
          <w:szCs w:val="28"/>
          <w:highlight w:val="none"/>
        </w:rPr>
        <w:t>0KPa。</w:t>
      </w:r>
    </w:p>
    <w:p>
      <w:pPr>
        <w:pStyle w:val="16"/>
        <w:numPr>
          <w:ilvl w:val="0"/>
          <w:numId w:val="21"/>
        </w:numPr>
        <w:tabs>
          <w:tab w:val="left" w:pos="567"/>
        </w:tabs>
        <w:ind w:left="0" w:firstLine="0" w:firstLineChars="0"/>
        <w:jc w:val="left"/>
        <w:rPr>
          <w:rFonts w:ascii="仿宋" w:hAnsi="仿宋" w:eastAsia="仿宋"/>
          <w:sz w:val="28"/>
          <w:szCs w:val="28"/>
          <w:highlight w:val="none"/>
        </w:rPr>
      </w:pPr>
      <w:r>
        <w:rPr>
          <w:rFonts w:ascii="仿宋" w:hAnsi="仿宋" w:eastAsia="仿宋"/>
          <w:sz w:val="28"/>
          <w:szCs w:val="28"/>
          <w:highlight w:val="none"/>
        </w:rPr>
        <w:t>底部设置排污口，配备</w:t>
      </w:r>
      <w:r>
        <w:rPr>
          <w:rFonts w:ascii="仿宋" w:hAnsi="仿宋" w:eastAsia="仿宋"/>
          <w:b/>
          <w:sz w:val="28"/>
          <w:szCs w:val="28"/>
          <w:highlight w:val="none"/>
        </w:rPr>
        <w:t>DN50，PN16</w:t>
      </w:r>
      <w:r>
        <w:rPr>
          <w:rFonts w:ascii="仿宋" w:hAnsi="仿宋" w:eastAsia="仿宋"/>
          <w:sz w:val="28"/>
          <w:szCs w:val="28"/>
          <w:highlight w:val="none"/>
        </w:rPr>
        <w:t>的手动涡轮蝶阀和电动蝶阀（随机配送，现场安装，配对法兰、螺栓、波齿垫），以便于自动排污和故障检修。</w:t>
      </w:r>
    </w:p>
    <w:p>
      <w:pPr>
        <w:pStyle w:val="16"/>
        <w:numPr>
          <w:ilvl w:val="0"/>
          <w:numId w:val="21"/>
        </w:numPr>
        <w:tabs>
          <w:tab w:val="left" w:pos="567"/>
        </w:tabs>
        <w:ind w:left="0" w:firstLine="0" w:firstLineChars="0"/>
        <w:jc w:val="left"/>
        <w:rPr>
          <w:rFonts w:ascii="仿宋" w:hAnsi="仿宋" w:eastAsia="仿宋"/>
          <w:sz w:val="28"/>
          <w:szCs w:val="28"/>
          <w:highlight w:val="none"/>
        </w:rPr>
      </w:pPr>
      <w:r>
        <w:rPr>
          <w:rFonts w:ascii="仿宋" w:hAnsi="仿宋" w:eastAsia="仿宋"/>
          <w:sz w:val="28"/>
          <w:szCs w:val="28"/>
          <w:highlight w:val="none"/>
        </w:rPr>
        <w:t>提供权威机构出具的节能形式报告及认证。</w:t>
      </w:r>
    </w:p>
    <w:p>
      <w:pPr>
        <w:tabs>
          <w:tab w:val="left" w:pos="426"/>
        </w:tabs>
        <w:jc w:val="left"/>
        <w:rPr>
          <w:rFonts w:ascii="仿宋" w:hAnsi="仿宋" w:eastAsia="仿宋"/>
          <w:sz w:val="28"/>
          <w:szCs w:val="28"/>
          <w:highlight w:val="none"/>
        </w:rPr>
      </w:pPr>
      <w:r>
        <w:rPr>
          <w:rFonts w:hint="eastAsia" w:ascii="仿宋" w:hAnsi="仿宋" w:eastAsia="仿宋"/>
          <w:sz w:val="28"/>
          <w:szCs w:val="28"/>
          <w:highlight w:val="none"/>
        </w:rPr>
        <w:t>3、其它</w:t>
      </w:r>
    </w:p>
    <w:p>
      <w:pPr>
        <w:pStyle w:val="16"/>
        <w:numPr>
          <w:ilvl w:val="0"/>
          <w:numId w:val="22"/>
        </w:numPr>
        <w:tabs>
          <w:tab w:val="left" w:pos="0"/>
        </w:tabs>
        <w:ind w:left="0" w:firstLine="0" w:firstLineChars="0"/>
        <w:jc w:val="left"/>
        <w:rPr>
          <w:rFonts w:ascii="仿宋" w:hAnsi="仿宋" w:eastAsia="仿宋"/>
          <w:sz w:val="28"/>
          <w:szCs w:val="28"/>
          <w:highlight w:val="none"/>
        </w:rPr>
      </w:pPr>
      <w:r>
        <w:rPr>
          <w:rFonts w:hint="eastAsia" w:ascii="仿宋" w:hAnsi="仿宋" w:eastAsia="仿宋"/>
          <w:sz w:val="28"/>
          <w:szCs w:val="28"/>
          <w:highlight w:val="none"/>
        </w:rPr>
        <w:t>机组使用的仪器、仪表应处于正常安装位置，强、弱电缆不使用同一条导管，成束分开布置，排列整齐，并有清晰编号。</w:t>
      </w:r>
    </w:p>
    <w:p>
      <w:pPr>
        <w:pStyle w:val="16"/>
        <w:numPr>
          <w:ilvl w:val="0"/>
          <w:numId w:val="22"/>
        </w:numPr>
        <w:tabs>
          <w:tab w:val="left" w:pos="0"/>
        </w:tabs>
        <w:ind w:left="0" w:firstLine="0" w:firstLineChars="0"/>
        <w:jc w:val="left"/>
        <w:rPr>
          <w:rFonts w:ascii="仿宋" w:hAnsi="仿宋" w:eastAsia="仿宋"/>
          <w:sz w:val="28"/>
          <w:szCs w:val="28"/>
          <w:highlight w:val="none"/>
        </w:rPr>
      </w:pPr>
      <w:r>
        <w:rPr>
          <w:rFonts w:hint="eastAsia" w:ascii="仿宋" w:hAnsi="仿宋" w:eastAsia="仿宋"/>
          <w:sz w:val="28"/>
          <w:szCs w:val="28"/>
          <w:highlight w:val="none"/>
        </w:rPr>
        <w:t>电控柜体材料为S</w:t>
      </w:r>
      <w:r>
        <w:rPr>
          <w:rFonts w:ascii="仿宋" w:hAnsi="仿宋" w:eastAsia="仿宋"/>
          <w:sz w:val="28"/>
          <w:szCs w:val="28"/>
          <w:highlight w:val="none"/>
        </w:rPr>
        <w:t>US304不锈钢，</w:t>
      </w:r>
      <w:r>
        <w:rPr>
          <w:rFonts w:hint="eastAsia" w:ascii="仿宋" w:hAnsi="仿宋" w:eastAsia="仿宋"/>
          <w:sz w:val="28"/>
          <w:szCs w:val="28"/>
          <w:highlight w:val="none"/>
        </w:rPr>
        <w:t>采用双层防水结构，防护等级</w:t>
      </w:r>
      <w:r>
        <w:rPr>
          <w:rFonts w:ascii="仿宋" w:hAnsi="仿宋" w:eastAsia="仿宋"/>
          <w:sz w:val="28"/>
          <w:szCs w:val="28"/>
          <w:highlight w:val="none"/>
        </w:rPr>
        <w:t>IP65，</w:t>
      </w:r>
      <w:r>
        <w:rPr>
          <w:rFonts w:hint="eastAsia" w:ascii="仿宋" w:hAnsi="仿宋" w:eastAsia="仿宋"/>
          <w:sz w:val="28"/>
          <w:szCs w:val="28"/>
          <w:highlight w:val="none"/>
        </w:rPr>
        <w:t>所装用的电器元件符合国家标准的产品，并相应的技术文件及合格证书，控制电缆采用屏蔽电缆，所有电缆均为铜芯绝缘导线，并采用导管敷设布置。</w:t>
      </w:r>
    </w:p>
    <w:p>
      <w:pPr>
        <w:pStyle w:val="16"/>
        <w:numPr>
          <w:ilvl w:val="0"/>
          <w:numId w:val="22"/>
        </w:numPr>
        <w:tabs>
          <w:tab w:val="left" w:pos="0"/>
        </w:tabs>
        <w:ind w:left="0" w:firstLine="0" w:firstLineChars="0"/>
        <w:jc w:val="left"/>
        <w:rPr>
          <w:rFonts w:ascii="仿宋" w:hAnsi="仿宋" w:eastAsia="仿宋"/>
          <w:sz w:val="28"/>
          <w:szCs w:val="28"/>
          <w:highlight w:val="none"/>
        </w:rPr>
      </w:pPr>
      <w:r>
        <w:rPr>
          <w:rFonts w:ascii="仿宋" w:hAnsi="仿宋" w:eastAsia="仿宋"/>
          <w:sz w:val="28"/>
          <w:szCs w:val="28"/>
          <w:highlight w:val="none"/>
        </w:rPr>
        <w:t>控制柜主要电气元器件，选用可靠、稳定、市场常见的器件，如</w:t>
      </w:r>
      <w:r>
        <w:rPr>
          <w:rFonts w:hint="eastAsia" w:ascii="仿宋" w:hAnsi="仿宋" w:eastAsia="仿宋"/>
          <w:sz w:val="28"/>
          <w:szCs w:val="28"/>
          <w:highlight w:val="none"/>
        </w:rPr>
        <w:t>P</w:t>
      </w:r>
      <w:r>
        <w:rPr>
          <w:rFonts w:ascii="仿宋" w:hAnsi="仿宋" w:eastAsia="仿宋"/>
          <w:sz w:val="28"/>
          <w:szCs w:val="28"/>
          <w:highlight w:val="none"/>
        </w:rPr>
        <w:t>LC选用西门子或三菱，触摸屏选用昆仑通态（G系列，不小于</w:t>
      </w:r>
      <w:r>
        <w:rPr>
          <w:rFonts w:hint="eastAsia" w:ascii="仿宋" w:hAnsi="仿宋" w:eastAsia="仿宋"/>
          <w:sz w:val="28"/>
          <w:szCs w:val="28"/>
          <w:highlight w:val="none"/>
        </w:rPr>
        <w:t>7寸</w:t>
      </w:r>
      <w:r>
        <w:rPr>
          <w:rFonts w:ascii="仿宋" w:hAnsi="仿宋" w:eastAsia="仿宋"/>
          <w:sz w:val="28"/>
          <w:szCs w:val="28"/>
          <w:highlight w:val="none"/>
        </w:rPr>
        <w:t>）或</w:t>
      </w:r>
      <w:r>
        <w:rPr>
          <w:rFonts w:hint="eastAsia" w:ascii="仿宋" w:hAnsi="仿宋" w:eastAsia="仿宋"/>
          <w:sz w:val="28"/>
          <w:szCs w:val="28"/>
          <w:highlight w:val="none"/>
        </w:rPr>
        <w:t>威纶通，电源选用台湾明纬，接触器、继电器选用A</w:t>
      </w:r>
      <w:r>
        <w:rPr>
          <w:rFonts w:ascii="仿宋" w:hAnsi="仿宋" w:eastAsia="仿宋"/>
          <w:sz w:val="28"/>
          <w:szCs w:val="28"/>
          <w:highlight w:val="none"/>
        </w:rPr>
        <w:t>BB。</w:t>
      </w:r>
      <w:r>
        <w:rPr>
          <w:rFonts w:hint="eastAsia" w:ascii="仿宋" w:hAnsi="仿宋" w:eastAsia="仿宋"/>
          <w:sz w:val="28"/>
          <w:szCs w:val="28"/>
          <w:highlight w:val="none"/>
        </w:rPr>
        <w:t>系统中所有模件应是接插式的，便于更换，控制柜内应提供各种型式</w:t>
      </w:r>
      <w:r>
        <w:rPr>
          <w:rFonts w:ascii="仿宋" w:hAnsi="仿宋" w:eastAsia="仿宋"/>
          <w:sz w:val="28"/>
          <w:szCs w:val="28"/>
          <w:highlight w:val="none"/>
        </w:rPr>
        <w:t>I/O 的15%做备用，同时在插槽上还应留有扩充10%I/O余量。</w:t>
      </w:r>
    </w:p>
    <w:p>
      <w:pPr>
        <w:pStyle w:val="16"/>
        <w:numPr>
          <w:ilvl w:val="0"/>
          <w:numId w:val="22"/>
        </w:numPr>
        <w:tabs>
          <w:tab w:val="left" w:pos="0"/>
        </w:tabs>
        <w:ind w:left="0" w:firstLine="0" w:firstLineChars="0"/>
        <w:jc w:val="left"/>
        <w:rPr>
          <w:rFonts w:ascii="仿宋" w:hAnsi="仿宋" w:eastAsia="仿宋"/>
          <w:sz w:val="28"/>
          <w:szCs w:val="28"/>
          <w:highlight w:val="none"/>
        </w:rPr>
      </w:pPr>
      <w:r>
        <w:rPr>
          <w:rFonts w:hint="eastAsia" w:ascii="仿宋" w:hAnsi="仿宋" w:eastAsia="仿宋"/>
          <w:sz w:val="28"/>
          <w:szCs w:val="28"/>
          <w:highlight w:val="none"/>
        </w:rPr>
        <w:t>开关量</w:t>
      </w:r>
      <w:r>
        <w:rPr>
          <w:rFonts w:ascii="仿宋" w:hAnsi="仿宋" w:eastAsia="仿宋"/>
          <w:sz w:val="28"/>
          <w:szCs w:val="28"/>
          <w:highlight w:val="none"/>
        </w:rPr>
        <w:t>I/O模件应有光电隔离装置,同时开关量模件应具备自诊断功能,能够进行掉线和掉电诊断。</w:t>
      </w:r>
    </w:p>
    <w:p>
      <w:pPr>
        <w:pStyle w:val="16"/>
        <w:numPr>
          <w:ilvl w:val="0"/>
          <w:numId w:val="22"/>
        </w:numPr>
        <w:tabs>
          <w:tab w:val="left" w:pos="0"/>
        </w:tabs>
        <w:ind w:firstLineChars="0"/>
        <w:jc w:val="left"/>
        <w:rPr>
          <w:rFonts w:ascii="仿宋" w:hAnsi="仿宋" w:eastAsia="仿宋"/>
          <w:sz w:val="28"/>
          <w:szCs w:val="28"/>
          <w:highlight w:val="none"/>
        </w:rPr>
      </w:pPr>
      <w:r>
        <w:rPr>
          <w:rFonts w:hint="eastAsia" w:ascii="仿宋" w:hAnsi="仿宋" w:eastAsia="仿宋"/>
          <w:sz w:val="28"/>
          <w:szCs w:val="28"/>
          <w:highlight w:val="none"/>
        </w:rPr>
        <w:t>电源应配有抗浪涌保护装置并应包括一个隔离变压器。</w:t>
      </w:r>
    </w:p>
    <w:p>
      <w:pPr>
        <w:pStyle w:val="16"/>
        <w:numPr>
          <w:ilvl w:val="0"/>
          <w:numId w:val="22"/>
        </w:numPr>
        <w:tabs>
          <w:tab w:val="left" w:pos="0"/>
        </w:tabs>
        <w:ind w:left="0" w:firstLine="0" w:firstLineChars="0"/>
        <w:jc w:val="left"/>
        <w:rPr>
          <w:rFonts w:ascii="仿宋" w:hAnsi="仿宋" w:eastAsia="仿宋"/>
          <w:sz w:val="28"/>
          <w:szCs w:val="28"/>
          <w:highlight w:val="none"/>
        </w:rPr>
      </w:pPr>
      <w:r>
        <w:rPr>
          <w:rFonts w:hint="eastAsia" w:ascii="仿宋" w:hAnsi="仿宋" w:eastAsia="仿宋"/>
          <w:sz w:val="28"/>
          <w:szCs w:val="28"/>
          <w:highlight w:val="none"/>
        </w:rPr>
        <w:t>机组配套使用仪表，其量程和精度应选用合理，配接水管应确保管内流速在正常范围，配套使用的阀门、管件的耐压等级应选用合理。</w:t>
      </w:r>
    </w:p>
    <w:p>
      <w:pPr>
        <w:pStyle w:val="16"/>
        <w:numPr>
          <w:ilvl w:val="0"/>
          <w:numId w:val="22"/>
        </w:numPr>
        <w:tabs>
          <w:tab w:val="left" w:pos="0"/>
        </w:tabs>
        <w:ind w:left="0" w:firstLine="0" w:firstLineChars="0"/>
        <w:jc w:val="left"/>
        <w:rPr>
          <w:rFonts w:ascii="仿宋" w:hAnsi="仿宋" w:eastAsia="仿宋"/>
          <w:sz w:val="28"/>
          <w:szCs w:val="28"/>
          <w:highlight w:val="none"/>
        </w:rPr>
      </w:pPr>
      <w:r>
        <w:rPr>
          <w:rFonts w:ascii="仿宋" w:hAnsi="仿宋" w:eastAsia="仿宋"/>
          <w:sz w:val="28"/>
          <w:szCs w:val="28"/>
          <w:highlight w:val="none"/>
        </w:rPr>
        <w:t>设备接口配套法兰符合国家标准，密封选用波齿垫。</w:t>
      </w:r>
    </w:p>
    <w:p>
      <w:pPr>
        <w:pStyle w:val="16"/>
        <w:numPr>
          <w:ilvl w:val="0"/>
          <w:numId w:val="22"/>
        </w:numPr>
        <w:tabs>
          <w:tab w:val="left" w:pos="0"/>
        </w:tabs>
        <w:ind w:left="0" w:firstLine="0" w:firstLineChars="0"/>
        <w:jc w:val="left"/>
        <w:rPr>
          <w:rFonts w:ascii="仿宋" w:hAnsi="仿宋" w:eastAsia="仿宋"/>
          <w:sz w:val="28"/>
          <w:szCs w:val="28"/>
          <w:highlight w:val="none"/>
        </w:rPr>
      </w:pPr>
      <w:r>
        <w:rPr>
          <w:rFonts w:ascii="仿宋" w:hAnsi="仿宋" w:eastAsia="仿宋"/>
          <w:sz w:val="28"/>
          <w:szCs w:val="28"/>
          <w:highlight w:val="none"/>
        </w:rPr>
        <w:t>罐体和管道焊接，须按标准开坡口，坡口尺寸应符合</w:t>
      </w:r>
      <w:r>
        <w:rPr>
          <w:rFonts w:hint="eastAsia" w:ascii="仿宋" w:hAnsi="仿宋" w:eastAsia="仿宋" w:cs="Times New Roman"/>
          <w:sz w:val="28"/>
          <w:szCs w:val="28"/>
          <w:highlight w:val="none"/>
        </w:rPr>
        <w:t>现行国家标准GB50235《工业管道工程施工及验收规范》的有关规定。焊接</w:t>
      </w:r>
      <w:r>
        <w:rPr>
          <w:rFonts w:ascii="仿宋" w:hAnsi="仿宋" w:eastAsia="仿宋"/>
          <w:sz w:val="28"/>
          <w:szCs w:val="28"/>
          <w:highlight w:val="none"/>
        </w:rPr>
        <w:t>采用</w:t>
      </w:r>
      <w:r>
        <w:rPr>
          <w:rFonts w:hint="eastAsia" w:ascii="仿宋" w:hAnsi="仿宋" w:eastAsia="仿宋"/>
          <w:sz w:val="28"/>
          <w:szCs w:val="28"/>
          <w:highlight w:val="none"/>
        </w:rPr>
        <w:t>氩弧焊打底，直流电弧焊填充，焊缝外观质量不允许有裂纹、气孔、夹渣、熔合性飞溅和未焊透，咬边深度小于0.</w:t>
      </w:r>
      <w:r>
        <w:rPr>
          <w:rFonts w:ascii="仿宋" w:hAnsi="仿宋" w:eastAsia="仿宋"/>
          <w:sz w:val="28"/>
          <w:szCs w:val="28"/>
          <w:highlight w:val="none"/>
        </w:rPr>
        <w:t>5</w:t>
      </w:r>
      <w:r>
        <w:rPr>
          <w:rFonts w:hint="eastAsia" w:ascii="仿宋" w:hAnsi="仿宋" w:eastAsia="仿宋"/>
          <w:sz w:val="28"/>
          <w:szCs w:val="28"/>
          <w:highlight w:val="none"/>
        </w:rPr>
        <w:t>mm，其环缝对口错边不大于</w:t>
      </w:r>
      <w:r>
        <w:rPr>
          <w:rFonts w:ascii="仿宋" w:hAnsi="仿宋" w:eastAsia="仿宋"/>
          <w:sz w:val="28"/>
          <w:szCs w:val="28"/>
          <w:highlight w:val="none"/>
        </w:rPr>
        <w:t>1mm。</w:t>
      </w:r>
    </w:p>
    <w:p>
      <w:pPr>
        <w:pStyle w:val="16"/>
        <w:numPr>
          <w:ilvl w:val="0"/>
          <w:numId w:val="22"/>
        </w:numPr>
        <w:tabs>
          <w:tab w:val="left" w:pos="0"/>
        </w:tabs>
        <w:ind w:left="0" w:firstLine="0" w:firstLineChars="0"/>
        <w:jc w:val="left"/>
        <w:rPr>
          <w:rFonts w:ascii="仿宋" w:hAnsi="仿宋" w:eastAsia="仿宋"/>
          <w:sz w:val="28"/>
          <w:szCs w:val="28"/>
          <w:highlight w:val="none"/>
        </w:rPr>
      </w:pPr>
      <w:r>
        <w:rPr>
          <w:rFonts w:ascii="仿宋" w:hAnsi="仿宋" w:eastAsia="仿宋"/>
          <w:sz w:val="28"/>
          <w:szCs w:val="28"/>
          <w:highlight w:val="none"/>
        </w:rPr>
        <w:t>管接头的倾斜度、偏移量及法兰盘倾斜度不超过2mm，自制管法兰其类型、参数和技术条件应符合GB/T9112—2010及GB/T9124—2010的规定。</w:t>
      </w:r>
    </w:p>
    <w:p>
      <w:pPr>
        <w:pStyle w:val="16"/>
        <w:numPr>
          <w:ilvl w:val="0"/>
          <w:numId w:val="19"/>
        </w:numPr>
        <w:tabs>
          <w:tab w:val="left" w:pos="426"/>
        </w:tabs>
        <w:ind w:left="567" w:hanging="567" w:firstLineChars="0"/>
        <w:rPr>
          <w:rFonts w:ascii="仿宋" w:hAnsi="仿宋" w:eastAsia="仿宋"/>
          <w:sz w:val="28"/>
          <w:szCs w:val="28"/>
          <w:highlight w:val="none"/>
        </w:rPr>
      </w:pPr>
      <w:r>
        <w:rPr>
          <w:rFonts w:hint="eastAsia" w:ascii="仿宋" w:hAnsi="仿宋" w:eastAsia="仿宋"/>
          <w:sz w:val="28"/>
          <w:szCs w:val="28"/>
          <w:highlight w:val="none"/>
        </w:rPr>
        <w:t>供货范围</w:t>
      </w:r>
    </w:p>
    <w:p>
      <w:pPr>
        <w:tabs>
          <w:tab w:val="left" w:pos="426"/>
        </w:tabs>
        <w:ind w:left="1418" w:leftChars="262" w:hanging="868" w:hangingChars="310"/>
        <w:rPr>
          <w:rFonts w:ascii="仿宋" w:hAnsi="仿宋" w:eastAsia="仿宋"/>
          <w:sz w:val="28"/>
          <w:szCs w:val="28"/>
          <w:highlight w:val="none"/>
        </w:rPr>
      </w:pPr>
      <w:r>
        <w:rPr>
          <w:rFonts w:ascii="仿宋" w:hAnsi="仿宋" w:eastAsia="仿宋"/>
          <w:sz w:val="28"/>
          <w:szCs w:val="28"/>
          <w:highlight w:val="none"/>
        </w:rPr>
        <w:t>型号：</w:t>
      </w:r>
      <w:r>
        <w:rPr>
          <w:rFonts w:hint="eastAsia" w:ascii="仿宋" w:hAnsi="仿宋" w:eastAsia="仿宋"/>
          <w:sz w:val="28"/>
          <w:szCs w:val="28"/>
          <w:highlight w:val="none"/>
        </w:rPr>
        <w:t>“钢制”高流速双功能螺旋排气集污装置</w:t>
      </w:r>
      <w:r>
        <w:rPr>
          <w:rFonts w:ascii="仿宋" w:hAnsi="仿宋" w:eastAsia="仿宋"/>
          <w:sz w:val="28"/>
          <w:szCs w:val="28"/>
          <w:highlight w:val="none"/>
        </w:rPr>
        <w:t xml:space="preserve"> (瑞福莱型号为TW450R-HC，其余品牌参照</w:t>
      </w:r>
      <w:r>
        <w:rPr>
          <w:rFonts w:hint="eastAsia" w:ascii="仿宋" w:hAnsi="仿宋" w:eastAsia="仿宋"/>
          <w:sz w:val="28"/>
          <w:szCs w:val="28"/>
          <w:highlight w:val="none"/>
        </w:rPr>
        <w:t>)</w:t>
      </w:r>
    </w:p>
    <w:p>
      <w:pPr>
        <w:tabs>
          <w:tab w:val="left" w:pos="426"/>
        </w:tabs>
        <w:ind w:left="-10" w:leftChars="-5" w:firstLine="560" w:firstLineChars="200"/>
        <w:rPr>
          <w:rFonts w:ascii="仿宋" w:hAnsi="仿宋" w:eastAsia="仿宋"/>
          <w:sz w:val="28"/>
          <w:szCs w:val="28"/>
          <w:highlight w:val="none"/>
        </w:rPr>
      </w:pPr>
      <w:r>
        <w:rPr>
          <w:rFonts w:ascii="仿宋" w:hAnsi="仿宋" w:eastAsia="仿宋"/>
          <w:sz w:val="28"/>
          <w:szCs w:val="28"/>
          <w:highlight w:val="none"/>
        </w:rPr>
        <w:t>规格：DN450,PN16，流量1700</w:t>
      </w:r>
      <w:r>
        <w:rPr>
          <w:rFonts w:hint="eastAsia" w:ascii="仿宋" w:hAnsi="仿宋" w:eastAsia="仿宋"/>
          <w:sz w:val="28"/>
          <w:szCs w:val="28"/>
          <w:highlight w:val="none"/>
        </w:rPr>
        <w:t xml:space="preserve"> m</w:t>
      </w:r>
      <w:r>
        <w:rPr>
          <w:rFonts w:hint="eastAsia" w:ascii="仿宋" w:hAnsi="仿宋" w:eastAsia="仿宋"/>
          <w:sz w:val="28"/>
          <w:szCs w:val="28"/>
          <w:highlight w:val="none"/>
          <w:vertAlign w:val="superscript"/>
        </w:rPr>
        <w:t>3</w:t>
      </w:r>
      <w:r>
        <w:rPr>
          <w:rFonts w:hint="eastAsia" w:ascii="仿宋" w:hAnsi="仿宋" w:eastAsia="仿宋"/>
          <w:sz w:val="28"/>
          <w:szCs w:val="28"/>
          <w:highlight w:val="none"/>
        </w:rPr>
        <w:t>/h，</w:t>
      </w:r>
      <w:r>
        <w:rPr>
          <w:rFonts w:ascii="仿宋" w:hAnsi="仿宋" w:eastAsia="仿宋"/>
          <w:sz w:val="28"/>
          <w:szCs w:val="28"/>
          <w:highlight w:val="none"/>
        </w:rPr>
        <w:t>带检修法兰，</w:t>
      </w:r>
    </w:p>
    <w:p>
      <w:pPr>
        <w:tabs>
          <w:tab w:val="left" w:pos="426"/>
        </w:tabs>
        <w:ind w:left="-10" w:leftChars="-5"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数量：</w:t>
      </w:r>
      <w:r>
        <w:rPr>
          <w:rFonts w:ascii="仿宋" w:hAnsi="仿宋" w:eastAsia="仿宋"/>
          <w:sz w:val="28"/>
          <w:szCs w:val="28"/>
          <w:highlight w:val="none"/>
        </w:rPr>
        <w:t>1</w:t>
      </w:r>
      <w:r>
        <w:rPr>
          <w:rFonts w:hint="eastAsia" w:ascii="仿宋" w:hAnsi="仿宋" w:eastAsia="仿宋"/>
          <w:sz w:val="28"/>
          <w:szCs w:val="28"/>
          <w:highlight w:val="none"/>
        </w:rPr>
        <w:t>套</w:t>
      </w:r>
    </w:p>
    <w:p>
      <w:pPr>
        <w:tabs>
          <w:tab w:val="left" w:pos="426"/>
        </w:tabs>
        <w:ind w:left="-10" w:leftChars="-5" w:firstLine="560" w:firstLineChars="200"/>
        <w:rPr>
          <w:rFonts w:ascii="仿宋" w:hAnsi="仿宋" w:eastAsia="仿宋"/>
          <w:sz w:val="28"/>
          <w:szCs w:val="28"/>
          <w:highlight w:val="none"/>
        </w:rPr>
      </w:pPr>
      <w:r>
        <w:rPr>
          <w:rFonts w:ascii="仿宋" w:hAnsi="仿宋" w:eastAsia="仿宋"/>
          <w:sz w:val="28"/>
          <w:szCs w:val="28"/>
          <w:highlight w:val="none"/>
        </w:rPr>
        <w:t>设计压力：</w:t>
      </w:r>
      <w:r>
        <w:rPr>
          <w:rFonts w:hint="eastAsia" w:ascii="仿宋" w:hAnsi="仿宋" w:eastAsia="仿宋"/>
          <w:sz w:val="28"/>
          <w:szCs w:val="28"/>
          <w:highlight w:val="none"/>
        </w:rPr>
        <w:t>1</w:t>
      </w:r>
      <w:r>
        <w:rPr>
          <w:rFonts w:ascii="仿宋" w:hAnsi="仿宋" w:eastAsia="仿宋"/>
          <w:sz w:val="28"/>
          <w:szCs w:val="28"/>
          <w:highlight w:val="none"/>
        </w:rPr>
        <w:t>6bar</w:t>
      </w:r>
    </w:p>
    <w:p>
      <w:pPr>
        <w:tabs>
          <w:tab w:val="left" w:pos="426"/>
        </w:tabs>
        <w:ind w:left="-10" w:leftChars="-5" w:firstLine="560" w:firstLineChars="200"/>
        <w:rPr>
          <w:rFonts w:ascii="仿宋" w:hAnsi="仿宋" w:eastAsia="仿宋"/>
          <w:sz w:val="28"/>
          <w:szCs w:val="28"/>
          <w:highlight w:val="none"/>
        </w:rPr>
      </w:pPr>
      <w:r>
        <w:rPr>
          <w:rFonts w:hint="eastAsia" w:ascii="仿宋" w:hAnsi="仿宋" w:eastAsia="仿宋"/>
          <w:sz w:val="28"/>
          <w:szCs w:val="28"/>
          <w:highlight w:val="none"/>
        </w:rPr>
        <w:t>设计温度：</w:t>
      </w:r>
      <w:r>
        <w:rPr>
          <w:rFonts w:ascii="仿宋" w:hAnsi="仿宋" w:eastAsia="仿宋"/>
          <w:sz w:val="28"/>
          <w:szCs w:val="28"/>
          <w:highlight w:val="none"/>
        </w:rPr>
        <w:t>98℃</w:t>
      </w:r>
    </w:p>
    <w:p>
      <w:pPr>
        <w:tabs>
          <w:tab w:val="left" w:pos="426"/>
        </w:tabs>
        <w:ind w:left="-10" w:leftChars="-5" w:firstLine="560" w:firstLineChars="200"/>
        <w:rPr>
          <w:rFonts w:ascii="仿宋" w:hAnsi="仿宋" w:eastAsia="仿宋"/>
          <w:sz w:val="28"/>
          <w:szCs w:val="28"/>
          <w:highlight w:val="none"/>
        </w:rPr>
      </w:pPr>
      <w:r>
        <w:rPr>
          <w:rFonts w:hint="eastAsia" w:ascii="仿宋" w:hAnsi="仿宋" w:eastAsia="仿宋"/>
          <w:sz w:val="28"/>
          <w:szCs w:val="28"/>
          <w:highlight w:val="none"/>
        </w:rPr>
        <w:t>过滤精度：</w:t>
      </w:r>
      <w:r>
        <w:rPr>
          <w:rFonts w:ascii="仿宋" w:hAnsi="仿宋" w:eastAsia="仿宋"/>
          <w:sz w:val="28"/>
          <w:szCs w:val="28"/>
          <w:highlight w:val="none"/>
        </w:rPr>
        <w:t xml:space="preserve"> 5μm</w:t>
      </w:r>
    </w:p>
    <w:p>
      <w:pPr>
        <w:tabs>
          <w:tab w:val="left" w:pos="426"/>
        </w:tabs>
        <w:ind w:left="-10" w:leftChars="-5" w:firstLine="560" w:firstLineChars="200"/>
        <w:rPr>
          <w:rFonts w:ascii="仿宋" w:hAnsi="仿宋" w:eastAsia="仿宋"/>
          <w:sz w:val="28"/>
          <w:szCs w:val="28"/>
          <w:highlight w:val="none"/>
        </w:rPr>
      </w:pPr>
      <w:r>
        <w:rPr>
          <w:rFonts w:hint="eastAsia" w:ascii="仿宋" w:hAnsi="仿宋" w:eastAsia="仿宋"/>
          <w:sz w:val="28"/>
          <w:szCs w:val="28"/>
          <w:highlight w:val="none"/>
        </w:rPr>
        <w:t>压损：≤</w:t>
      </w:r>
      <w:r>
        <w:rPr>
          <w:rFonts w:ascii="仿宋" w:hAnsi="仿宋" w:eastAsia="仿宋"/>
          <w:sz w:val="28"/>
          <w:szCs w:val="28"/>
          <w:highlight w:val="none"/>
        </w:rPr>
        <w:t>20kPa，进出口设置压力表和压力检测传感器。</w:t>
      </w:r>
    </w:p>
    <w:p>
      <w:pPr>
        <w:tabs>
          <w:tab w:val="left" w:pos="426"/>
        </w:tabs>
        <w:ind w:left="-10" w:leftChars="-5" w:firstLine="560" w:firstLineChars="200"/>
        <w:rPr>
          <w:rFonts w:ascii="仿宋" w:hAnsi="仿宋" w:eastAsia="仿宋"/>
          <w:sz w:val="28"/>
          <w:szCs w:val="28"/>
          <w:highlight w:val="none"/>
        </w:rPr>
      </w:pPr>
      <w:r>
        <w:rPr>
          <w:rFonts w:ascii="仿宋" w:hAnsi="仿宋" w:eastAsia="仿宋"/>
          <w:sz w:val="28"/>
          <w:szCs w:val="28"/>
          <w:highlight w:val="none"/>
        </w:rPr>
        <w:t>介质：冷冻水大约为</w:t>
      </w:r>
      <w:r>
        <w:rPr>
          <w:rFonts w:hint="eastAsia" w:ascii="仿宋" w:hAnsi="仿宋" w:eastAsia="仿宋"/>
          <w:sz w:val="28"/>
          <w:szCs w:val="28"/>
          <w:highlight w:val="none"/>
        </w:rPr>
        <w:t>6℃</w:t>
      </w:r>
    </w:p>
    <w:p>
      <w:pPr>
        <w:tabs>
          <w:tab w:val="left" w:pos="426"/>
        </w:tabs>
        <w:ind w:left="-10" w:leftChars="-5" w:firstLine="560" w:firstLineChars="200"/>
        <w:rPr>
          <w:rFonts w:ascii="仿宋" w:hAnsi="仿宋" w:eastAsia="仿宋"/>
          <w:sz w:val="28"/>
          <w:szCs w:val="28"/>
          <w:highlight w:val="none"/>
        </w:rPr>
      </w:pPr>
      <w:r>
        <w:rPr>
          <w:rFonts w:hint="eastAsia" w:ascii="仿宋" w:hAnsi="仿宋" w:eastAsia="仿宋"/>
          <w:sz w:val="28"/>
          <w:szCs w:val="28"/>
          <w:highlight w:val="none"/>
        </w:rPr>
        <w:t>材质：</w:t>
      </w:r>
    </w:p>
    <w:p>
      <w:pPr>
        <w:tabs>
          <w:tab w:val="left" w:pos="426"/>
        </w:tabs>
        <w:ind w:firstLine="560" w:firstLineChars="200"/>
        <w:rPr>
          <w:rFonts w:ascii="仿宋" w:hAnsi="仿宋" w:eastAsia="仿宋"/>
          <w:sz w:val="28"/>
          <w:szCs w:val="28"/>
          <w:highlight w:val="none"/>
        </w:rPr>
      </w:pPr>
      <w:r>
        <w:rPr>
          <w:rFonts w:hint="eastAsia" w:ascii="仿宋" w:hAnsi="仿宋" w:eastAsia="仿宋"/>
          <w:sz w:val="28"/>
          <w:szCs w:val="28"/>
          <w:highlight w:val="none"/>
        </w:rPr>
        <w:t>筒体：Q</w:t>
      </w:r>
      <w:r>
        <w:rPr>
          <w:rFonts w:ascii="仿宋" w:hAnsi="仿宋" w:eastAsia="仿宋"/>
          <w:sz w:val="28"/>
          <w:szCs w:val="28"/>
          <w:highlight w:val="none"/>
        </w:rPr>
        <w:t>345R</w:t>
      </w:r>
      <w:r>
        <w:rPr>
          <w:rFonts w:hint="eastAsia" w:ascii="仿宋" w:hAnsi="仿宋" w:eastAsia="仿宋"/>
          <w:sz w:val="28"/>
          <w:szCs w:val="28"/>
          <w:highlight w:val="none"/>
        </w:rPr>
        <w:t>钢板</w:t>
      </w:r>
    </w:p>
    <w:p>
      <w:pPr>
        <w:tabs>
          <w:tab w:val="left" w:pos="426"/>
        </w:tabs>
        <w:ind w:firstLine="560" w:firstLineChars="200"/>
        <w:rPr>
          <w:rFonts w:ascii="仿宋" w:hAnsi="仿宋" w:eastAsia="仿宋"/>
          <w:sz w:val="28"/>
          <w:szCs w:val="28"/>
          <w:highlight w:val="none"/>
        </w:rPr>
      </w:pPr>
      <w:r>
        <w:rPr>
          <w:rFonts w:hint="eastAsia" w:ascii="仿宋" w:hAnsi="仿宋" w:eastAsia="仿宋"/>
          <w:sz w:val="28"/>
          <w:szCs w:val="28"/>
          <w:highlight w:val="none"/>
        </w:rPr>
        <w:t>滤网：不小于φ</w:t>
      </w:r>
      <w:r>
        <w:rPr>
          <w:rFonts w:ascii="仿宋" w:hAnsi="仿宋" w:eastAsia="仿宋"/>
          <w:sz w:val="28"/>
          <w:szCs w:val="28"/>
          <w:highlight w:val="none"/>
        </w:rPr>
        <w:t>0.6mm铜丝制编织芯体组，单根直径不小于</w:t>
      </w:r>
      <w:r>
        <w:rPr>
          <w:rFonts w:hint="eastAsia" w:ascii="仿宋" w:hAnsi="仿宋" w:eastAsia="仿宋"/>
          <w:sz w:val="28"/>
          <w:szCs w:val="28"/>
          <w:highlight w:val="none"/>
        </w:rPr>
        <w:t>8</w:t>
      </w:r>
      <w:r>
        <w:rPr>
          <w:rFonts w:ascii="仿宋" w:hAnsi="仿宋" w:eastAsia="仿宋"/>
          <w:sz w:val="28"/>
          <w:szCs w:val="28"/>
          <w:highlight w:val="none"/>
        </w:rPr>
        <w:t>0mm，长度不短于</w:t>
      </w:r>
      <w:r>
        <w:rPr>
          <w:rFonts w:hint="eastAsia" w:ascii="仿宋" w:hAnsi="仿宋" w:eastAsia="仿宋"/>
          <w:sz w:val="28"/>
          <w:szCs w:val="28"/>
          <w:highlight w:val="none"/>
        </w:rPr>
        <w:t>1.</w:t>
      </w:r>
      <w:r>
        <w:rPr>
          <w:rFonts w:ascii="仿宋" w:hAnsi="仿宋" w:eastAsia="仿宋"/>
          <w:sz w:val="28"/>
          <w:szCs w:val="28"/>
          <w:highlight w:val="none"/>
        </w:rPr>
        <w:t>2m，满布（不少于</w:t>
      </w:r>
      <w:r>
        <w:rPr>
          <w:rFonts w:hint="eastAsia" w:ascii="仿宋" w:hAnsi="仿宋" w:eastAsia="仿宋"/>
          <w:sz w:val="28"/>
          <w:szCs w:val="28"/>
          <w:highlight w:val="none"/>
        </w:rPr>
        <w:t>5</w:t>
      </w:r>
      <w:r>
        <w:rPr>
          <w:rFonts w:ascii="仿宋" w:hAnsi="仿宋" w:eastAsia="仿宋"/>
          <w:sz w:val="28"/>
          <w:szCs w:val="28"/>
          <w:highlight w:val="none"/>
        </w:rPr>
        <w:t>6支），设置上下多孔板支撑固定。随机配</w:t>
      </w:r>
      <w:r>
        <w:rPr>
          <w:rFonts w:hint="eastAsia" w:ascii="仿宋" w:hAnsi="仿宋" w:eastAsia="仿宋"/>
          <w:sz w:val="28"/>
          <w:szCs w:val="28"/>
          <w:highlight w:val="none"/>
        </w:rPr>
        <w:t>2支滤网作为易损备件</w:t>
      </w:r>
    </w:p>
    <w:p>
      <w:pPr>
        <w:tabs>
          <w:tab w:val="left" w:pos="426"/>
        </w:tabs>
        <w:ind w:left="-10" w:leftChars="-5" w:firstLine="560" w:firstLineChars="200"/>
        <w:rPr>
          <w:rFonts w:ascii="仿宋" w:hAnsi="仿宋" w:eastAsia="仿宋"/>
          <w:sz w:val="28"/>
          <w:szCs w:val="28"/>
          <w:highlight w:val="none"/>
        </w:rPr>
      </w:pPr>
      <w:r>
        <w:rPr>
          <w:rFonts w:ascii="仿宋" w:hAnsi="仿宋" w:eastAsia="仿宋"/>
          <w:sz w:val="28"/>
          <w:szCs w:val="28"/>
          <w:highlight w:val="none"/>
        </w:rPr>
        <w:t>成套设备还包括：</w:t>
      </w:r>
    </w:p>
    <w:p>
      <w:pPr>
        <w:tabs>
          <w:tab w:val="left" w:pos="426"/>
        </w:tabs>
        <w:ind w:left="-10" w:leftChars="-5" w:firstLine="560" w:firstLineChars="200"/>
        <w:rPr>
          <w:rFonts w:ascii="仿宋" w:hAnsi="仿宋" w:eastAsia="仿宋"/>
          <w:sz w:val="28"/>
          <w:szCs w:val="28"/>
          <w:highlight w:val="none"/>
        </w:rPr>
      </w:pPr>
      <w:r>
        <w:rPr>
          <w:rFonts w:hint="eastAsia" w:ascii="仿宋" w:hAnsi="仿宋" w:eastAsia="仿宋"/>
          <w:sz w:val="28"/>
          <w:szCs w:val="28"/>
          <w:highlight w:val="none"/>
        </w:rPr>
        <w:t>控制柜</w:t>
      </w:r>
      <w:r>
        <w:rPr>
          <w:rFonts w:ascii="仿宋" w:hAnsi="仿宋" w:eastAsia="仿宋"/>
          <w:sz w:val="28"/>
          <w:szCs w:val="28"/>
          <w:highlight w:val="none"/>
        </w:rPr>
        <w:t>（</w:t>
      </w:r>
      <w:r>
        <w:rPr>
          <w:rFonts w:hint="eastAsia" w:ascii="仿宋" w:hAnsi="仿宋" w:eastAsia="仿宋"/>
          <w:sz w:val="28"/>
          <w:szCs w:val="28"/>
          <w:highlight w:val="none"/>
        </w:rPr>
        <w:t>1套</w:t>
      </w:r>
      <w:r>
        <w:rPr>
          <w:rFonts w:ascii="仿宋" w:hAnsi="仿宋" w:eastAsia="仿宋"/>
          <w:sz w:val="28"/>
          <w:szCs w:val="28"/>
          <w:highlight w:val="none"/>
        </w:rPr>
        <w:t>）：</w:t>
      </w:r>
      <w:r>
        <w:rPr>
          <w:rFonts w:hint="eastAsia" w:ascii="仿宋" w:hAnsi="仿宋" w:eastAsia="仿宋"/>
          <w:sz w:val="28"/>
          <w:szCs w:val="28"/>
          <w:highlight w:val="none"/>
        </w:rPr>
        <w:t>380V，3</w:t>
      </w:r>
      <w:r>
        <w:rPr>
          <w:rFonts w:ascii="仿宋" w:hAnsi="仿宋" w:eastAsia="仿宋"/>
          <w:sz w:val="28"/>
          <w:szCs w:val="28"/>
          <w:highlight w:val="none"/>
        </w:rPr>
        <w:t>A，</w:t>
      </w:r>
      <w:r>
        <w:rPr>
          <w:rFonts w:hint="eastAsia" w:ascii="仿宋" w:hAnsi="仿宋" w:eastAsia="仿宋"/>
          <w:sz w:val="28"/>
          <w:szCs w:val="28"/>
          <w:highlight w:val="none"/>
        </w:rPr>
        <w:t>IP6</w:t>
      </w:r>
      <w:r>
        <w:rPr>
          <w:rFonts w:ascii="仿宋" w:hAnsi="仿宋" w:eastAsia="仿宋"/>
          <w:sz w:val="28"/>
          <w:szCs w:val="28"/>
          <w:highlight w:val="none"/>
        </w:rPr>
        <w:t>5</w:t>
      </w:r>
      <w:r>
        <w:rPr>
          <w:rFonts w:hint="eastAsia" w:ascii="仿宋" w:hAnsi="仿宋" w:eastAsia="仿宋"/>
          <w:sz w:val="28"/>
          <w:szCs w:val="28"/>
          <w:highlight w:val="none"/>
        </w:rPr>
        <w:t>，SUS304,集成阀门控制和压力报警、粗过滤器压力报警，可本地和远程监视、控制（留远程接口），主要电气元件配备进口常用品牌，</w:t>
      </w:r>
      <w:r>
        <w:rPr>
          <w:rFonts w:ascii="仿宋" w:hAnsi="仿宋" w:eastAsia="仿宋"/>
          <w:sz w:val="28"/>
          <w:szCs w:val="28"/>
          <w:highlight w:val="none"/>
        </w:rPr>
        <w:t>如西门子、三菱、</w:t>
      </w:r>
      <w:r>
        <w:rPr>
          <w:rFonts w:hint="eastAsia" w:ascii="仿宋" w:hAnsi="仿宋" w:eastAsia="仿宋"/>
          <w:sz w:val="28"/>
          <w:szCs w:val="28"/>
          <w:highlight w:val="none"/>
        </w:rPr>
        <w:t>A</w:t>
      </w:r>
      <w:r>
        <w:rPr>
          <w:rFonts w:ascii="仿宋" w:hAnsi="仿宋" w:eastAsia="仿宋"/>
          <w:sz w:val="28"/>
          <w:szCs w:val="28"/>
          <w:highlight w:val="none"/>
        </w:rPr>
        <w:t>BB等</w:t>
      </w:r>
      <w:r>
        <w:rPr>
          <w:rFonts w:hint="eastAsia" w:ascii="仿宋" w:hAnsi="仿宋" w:eastAsia="仿宋"/>
          <w:sz w:val="28"/>
          <w:szCs w:val="28"/>
          <w:highlight w:val="none"/>
        </w:rPr>
        <w:t>。附机配备必要的电缆10米。排污可自动和手动控制、远程控制。控制柜现场安装在墙上，随机配易损电气元件。</w:t>
      </w:r>
    </w:p>
    <w:p>
      <w:pPr>
        <w:tabs>
          <w:tab w:val="left" w:pos="426"/>
        </w:tabs>
        <w:ind w:left="-10" w:leftChars="-5" w:firstLine="560" w:firstLineChars="200"/>
        <w:rPr>
          <w:rFonts w:ascii="仿宋" w:hAnsi="仿宋" w:eastAsia="仿宋"/>
          <w:sz w:val="28"/>
          <w:szCs w:val="28"/>
          <w:highlight w:val="none"/>
        </w:rPr>
      </w:pPr>
      <w:r>
        <w:rPr>
          <w:rFonts w:ascii="仿宋" w:hAnsi="仿宋" w:eastAsia="仿宋"/>
          <w:sz w:val="28"/>
          <w:szCs w:val="28"/>
          <w:highlight w:val="none"/>
        </w:rPr>
        <w:t>排污阀：</w:t>
      </w:r>
      <w:r>
        <w:rPr>
          <w:rFonts w:hint="eastAsia" w:ascii="仿宋" w:hAnsi="仿宋" w:eastAsia="仿宋"/>
          <w:sz w:val="28"/>
          <w:szCs w:val="28"/>
          <w:highlight w:val="none"/>
        </w:rPr>
        <w:t>D</w:t>
      </w:r>
      <w:r>
        <w:rPr>
          <w:rFonts w:ascii="仿宋" w:hAnsi="仿宋" w:eastAsia="仿宋"/>
          <w:sz w:val="28"/>
          <w:szCs w:val="28"/>
          <w:highlight w:val="none"/>
        </w:rPr>
        <w:t>N50涡轮蝶阀和电动蝶阀（各</w:t>
      </w:r>
      <w:r>
        <w:rPr>
          <w:rFonts w:hint="eastAsia" w:ascii="仿宋" w:hAnsi="仿宋" w:eastAsia="仿宋"/>
          <w:sz w:val="28"/>
          <w:szCs w:val="28"/>
          <w:highlight w:val="none"/>
        </w:rPr>
        <w:t>1个</w:t>
      </w:r>
      <w:r>
        <w:rPr>
          <w:rFonts w:ascii="仿宋" w:hAnsi="仿宋" w:eastAsia="仿宋"/>
          <w:sz w:val="28"/>
          <w:szCs w:val="28"/>
          <w:highlight w:val="none"/>
        </w:rPr>
        <w:t>）均要求为进口品牌，如</w:t>
      </w:r>
      <w:r>
        <w:rPr>
          <w:rFonts w:hint="eastAsia" w:ascii="仿宋" w:hAnsi="仿宋" w:eastAsia="仿宋"/>
          <w:sz w:val="28"/>
          <w:szCs w:val="28"/>
          <w:highlight w:val="none"/>
        </w:rPr>
        <w:t>E</w:t>
      </w:r>
      <w:r>
        <w:rPr>
          <w:rFonts w:ascii="仿宋" w:hAnsi="仿宋" w:eastAsia="仿宋"/>
          <w:sz w:val="28"/>
          <w:szCs w:val="28"/>
          <w:highlight w:val="none"/>
        </w:rPr>
        <w:t>BRO、BRAY、搏力谋，配进口品牌如伯纳德、罗托克、搏力谋执行器，IP65。阀门配对法兰、螺栓、垫片，</w:t>
      </w:r>
      <w:r>
        <w:rPr>
          <w:rFonts w:hint="eastAsia" w:ascii="仿宋" w:hAnsi="仿宋" w:eastAsia="仿宋"/>
          <w:sz w:val="28"/>
          <w:szCs w:val="28"/>
          <w:highlight w:val="none"/>
        </w:rPr>
        <w:t>现场安装排污管时，安装排污阀。</w:t>
      </w:r>
    </w:p>
    <w:p>
      <w:pPr>
        <w:tabs>
          <w:tab w:val="left" w:pos="426"/>
        </w:tabs>
        <w:ind w:left="-10" w:leftChars="-5" w:firstLine="560" w:firstLineChars="200"/>
        <w:rPr>
          <w:rFonts w:ascii="仿宋" w:hAnsi="仿宋" w:eastAsia="仿宋"/>
          <w:sz w:val="28"/>
          <w:szCs w:val="28"/>
          <w:highlight w:val="none"/>
        </w:rPr>
      </w:pPr>
      <w:r>
        <w:rPr>
          <w:rFonts w:ascii="仿宋" w:hAnsi="仿宋" w:eastAsia="仿宋"/>
          <w:sz w:val="28"/>
          <w:szCs w:val="28"/>
          <w:highlight w:val="none"/>
        </w:rPr>
        <w:t>配对进出口法兰(DN450,PN16)2片和螺栓、波齿垫。</w:t>
      </w:r>
    </w:p>
    <w:p>
      <w:pPr>
        <w:tabs>
          <w:tab w:val="left" w:pos="426"/>
        </w:tabs>
        <w:ind w:left="-10" w:leftChars="-5" w:firstLine="560" w:firstLineChars="200"/>
        <w:rPr>
          <w:rFonts w:ascii="仿宋" w:hAnsi="仿宋" w:eastAsia="仿宋"/>
          <w:sz w:val="28"/>
          <w:szCs w:val="28"/>
          <w:highlight w:val="none"/>
        </w:rPr>
      </w:pPr>
      <w:r>
        <w:rPr>
          <w:rFonts w:ascii="仿宋" w:hAnsi="仿宋" w:eastAsia="仿宋"/>
          <w:sz w:val="28"/>
          <w:szCs w:val="28"/>
          <w:highlight w:val="none"/>
        </w:rPr>
        <w:t>预留安装磁力棒位置，设备支撑配备焊接安装底板。</w:t>
      </w:r>
    </w:p>
    <w:p>
      <w:pPr>
        <w:tabs>
          <w:tab w:val="left" w:pos="426"/>
        </w:tabs>
        <w:ind w:left="-10" w:leftChars="-5" w:firstLine="560" w:firstLineChars="200"/>
        <w:rPr>
          <w:rFonts w:ascii="仿宋" w:hAnsi="仿宋" w:eastAsia="仿宋"/>
          <w:sz w:val="28"/>
          <w:szCs w:val="28"/>
          <w:highlight w:val="none"/>
        </w:rPr>
      </w:pPr>
      <w:r>
        <w:rPr>
          <w:rFonts w:ascii="仿宋" w:hAnsi="仿宋" w:eastAsia="仿宋"/>
          <w:sz w:val="28"/>
          <w:szCs w:val="28"/>
          <w:highlight w:val="none"/>
        </w:rPr>
        <w:t>粗过滤器进出口压力表（</w:t>
      </w:r>
      <w:r>
        <w:rPr>
          <w:rFonts w:hint="eastAsia" w:ascii="仿宋" w:hAnsi="仿宋" w:eastAsia="仿宋"/>
          <w:sz w:val="28"/>
          <w:szCs w:val="28"/>
          <w:highlight w:val="none"/>
        </w:rPr>
        <w:t>2个）</w:t>
      </w:r>
      <w:r>
        <w:rPr>
          <w:rFonts w:ascii="仿宋" w:hAnsi="仿宋" w:eastAsia="仿宋"/>
          <w:sz w:val="28"/>
          <w:szCs w:val="28"/>
          <w:highlight w:val="none"/>
        </w:rPr>
        <w:t>、接管、压力开关（</w:t>
      </w:r>
      <w:r>
        <w:rPr>
          <w:rFonts w:hint="eastAsia" w:ascii="仿宋" w:hAnsi="仿宋" w:eastAsia="仿宋"/>
          <w:sz w:val="28"/>
          <w:szCs w:val="28"/>
          <w:highlight w:val="none"/>
        </w:rPr>
        <w:t>1个</w:t>
      </w:r>
      <w:r>
        <w:rPr>
          <w:rFonts w:ascii="仿宋" w:hAnsi="仿宋" w:eastAsia="仿宋"/>
          <w:sz w:val="28"/>
          <w:szCs w:val="28"/>
          <w:highlight w:val="none"/>
        </w:rPr>
        <w:t>）及连接控制箱电缆（约</w:t>
      </w:r>
      <w:r>
        <w:rPr>
          <w:rFonts w:hint="eastAsia" w:ascii="仿宋" w:hAnsi="仿宋" w:eastAsia="仿宋"/>
          <w:sz w:val="28"/>
          <w:szCs w:val="28"/>
          <w:highlight w:val="none"/>
        </w:rPr>
        <w:t>5m</w:t>
      </w:r>
      <w:r>
        <w:rPr>
          <w:rFonts w:ascii="仿宋" w:hAnsi="仿宋" w:eastAsia="仿宋"/>
          <w:sz w:val="28"/>
          <w:szCs w:val="28"/>
          <w:highlight w:val="none"/>
        </w:rPr>
        <w:t>）</w:t>
      </w:r>
    </w:p>
    <w:p>
      <w:pPr>
        <w:pStyle w:val="16"/>
        <w:numPr>
          <w:ilvl w:val="0"/>
          <w:numId w:val="19"/>
        </w:numPr>
        <w:tabs>
          <w:tab w:val="left" w:pos="426"/>
        </w:tabs>
        <w:ind w:left="567" w:hanging="567" w:firstLineChars="0"/>
        <w:rPr>
          <w:rFonts w:ascii="仿宋" w:hAnsi="仿宋" w:eastAsia="仿宋"/>
          <w:sz w:val="28"/>
          <w:szCs w:val="28"/>
          <w:highlight w:val="none"/>
        </w:rPr>
      </w:pPr>
      <w:r>
        <w:rPr>
          <w:rFonts w:ascii="仿宋" w:hAnsi="仿宋" w:eastAsia="仿宋"/>
          <w:sz w:val="28"/>
          <w:szCs w:val="28"/>
          <w:highlight w:val="none"/>
        </w:rPr>
        <w:t>设备安装位置和空间限制</w:t>
      </w:r>
    </w:p>
    <w:p>
      <w:pPr>
        <w:tabs>
          <w:tab w:val="left" w:pos="426"/>
        </w:tabs>
        <w:ind w:firstLine="560" w:firstLineChars="200"/>
        <w:rPr>
          <w:rFonts w:ascii="仿宋" w:hAnsi="仿宋" w:eastAsia="仿宋"/>
          <w:sz w:val="28"/>
          <w:szCs w:val="28"/>
          <w:highlight w:val="none"/>
        </w:rPr>
      </w:pPr>
      <w:r>
        <w:rPr>
          <w:rFonts w:ascii="仿宋" w:hAnsi="仿宋" w:eastAsia="仿宋"/>
          <w:sz w:val="28"/>
          <w:szCs w:val="28"/>
          <w:highlight w:val="none"/>
        </w:rPr>
        <w:t>安装地点：科学中心地下室热交换站，房间高度</w:t>
      </w:r>
      <w:r>
        <w:rPr>
          <w:rFonts w:hint="eastAsia" w:ascii="仿宋" w:hAnsi="仿宋" w:eastAsia="仿宋"/>
          <w:sz w:val="28"/>
          <w:szCs w:val="28"/>
          <w:highlight w:val="none"/>
        </w:rPr>
        <w:t>3.</w:t>
      </w:r>
      <w:r>
        <w:rPr>
          <w:rFonts w:ascii="仿宋" w:hAnsi="仿宋" w:eastAsia="仿宋"/>
          <w:sz w:val="28"/>
          <w:szCs w:val="28"/>
          <w:highlight w:val="none"/>
        </w:rPr>
        <w:t>95m，房间门宽</w:t>
      </w:r>
      <w:r>
        <w:rPr>
          <w:rFonts w:hint="eastAsia" w:ascii="仿宋" w:hAnsi="仿宋" w:eastAsia="仿宋"/>
          <w:sz w:val="28"/>
          <w:szCs w:val="28"/>
          <w:highlight w:val="none"/>
        </w:rPr>
        <w:t>1.</w:t>
      </w:r>
      <w:r>
        <w:rPr>
          <w:rFonts w:ascii="仿宋" w:hAnsi="仿宋" w:eastAsia="仿宋"/>
          <w:sz w:val="28"/>
          <w:szCs w:val="28"/>
          <w:highlight w:val="none"/>
        </w:rPr>
        <w:t>3m</w:t>
      </w:r>
      <w:r>
        <w:rPr>
          <w:rFonts w:hint="eastAsia" w:ascii="仿宋" w:hAnsi="仿宋" w:eastAsia="仿宋"/>
          <w:sz w:val="28"/>
          <w:szCs w:val="28"/>
          <w:highlight w:val="none"/>
        </w:rPr>
        <w:t xml:space="preserve">。 </w:t>
      </w:r>
    </w:p>
    <w:p>
      <w:pPr>
        <w:tabs>
          <w:tab w:val="left" w:pos="426"/>
        </w:tabs>
        <w:ind w:firstLine="560" w:firstLineChars="200"/>
        <w:rPr>
          <w:rFonts w:ascii="仿宋" w:hAnsi="仿宋" w:eastAsia="仿宋"/>
          <w:sz w:val="28"/>
          <w:szCs w:val="28"/>
          <w:highlight w:val="none"/>
        </w:rPr>
      </w:pPr>
      <w:r>
        <w:rPr>
          <w:rFonts w:ascii="仿宋" w:hAnsi="仿宋" w:eastAsia="仿宋"/>
          <w:sz w:val="28"/>
          <w:szCs w:val="28"/>
          <w:highlight w:val="none"/>
        </w:rPr>
        <w:t>设备装配考虑现场拆卸</w:t>
      </w:r>
      <w:r>
        <w:rPr>
          <w:rFonts w:hint="eastAsia" w:ascii="仿宋" w:hAnsi="仿宋" w:eastAsia="仿宋"/>
          <w:sz w:val="28"/>
          <w:szCs w:val="28"/>
          <w:highlight w:val="none"/>
        </w:rPr>
        <w:t>法兰检查和更换滤网</w:t>
      </w: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预留一定空间以便于维修</w:t>
      </w:r>
      <w:r>
        <w:rPr>
          <w:rFonts w:hint="eastAsia" w:ascii="仿宋" w:hAnsi="仿宋" w:eastAsia="仿宋"/>
          <w:sz w:val="28"/>
          <w:szCs w:val="28"/>
          <w:highlight w:val="none"/>
        </w:rPr>
        <w:t xml:space="preserve">。 </w:t>
      </w:r>
    </w:p>
    <w:p>
      <w:pPr>
        <w:pStyle w:val="16"/>
        <w:numPr>
          <w:ilvl w:val="0"/>
          <w:numId w:val="19"/>
        </w:numPr>
        <w:tabs>
          <w:tab w:val="left" w:pos="426"/>
        </w:tabs>
        <w:ind w:left="567" w:hanging="567" w:firstLineChars="0"/>
        <w:rPr>
          <w:rFonts w:ascii="仿宋" w:hAnsi="仿宋" w:eastAsia="仿宋"/>
          <w:sz w:val="28"/>
          <w:szCs w:val="28"/>
          <w:highlight w:val="none"/>
        </w:rPr>
      </w:pPr>
      <w:r>
        <w:rPr>
          <w:rFonts w:ascii="仿宋" w:hAnsi="仿宋" w:eastAsia="仿宋"/>
          <w:sz w:val="28"/>
          <w:szCs w:val="28"/>
          <w:highlight w:val="none"/>
        </w:rPr>
        <w:t>资料交付</w:t>
      </w:r>
    </w:p>
    <w:p>
      <w:pPr>
        <w:tabs>
          <w:tab w:val="left" w:pos="567"/>
        </w:tabs>
        <w:ind w:firstLine="560" w:firstLineChars="200"/>
        <w:rPr>
          <w:rFonts w:ascii="仿宋" w:hAnsi="仿宋" w:eastAsia="仿宋"/>
          <w:sz w:val="28"/>
          <w:szCs w:val="28"/>
          <w:highlight w:val="none"/>
        </w:rPr>
      </w:pPr>
      <w:r>
        <w:rPr>
          <w:rFonts w:ascii="仿宋" w:hAnsi="仿宋" w:eastAsia="仿宋"/>
          <w:sz w:val="28"/>
          <w:szCs w:val="28"/>
          <w:highlight w:val="none"/>
        </w:rPr>
        <w:t>投标报价时，</w:t>
      </w:r>
      <w:r>
        <w:rPr>
          <w:rFonts w:ascii="仿宋" w:hAnsi="仿宋" w:eastAsia="仿宋"/>
          <w:b/>
          <w:bCs/>
          <w:sz w:val="28"/>
          <w:szCs w:val="28"/>
          <w:highlight w:val="none"/>
        </w:rPr>
        <w:t>附上设备装配图、外形图，列明安装滤网的规格、数量及设备元件清单、设备制造材料清单、易损件清单（滤网</w:t>
      </w:r>
      <w:r>
        <w:rPr>
          <w:rFonts w:hint="eastAsia" w:ascii="仿宋" w:hAnsi="仿宋" w:eastAsia="仿宋"/>
          <w:b/>
          <w:bCs/>
          <w:sz w:val="28"/>
          <w:szCs w:val="28"/>
          <w:highlight w:val="none"/>
        </w:rPr>
        <w:t>2</w:t>
      </w:r>
      <w:r>
        <w:rPr>
          <w:rFonts w:ascii="仿宋" w:hAnsi="仿宋" w:eastAsia="仿宋"/>
          <w:b/>
          <w:bCs/>
          <w:sz w:val="28"/>
          <w:szCs w:val="28"/>
          <w:highlight w:val="none"/>
        </w:rPr>
        <w:t>支，电气元件若干）。</w:t>
      </w:r>
    </w:p>
    <w:p>
      <w:pPr>
        <w:tabs>
          <w:tab w:val="left" w:pos="567"/>
        </w:tabs>
        <w:ind w:firstLine="560" w:firstLineChars="200"/>
        <w:rPr>
          <w:rFonts w:ascii="仿宋" w:hAnsi="仿宋" w:eastAsia="仿宋"/>
          <w:sz w:val="28"/>
          <w:szCs w:val="28"/>
          <w:highlight w:val="none"/>
        </w:rPr>
      </w:pPr>
      <w:r>
        <w:rPr>
          <w:rFonts w:ascii="仿宋" w:hAnsi="仿宋" w:eastAsia="仿宋"/>
          <w:sz w:val="28"/>
          <w:szCs w:val="28"/>
          <w:highlight w:val="none"/>
        </w:rPr>
        <w:t>合同签订两周内，</w:t>
      </w:r>
      <w:r>
        <w:rPr>
          <w:rFonts w:hint="eastAsia" w:ascii="仿宋" w:hAnsi="仿宋" w:eastAsia="仿宋"/>
          <w:sz w:val="28"/>
          <w:szCs w:val="28"/>
          <w:highlight w:val="none"/>
        </w:rPr>
        <w:t>提交设备的设计﹑制造﹑装配﹑安装﹑调试﹑试运﹑验收﹑试验﹑运行和维护等标准清单，</w:t>
      </w:r>
      <w:r>
        <w:rPr>
          <w:rFonts w:ascii="仿宋" w:hAnsi="仿宋" w:eastAsia="仿宋"/>
          <w:sz w:val="28"/>
          <w:szCs w:val="28"/>
          <w:highlight w:val="none"/>
        </w:rPr>
        <w:t>资料格式为</w:t>
      </w:r>
      <w:r>
        <w:rPr>
          <w:rFonts w:hint="eastAsia" w:ascii="仿宋" w:hAnsi="仿宋" w:eastAsia="仿宋"/>
          <w:sz w:val="28"/>
          <w:szCs w:val="28"/>
          <w:highlight w:val="none"/>
        </w:rPr>
        <w:t>DWG和PDF、Word。设备交付时，随机资料包含：设备外形图、</w:t>
      </w:r>
      <w:r>
        <w:rPr>
          <w:rFonts w:hint="eastAsia" w:ascii="仿宋" w:hAnsi="仿宋" w:eastAsia="仿宋"/>
          <w:b/>
          <w:sz w:val="28"/>
          <w:szCs w:val="28"/>
          <w:highlight w:val="none"/>
        </w:rPr>
        <w:t>装配图</w:t>
      </w:r>
      <w:r>
        <w:rPr>
          <w:rFonts w:hint="eastAsia" w:ascii="仿宋" w:hAnsi="仿宋" w:eastAsia="仿宋"/>
          <w:sz w:val="28"/>
          <w:szCs w:val="28"/>
          <w:highlight w:val="none"/>
        </w:rPr>
        <w:t>、维护手册、</w:t>
      </w:r>
      <w:r>
        <w:rPr>
          <w:rFonts w:hint="eastAsia" w:ascii="仿宋" w:hAnsi="仿宋" w:eastAsia="仿宋"/>
          <w:b/>
          <w:sz w:val="28"/>
          <w:szCs w:val="28"/>
          <w:highlight w:val="none"/>
        </w:rPr>
        <w:t>电气原理图、设备耐压检验报告</w:t>
      </w:r>
      <w:r>
        <w:rPr>
          <w:rFonts w:hint="eastAsia" w:ascii="仿宋" w:hAnsi="仿宋" w:eastAsia="仿宋"/>
          <w:sz w:val="28"/>
          <w:szCs w:val="28"/>
          <w:highlight w:val="none"/>
        </w:rPr>
        <w:t>、出厂检验报告、元件清单、易损件清单，纸质和电子版各2套，同时随机配备必要的调试备件（至少</w:t>
      </w:r>
      <w:r>
        <w:rPr>
          <w:rFonts w:ascii="仿宋" w:hAnsi="仿宋" w:eastAsia="仿宋"/>
          <w:sz w:val="28"/>
          <w:szCs w:val="28"/>
          <w:highlight w:val="none"/>
        </w:rPr>
        <w:t>2</w:t>
      </w:r>
      <w:r>
        <w:rPr>
          <w:rFonts w:hint="eastAsia" w:ascii="仿宋" w:hAnsi="仿宋" w:eastAsia="仿宋"/>
          <w:sz w:val="28"/>
          <w:szCs w:val="28"/>
          <w:highlight w:val="none"/>
        </w:rPr>
        <w:t>支滤网和若干电器元件）。</w:t>
      </w:r>
    </w:p>
    <w:p>
      <w:pPr>
        <w:pStyle w:val="16"/>
        <w:numPr>
          <w:ilvl w:val="0"/>
          <w:numId w:val="19"/>
        </w:numPr>
        <w:tabs>
          <w:tab w:val="left" w:pos="426"/>
        </w:tabs>
        <w:ind w:left="567" w:hanging="567" w:firstLineChars="0"/>
        <w:rPr>
          <w:rFonts w:ascii="仿宋" w:hAnsi="仿宋" w:eastAsia="仿宋"/>
          <w:sz w:val="28"/>
          <w:szCs w:val="28"/>
          <w:highlight w:val="none"/>
        </w:rPr>
      </w:pPr>
      <w:r>
        <w:rPr>
          <w:rFonts w:hint="eastAsia" w:ascii="仿宋" w:hAnsi="仿宋" w:eastAsia="仿宋"/>
          <w:sz w:val="28"/>
          <w:szCs w:val="28"/>
          <w:highlight w:val="none"/>
        </w:rPr>
        <w:t>质量保证和付款条件</w:t>
      </w:r>
    </w:p>
    <w:p>
      <w:pPr>
        <w:tabs>
          <w:tab w:val="left" w:pos="567"/>
        </w:tabs>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设备投入运行后，当粗过滤器</w:t>
      </w:r>
      <w:r>
        <w:rPr>
          <w:rFonts w:hint="eastAsia" w:ascii="仿宋" w:hAnsi="仿宋" w:eastAsia="仿宋"/>
          <w:sz w:val="28"/>
          <w:szCs w:val="28"/>
          <w:highlight w:val="none"/>
        </w:rPr>
        <w:t>⑥</w:t>
      </w:r>
      <w:r>
        <w:rPr>
          <w:rFonts w:ascii="仿宋" w:hAnsi="仿宋" w:eastAsia="仿宋"/>
          <w:sz w:val="28"/>
          <w:szCs w:val="28"/>
          <w:highlight w:val="none"/>
        </w:rPr>
        <w:t>进出口水压差达到50kPa时，系统粗过滤报警，提醒清理粗过滤器滤网。</w:t>
      </w:r>
    </w:p>
    <w:p>
      <w:pPr>
        <w:tabs>
          <w:tab w:val="left" w:pos="567"/>
        </w:tabs>
        <w:spacing w:line="360" w:lineRule="auto"/>
        <w:ind w:firstLine="560" w:firstLineChars="200"/>
        <w:rPr>
          <w:rFonts w:ascii="仿宋" w:hAnsi="仿宋" w:eastAsia="仿宋"/>
          <w:sz w:val="28"/>
          <w:szCs w:val="28"/>
          <w:highlight w:val="none"/>
        </w:rPr>
      </w:pPr>
      <w:r>
        <w:rPr>
          <w:rFonts w:ascii="仿宋" w:hAnsi="仿宋" w:eastAsia="仿宋"/>
          <w:sz w:val="28"/>
          <w:szCs w:val="28"/>
          <w:highlight w:val="none"/>
        </w:rPr>
        <w:t>螺旋除污装置</w:t>
      </w:r>
      <w:r>
        <w:rPr>
          <w:rFonts w:hint="eastAsia" w:ascii="仿宋" w:hAnsi="仿宋" w:eastAsia="仿宋"/>
          <w:sz w:val="28"/>
          <w:szCs w:val="28"/>
          <w:highlight w:val="none"/>
        </w:rPr>
        <w:t>④</w:t>
      </w:r>
      <w:r>
        <w:rPr>
          <w:rFonts w:ascii="仿宋" w:hAnsi="仿宋" w:eastAsia="仿宋"/>
          <w:sz w:val="28"/>
          <w:szCs w:val="28"/>
          <w:highlight w:val="none"/>
        </w:rPr>
        <w:t>入口水中污物颗粒直径不大约</w:t>
      </w:r>
      <w:r>
        <w:rPr>
          <w:rFonts w:hint="eastAsia" w:ascii="仿宋" w:hAnsi="仿宋" w:eastAsia="仿宋"/>
          <w:sz w:val="28"/>
          <w:szCs w:val="28"/>
          <w:highlight w:val="none"/>
        </w:rPr>
        <w:t>3.</w:t>
      </w:r>
      <w:r>
        <w:rPr>
          <w:rFonts w:ascii="仿宋" w:hAnsi="仿宋" w:eastAsia="仿宋"/>
          <w:sz w:val="28"/>
          <w:szCs w:val="28"/>
          <w:highlight w:val="none"/>
        </w:rPr>
        <w:t>15mm，设备投入运行验收周期为</w:t>
      </w:r>
      <w:r>
        <w:rPr>
          <w:rFonts w:hint="eastAsia" w:ascii="仿宋" w:hAnsi="仿宋" w:eastAsia="仿宋"/>
          <w:sz w:val="28"/>
          <w:szCs w:val="28"/>
          <w:highlight w:val="none"/>
        </w:rPr>
        <w:t>45天，设备排污口每隔5天取样，单台样本数不少于10个。验收周期（45天）内，系统运行无渗漏，无需拆卸维修，压损不大于20KPa。取样时，</w:t>
      </w:r>
      <w:r>
        <w:rPr>
          <w:rFonts w:ascii="仿宋" w:hAnsi="仿宋" w:eastAsia="仿宋"/>
          <w:sz w:val="28"/>
          <w:szCs w:val="28"/>
          <w:highlight w:val="none"/>
        </w:rPr>
        <w:t>人工手动打开螺旋除污装置排污口（自动排污功能关闭），取样20升，待水样静置10小时后，观察及检测底部沉淀物成分，沉淀物为泥状物、锈蚀物、焊渣、沙石等，且颗粒直径大部分小于3.15mm。</w:t>
      </w:r>
    </w:p>
    <w:p>
      <w:pPr>
        <w:tabs>
          <w:tab w:val="left" w:pos="567"/>
        </w:tabs>
        <w:ind w:firstLine="560" w:firstLineChars="200"/>
        <w:rPr>
          <w:rFonts w:ascii="仿宋" w:hAnsi="仿宋" w:eastAsia="仿宋"/>
          <w:sz w:val="28"/>
          <w:szCs w:val="28"/>
          <w:highlight w:val="none"/>
        </w:rPr>
      </w:pPr>
    </w:p>
    <w:p>
      <w:pPr>
        <w:widowControl/>
        <w:jc w:val="left"/>
        <w:rPr>
          <w:rFonts w:hAnsi="宋体"/>
          <w:highlight w:val="none"/>
        </w:rPr>
      </w:pPr>
      <w:r>
        <w:rPr>
          <w:rFonts w:ascii="宋体" w:hAnsi="宋体"/>
          <w:sz w:val="32"/>
          <w:highlight w:val="none"/>
        </w:rPr>
        <w:br w:type="page"/>
      </w:r>
      <w:r>
        <w:rPr>
          <w:rFonts w:hint="eastAsia" w:ascii="宋体" w:hAnsi="宋体"/>
          <w:sz w:val="32"/>
          <w:highlight w:val="none"/>
        </w:rPr>
        <w:t>附件2</w:t>
      </w:r>
    </w:p>
    <w:p>
      <w:pPr>
        <w:spacing w:line="360" w:lineRule="auto"/>
        <w:jc w:val="center"/>
        <w:rPr>
          <w:rFonts w:ascii="宋体" w:hAnsi="宋体"/>
          <w:sz w:val="32"/>
          <w:highlight w:val="none"/>
        </w:rPr>
      </w:pPr>
      <w:r>
        <w:rPr>
          <w:rFonts w:hint="eastAsia" w:ascii="宋体" w:hAnsi="宋体"/>
          <w:sz w:val="32"/>
          <w:highlight w:val="none"/>
        </w:rPr>
        <w:t>报价明细表</w:t>
      </w:r>
    </w:p>
    <w:p>
      <w:pPr>
        <w:spacing w:line="360" w:lineRule="auto"/>
        <w:rPr>
          <w:rFonts w:ascii="宋体" w:hAnsi="宋体"/>
          <w:highlight w:val="none"/>
        </w:rPr>
      </w:pPr>
      <w:r>
        <w:rPr>
          <w:rFonts w:hint="eastAsia" w:ascii="宋体" w:hAnsi="宋体"/>
          <w:highlight w:val="none"/>
        </w:rPr>
        <w:t>项目名称：</w:t>
      </w:r>
      <w:r>
        <w:rPr>
          <w:rFonts w:hint="eastAsia" w:ascii="宋体" w:hAnsi="宋体"/>
          <w:sz w:val="24"/>
          <w:highlight w:val="none"/>
        </w:rPr>
        <w:t>科学中心冷冻水质改善配套高精度过滤器采购</w:t>
      </w:r>
    </w:p>
    <w:p>
      <w:pPr>
        <w:spacing w:line="360" w:lineRule="auto"/>
        <w:rPr>
          <w:highlight w:val="none"/>
        </w:rPr>
      </w:pPr>
      <w:r>
        <w:rPr>
          <w:rFonts w:hint="eastAsia" w:ascii="宋体" w:hAnsi="宋体"/>
          <w:highlight w:val="none"/>
        </w:rPr>
        <w:t xml:space="preserve">          </w:t>
      </w:r>
    </w:p>
    <w:tbl>
      <w:tblPr>
        <w:tblStyle w:val="11"/>
        <w:tblW w:w="8296" w:type="dxa"/>
        <w:tblInd w:w="0" w:type="dxa"/>
        <w:tblLayout w:type="fixed"/>
        <w:tblCellMar>
          <w:top w:w="0" w:type="dxa"/>
          <w:left w:w="108" w:type="dxa"/>
          <w:bottom w:w="0" w:type="dxa"/>
          <w:right w:w="108" w:type="dxa"/>
        </w:tblCellMar>
      </w:tblPr>
      <w:tblGrid>
        <w:gridCol w:w="533"/>
        <w:gridCol w:w="1120"/>
        <w:gridCol w:w="1100"/>
        <w:gridCol w:w="329"/>
        <w:gridCol w:w="564"/>
        <w:gridCol w:w="491"/>
        <w:gridCol w:w="826"/>
        <w:gridCol w:w="1099"/>
        <w:gridCol w:w="556"/>
        <w:gridCol w:w="826"/>
        <w:gridCol w:w="823"/>
        <w:gridCol w:w="29"/>
      </w:tblGrid>
      <w:tr>
        <w:tblPrEx>
          <w:tblLayout w:type="fixed"/>
          <w:tblCellMar>
            <w:top w:w="0" w:type="dxa"/>
            <w:left w:w="108" w:type="dxa"/>
            <w:bottom w:w="0" w:type="dxa"/>
            <w:right w:w="108" w:type="dxa"/>
          </w:tblCellMar>
        </w:tblPrEx>
        <w:trPr>
          <w:trHeight w:val="675" w:hRule="atLeast"/>
        </w:trPr>
        <w:tc>
          <w:tcPr>
            <w:tcW w:w="53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112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名称</w:t>
            </w: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含税单价（元）</w:t>
            </w:r>
          </w:p>
        </w:tc>
        <w:tc>
          <w:tcPr>
            <w:tcW w:w="1099"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含税金额（元）</w:t>
            </w: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税率</w:t>
            </w: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货期</w:t>
            </w:r>
          </w:p>
        </w:tc>
        <w:tc>
          <w:tcPr>
            <w:tcW w:w="85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质保期</w:t>
            </w: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trHeight w:val="20" w:hRule="atLeast"/>
        </w:trPr>
        <w:tc>
          <w:tcPr>
            <w:tcW w:w="2753" w:type="dxa"/>
            <w:gridSpan w:val="3"/>
            <w:tcBorders>
              <w:top w:val="nil"/>
              <w:left w:val="single" w:color="auto" w:sz="4" w:space="0"/>
              <w:bottom w:val="single" w:color="auto" w:sz="4" w:space="0"/>
              <w:right w:val="single" w:color="auto" w:sz="4" w:space="0"/>
              <w:tl2br w:val="nil"/>
              <w:tr2bl w:val="nil"/>
            </w:tcBorders>
            <w:shd w:val="clear" w:color="auto" w:fill="auto"/>
            <w:vAlign w:val="center"/>
          </w:tcPr>
          <w:p>
            <w:pPr>
              <w:widowControl/>
              <w:jc w:val="center"/>
              <w:rPr>
                <w:rFonts w:ascii="宋体" w:hAnsi="宋体"/>
                <w:kern w:val="0"/>
                <w:sz w:val="24"/>
                <w:highlight w:val="none"/>
              </w:rPr>
            </w:pPr>
            <w:r>
              <w:rPr>
                <w:rFonts w:hint="eastAsia" w:ascii="宋体" w:hAnsi="宋体"/>
                <w:kern w:val="0"/>
                <w:sz w:val="24"/>
                <w:highlight w:val="none"/>
              </w:rPr>
              <w:t>合计</w:t>
            </w:r>
          </w:p>
        </w:tc>
        <w:tc>
          <w:tcPr>
            <w:tcW w:w="5543" w:type="dxa"/>
            <w:gridSpan w:val="9"/>
            <w:tcBorders>
              <w:top w:val="nil"/>
              <w:left w:val="nil"/>
              <w:bottom w:val="single" w:color="auto" w:sz="4" w:space="0"/>
              <w:right w:val="single" w:color="auto" w:sz="4" w:space="0"/>
              <w:tl2br w:val="nil"/>
              <w:tr2bl w:val="nil"/>
            </w:tcBorders>
            <w:shd w:val="clear" w:color="000000" w:fill="FFFFFF"/>
            <w:vAlign w:val="center"/>
          </w:tcPr>
          <w:p>
            <w:pPr>
              <w:widowControl/>
              <w:jc w:val="left"/>
              <w:rPr>
                <w:rFonts w:ascii="宋体" w:hAnsi="宋体"/>
                <w:kern w:val="0"/>
                <w:sz w:val="24"/>
                <w:highlight w:val="none"/>
              </w:rPr>
            </w:pPr>
            <w:r>
              <w:rPr>
                <w:rFonts w:hint="eastAsia" w:ascii="宋体" w:hAnsi="宋体"/>
                <w:kern w:val="0"/>
                <w:sz w:val="24"/>
                <w:highlight w:val="none"/>
              </w:rPr>
              <w:t>未含税：</w:t>
            </w:r>
          </w:p>
          <w:p>
            <w:pPr>
              <w:widowControl/>
              <w:jc w:val="left"/>
              <w:rPr>
                <w:rFonts w:ascii="宋体" w:hAnsi="宋体"/>
                <w:kern w:val="0"/>
                <w:sz w:val="24"/>
                <w:highlight w:val="none"/>
              </w:rPr>
            </w:pPr>
            <w:r>
              <w:rPr>
                <w:rFonts w:hint="eastAsia" w:ascii="宋体" w:hAnsi="宋体"/>
                <w:kern w:val="0"/>
                <w:sz w:val="24"/>
                <w:highlight w:val="none"/>
              </w:rPr>
              <w:t>含税：</w:t>
            </w:r>
          </w:p>
        </w:tc>
      </w:tr>
    </w:tbl>
    <w:p>
      <w:pPr>
        <w:spacing w:line="360" w:lineRule="auto"/>
        <w:rPr>
          <w:sz w:val="24"/>
          <w:highlight w:val="none"/>
        </w:rPr>
      </w:pPr>
      <w:r>
        <w:rPr>
          <w:rFonts w:hint="eastAsia"/>
          <w:sz w:val="24"/>
          <w:highlight w:val="none"/>
        </w:rPr>
        <w:t>说明：</w:t>
      </w:r>
    </w:p>
    <w:p>
      <w:pPr>
        <w:widowControl/>
        <w:numPr>
          <w:ilvl w:val="0"/>
          <w:numId w:val="23"/>
        </w:numPr>
        <w:spacing w:line="360" w:lineRule="auto"/>
        <w:jc w:val="left"/>
        <w:rPr>
          <w:rFonts w:ascii="宋体" w:hAnsi="宋体"/>
          <w:b/>
          <w:kern w:val="0"/>
          <w:sz w:val="24"/>
          <w:highlight w:val="none"/>
        </w:rPr>
      </w:pPr>
      <w:r>
        <w:rPr>
          <w:rFonts w:hint="eastAsia" w:ascii="宋体" w:hAnsi="宋体"/>
          <w:kern w:val="0"/>
          <w:sz w:val="24"/>
          <w:highlight w:val="none"/>
        </w:rPr>
        <w:t>投标报价为人民币报价。</w:t>
      </w:r>
    </w:p>
    <w:p>
      <w:pPr>
        <w:widowControl/>
        <w:numPr>
          <w:ilvl w:val="0"/>
          <w:numId w:val="23"/>
        </w:numPr>
        <w:spacing w:line="360" w:lineRule="auto"/>
        <w:jc w:val="left"/>
        <w:rPr>
          <w:rFonts w:ascii="宋体" w:hAnsi="宋体"/>
          <w:sz w:val="24"/>
          <w:highlight w:val="none"/>
        </w:rPr>
      </w:pPr>
      <w:r>
        <w:rPr>
          <w:rFonts w:hint="eastAsia" w:ascii="宋体" w:hAnsi="宋体"/>
          <w:sz w:val="24"/>
          <w:highlight w:val="none"/>
        </w:rPr>
        <w:t>本</w:t>
      </w:r>
      <w:r>
        <w:rPr>
          <w:rFonts w:hint="eastAsia" w:ascii="宋体" w:hAnsi="宋体"/>
          <w:kern w:val="0"/>
          <w:sz w:val="24"/>
          <w:highlight w:val="none"/>
        </w:rPr>
        <w:t>项目</w:t>
      </w:r>
      <w:r>
        <w:rPr>
          <w:rFonts w:hint="eastAsia" w:ascii="宋体" w:hAnsi="宋体"/>
          <w:sz w:val="24"/>
          <w:highlight w:val="none"/>
        </w:rPr>
        <w:t>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包装运输至交货地（含装卸）、试运行、厂家技术支持、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，采购人有权根据实际情况调整采购数量。</w:t>
      </w:r>
    </w:p>
    <w:p>
      <w:pPr>
        <w:widowControl/>
        <w:numPr>
          <w:ilvl w:val="0"/>
          <w:numId w:val="23"/>
        </w:numPr>
        <w:spacing w:line="360" w:lineRule="auto"/>
        <w:jc w:val="left"/>
        <w:rPr>
          <w:rFonts w:ascii="宋体" w:hAnsi="宋体"/>
          <w:sz w:val="24"/>
          <w:highlight w:val="none"/>
        </w:rPr>
      </w:pPr>
      <w:r>
        <w:rPr>
          <w:rFonts w:hint="eastAsia" w:ascii="宋体" w:hAnsi="宋体"/>
          <w:sz w:val="24"/>
          <w:highlight w:val="none"/>
        </w:rPr>
        <w:t>本表中所有项目的价格必须填写（不能空白）。</w:t>
      </w:r>
    </w:p>
    <w:p>
      <w:pPr>
        <w:widowControl/>
        <w:numPr>
          <w:ilvl w:val="0"/>
          <w:numId w:val="23"/>
        </w:numPr>
        <w:spacing w:line="360" w:lineRule="auto"/>
        <w:jc w:val="left"/>
        <w:rPr>
          <w:rFonts w:ascii="宋体" w:hAnsi="宋体"/>
          <w:sz w:val="24"/>
          <w:highlight w:val="none"/>
        </w:rPr>
      </w:pPr>
      <w:r>
        <w:rPr>
          <w:rFonts w:hint="eastAsia" w:ascii="宋体" w:hAnsi="宋体"/>
          <w:sz w:val="24"/>
          <w:highlight w:val="none"/>
        </w:rPr>
        <w:t>总价金额与分项报价汇总金额或者单价汇总金额不一致的，按就低不就高原则修正金额。</w:t>
      </w:r>
    </w:p>
    <w:p>
      <w:pPr>
        <w:spacing w:line="360" w:lineRule="auto"/>
        <w:jc w:val="left"/>
        <w:rPr>
          <w:sz w:val="24"/>
          <w:highlight w:val="none"/>
        </w:rPr>
      </w:pPr>
      <w:r>
        <w:rPr>
          <w:rFonts w:hint="eastAsia"/>
          <w:sz w:val="24"/>
          <w:highlight w:val="none"/>
        </w:rPr>
        <w:t>供应商名称：（盖章）</w:t>
      </w:r>
    </w:p>
    <w:p>
      <w:pPr>
        <w:spacing w:line="360" w:lineRule="auto"/>
        <w:jc w:val="left"/>
        <w:rPr>
          <w:sz w:val="24"/>
          <w:highlight w:val="none"/>
        </w:rPr>
      </w:pPr>
      <w:r>
        <w:rPr>
          <w:rFonts w:hint="eastAsia"/>
          <w:sz w:val="24"/>
          <w:highlight w:val="none"/>
        </w:rPr>
        <w:t>报价日期：</w:t>
      </w:r>
    </w:p>
    <w:p>
      <w:pPr>
        <w:spacing w:line="360" w:lineRule="auto"/>
        <w:rPr>
          <w:rFonts w:ascii="宋体" w:hAnsi="宋体"/>
          <w:sz w:val="24"/>
          <w:highlight w:val="none"/>
        </w:rPr>
      </w:pPr>
      <w:r>
        <w:rPr>
          <w:rFonts w:hint="eastAsia"/>
          <w:sz w:val="24"/>
          <w:highlight w:val="none"/>
        </w:rPr>
        <w:t>报价有效期：</w:t>
      </w:r>
    </w:p>
    <w:p>
      <w:pPr>
        <w:widowControl/>
        <w:jc w:val="left"/>
        <w:rPr>
          <w:rFonts w:ascii="宋体" w:hAnsi="宋体"/>
          <w:sz w:val="32"/>
          <w:highlight w:val="none"/>
        </w:rPr>
      </w:pPr>
      <w:r>
        <w:rPr>
          <w:rFonts w:hint="eastAsia" w:ascii="宋体" w:hAnsi="宋体"/>
          <w:sz w:val="32"/>
          <w:highlight w:val="none"/>
        </w:rPr>
        <w:t>附件3</w:t>
      </w:r>
    </w:p>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编号：TZ4-23</w:t>
      </w:r>
    </w:p>
    <w:p>
      <w:pPr>
        <w:widowControl/>
        <w:jc w:val="center"/>
        <w:rPr>
          <w:rFonts w:ascii="宋体" w:hAnsi="宋体" w:eastAsia="宋体" w:cs="宋体"/>
          <w:kern w:val="0"/>
          <w:sz w:val="36"/>
          <w:szCs w:val="36"/>
          <w:highlight w:val="none"/>
        </w:rPr>
      </w:pPr>
      <w:r>
        <w:rPr>
          <w:rFonts w:hint="eastAsia" w:ascii="宋体" w:hAnsi="宋体" w:eastAsia="宋体" w:cs="宋体"/>
          <w:kern w:val="0"/>
          <w:sz w:val="36"/>
          <w:szCs w:val="36"/>
          <w:highlight w:val="none"/>
        </w:rPr>
        <w:t>供应商调查表</w:t>
      </w:r>
    </w:p>
    <w:p>
      <w:pPr>
        <w:widowControl/>
        <w:jc w:val="center"/>
        <w:rPr>
          <w:rFonts w:ascii="宋体" w:hAnsi="宋体" w:eastAsia="宋体" w:cs="宋体"/>
          <w:kern w:val="0"/>
          <w:sz w:val="24"/>
          <w:highlight w:val="none"/>
        </w:rPr>
      </w:pPr>
      <w:r>
        <w:rPr>
          <w:rFonts w:hint="eastAsia" w:ascii="宋体" w:hAnsi="宋体" w:eastAsia="宋体" w:cs="宋体"/>
          <w:kern w:val="0"/>
          <w:sz w:val="24"/>
          <w:highlight w:val="none"/>
        </w:rPr>
        <w:t>(设备材料类)</w:t>
      </w:r>
    </w:p>
    <w:p>
      <w:pPr>
        <w:widowControl/>
        <w:rPr>
          <w:rFonts w:ascii="宋体" w:hAnsi="宋体" w:eastAsia="宋体" w:cs="宋体"/>
          <w:kern w:val="0"/>
          <w:sz w:val="24"/>
          <w:highlight w:val="none"/>
        </w:rPr>
      </w:pPr>
      <w:r>
        <w:rPr>
          <w:rFonts w:hint="eastAsia" w:ascii="宋体" w:hAnsi="宋体" w:eastAsia="宋体" w:cs="宋体"/>
          <w:kern w:val="0"/>
          <w:sz w:val="24"/>
          <w:highlight w:val="none"/>
        </w:rPr>
        <w:t>项目名称：</w:t>
      </w:r>
    </w:p>
    <w:tbl>
      <w:tblPr>
        <w:tblStyle w:val="11"/>
        <w:tblW w:w="10080" w:type="dxa"/>
        <w:tblInd w:w="-792" w:type="dxa"/>
        <w:tblLayout w:type="fixed"/>
        <w:tblCellMar>
          <w:top w:w="0" w:type="dxa"/>
          <w:left w:w="108" w:type="dxa"/>
          <w:bottom w:w="0" w:type="dxa"/>
          <w:right w:w="108" w:type="dxa"/>
        </w:tblCellMar>
      </w:tblPr>
      <w:tblGrid>
        <w:gridCol w:w="1360"/>
        <w:gridCol w:w="880"/>
        <w:gridCol w:w="1240"/>
        <w:gridCol w:w="1400"/>
        <w:gridCol w:w="340"/>
        <w:gridCol w:w="880"/>
        <w:gridCol w:w="560"/>
        <w:gridCol w:w="660"/>
        <w:gridCol w:w="1300"/>
        <w:gridCol w:w="1460"/>
      </w:tblGrid>
      <w:tr>
        <w:tblPrEx>
          <w:tblLayout w:type="fixed"/>
          <w:tblCellMar>
            <w:top w:w="0" w:type="dxa"/>
            <w:left w:w="108" w:type="dxa"/>
            <w:bottom w:w="0" w:type="dxa"/>
            <w:right w:w="108" w:type="dxa"/>
          </w:tblCellMar>
        </w:tblPrEx>
        <w:trPr>
          <w:trHeight w:val="372" w:hRule="atLeast"/>
        </w:trPr>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xml:space="preserve">公司名称 </w:t>
            </w:r>
          </w:p>
        </w:tc>
        <w:tc>
          <w:tcPr>
            <w:tcW w:w="596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法人代表</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注册地址</w:t>
            </w:r>
          </w:p>
        </w:tc>
        <w:tc>
          <w:tcPr>
            <w:tcW w:w="596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邮    编</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公司成立日期</w:t>
            </w:r>
          </w:p>
        </w:tc>
        <w:tc>
          <w:tcPr>
            <w:tcW w:w="21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营业执照号码</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注册资金</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电话号码</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传真号码</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公司网页</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员工人数</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厂房面积</w:t>
            </w:r>
          </w:p>
        </w:tc>
        <w:tc>
          <w:tcPr>
            <w:tcW w:w="24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品质控制</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63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公司所有制</w:t>
            </w:r>
          </w:p>
        </w:tc>
        <w:tc>
          <w:tcPr>
            <w:tcW w:w="29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p>
        </w:tc>
        <w:tc>
          <w:tcPr>
            <w:tcW w:w="14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机构性质</w:t>
            </w:r>
          </w:p>
        </w:tc>
        <w:tc>
          <w:tcPr>
            <w:tcW w:w="34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p>
        </w:tc>
      </w:tr>
      <w:tr>
        <w:tblPrEx>
          <w:tblLayout w:type="fixed"/>
          <w:tblCellMar>
            <w:top w:w="0" w:type="dxa"/>
            <w:left w:w="108" w:type="dxa"/>
            <w:bottom w:w="0" w:type="dxa"/>
            <w:right w:w="108" w:type="dxa"/>
          </w:tblCellMar>
        </w:tblPrEx>
        <w:trPr>
          <w:trHeight w:val="3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供应商性质</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 品牌公司     □ 总代理    □ 省级代理     □ 市级代理     □ 经销商</w:t>
            </w:r>
          </w:p>
        </w:tc>
      </w:tr>
      <w:tr>
        <w:tblPrEx>
          <w:tblLayout w:type="fixed"/>
          <w:tblCellMar>
            <w:top w:w="0" w:type="dxa"/>
            <w:left w:w="108" w:type="dxa"/>
            <w:bottom w:w="0" w:type="dxa"/>
            <w:right w:w="108" w:type="dxa"/>
          </w:tblCellMar>
        </w:tblPrEx>
        <w:trPr>
          <w:trHeight w:val="607"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营业范围</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108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主要经营(代理)设备或产品</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4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主营市场</w:t>
            </w:r>
          </w:p>
        </w:tc>
        <w:tc>
          <w:tcPr>
            <w:tcW w:w="26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24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主要客户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年销售额（过去三年）</w:t>
            </w:r>
          </w:p>
        </w:tc>
        <w:tc>
          <w:tcPr>
            <w:tcW w:w="124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4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c>
          <w:tcPr>
            <w:tcW w:w="1220"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c>
          <w:tcPr>
            <w:tcW w:w="130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4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r>
      <w:tr>
        <w:tblPrEx>
          <w:tblLayout w:type="fixed"/>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开户银行</w:t>
            </w:r>
          </w:p>
        </w:tc>
        <w:tc>
          <w:tcPr>
            <w:tcW w:w="26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24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银行帐号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bCs/>
                <w:kern w:val="0"/>
                <w:szCs w:val="21"/>
                <w:highlight w:val="none"/>
              </w:rPr>
              <w:t>联系人</w:t>
            </w:r>
            <w:r>
              <w:rPr>
                <w:rFonts w:hint="eastAsia" w:ascii="宋体" w:hAnsi="宋体" w:eastAsia="宋体" w:cs="宋体"/>
                <w:kern w:val="0"/>
                <w:szCs w:val="21"/>
                <w:highlight w:val="none"/>
              </w:rPr>
              <w:t>姓名</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性别</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职务/职别</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部门</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办公电话</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手机</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传真</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电子邮箱</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008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是否获得质量保证 / 质量控制体系认征.请提供证书复印件</w:t>
            </w:r>
          </w:p>
        </w:tc>
      </w:tr>
      <w:tr>
        <w:tblPrEx>
          <w:tblLayout w:type="fixed"/>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ISO 9001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是</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否</w:t>
            </w:r>
          </w:p>
        </w:tc>
        <w:tc>
          <w:tcPr>
            <w:tcW w:w="24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ISO 14001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是</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否</w:t>
            </w:r>
          </w:p>
        </w:tc>
      </w:tr>
      <w:tr>
        <w:tblPrEx>
          <w:tblLayout w:type="fixed"/>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其它</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序号</w:t>
            </w:r>
          </w:p>
        </w:tc>
        <w:tc>
          <w:tcPr>
            <w:tcW w:w="47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资质证书名称</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认证范围</w:t>
            </w:r>
            <w:r>
              <w:rPr>
                <w:rFonts w:hint="eastAsia" w:ascii="宋体" w:hAnsi="宋体" w:eastAsia="宋体" w:cs="宋体"/>
                <w:bCs/>
                <w:kern w:val="0"/>
                <w:szCs w:val="21"/>
                <w:highlight w:val="none"/>
              </w:rPr>
              <w:t>（国/省/市）</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47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47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465" w:hRule="atLeast"/>
        </w:trPr>
        <w:tc>
          <w:tcPr>
            <w:tcW w:w="10080" w:type="dxa"/>
            <w:gridSpan w:val="10"/>
            <w:tcBorders>
              <w:top w:val="nil"/>
              <w:left w:val="nil"/>
              <w:bottom w:val="nil"/>
              <w:right w:val="nil"/>
            </w:tcBorders>
            <w:shd w:val="clear" w:color="auto" w:fill="auto"/>
            <w:vAlign w:val="center"/>
          </w:tcPr>
          <w:p>
            <w:pPr>
              <w:widowControl/>
              <w:rPr>
                <w:rFonts w:ascii="宋体" w:hAnsi="宋体" w:eastAsia="宋体" w:cs="宋体"/>
                <w:kern w:val="0"/>
                <w:szCs w:val="21"/>
                <w:highlight w:val="none"/>
              </w:rPr>
            </w:pPr>
            <w:r>
              <w:rPr>
                <w:highlight w:val="none"/>
              </w:rPr>
              <w:br w:type="page"/>
            </w:r>
          </w:p>
          <w:p>
            <w:pPr>
              <w:widowControl/>
              <w:ind w:firstLine="1200" w:firstLineChars="500"/>
              <w:jc w:val="left"/>
              <w:rPr>
                <w:rFonts w:ascii="宋体" w:hAnsi="宋体" w:eastAsia="宋体" w:cs="宋体"/>
                <w:kern w:val="0"/>
                <w:sz w:val="24"/>
                <w:highlight w:val="none"/>
              </w:rPr>
            </w:pPr>
            <w:r>
              <w:rPr>
                <w:rFonts w:hint="eastAsia" w:ascii="宋体" w:hAnsi="宋体" w:eastAsia="宋体" w:cs="宋体"/>
                <w:kern w:val="0"/>
                <w:sz w:val="24"/>
                <w:highlight w:val="none"/>
              </w:rPr>
              <w:t>供应商：（公章）</w:t>
            </w:r>
          </w:p>
          <w:p>
            <w:pPr>
              <w:widowControl/>
              <w:ind w:firstLine="1200" w:firstLineChars="500"/>
              <w:jc w:val="left"/>
              <w:rPr>
                <w:rFonts w:ascii="宋体" w:hAnsi="宋体" w:eastAsia="宋体" w:cs="宋体"/>
                <w:kern w:val="0"/>
                <w:sz w:val="24"/>
                <w:highlight w:val="none"/>
              </w:rPr>
            </w:pPr>
          </w:p>
          <w:p>
            <w:pPr>
              <w:widowControl/>
              <w:ind w:firstLine="1200" w:firstLineChars="500"/>
              <w:jc w:val="left"/>
              <w:rPr>
                <w:rFonts w:ascii="宋体" w:hAnsi="宋体" w:eastAsia="宋体" w:cs="宋体"/>
                <w:kern w:val="0"/>
                <w:szCs w:val="21"/>
                <w:highlight w:val="none"/>
              </w:rPr>
            </w:pPr>
            <w:r>
              <w:rPr>
                <w:rFonts w:hint="eastAsia" w:ascii="宋体" w:hAnsi="宋体" w:eastAsia="宋体" w:cs="宋体"/>
                <w:kern w:val="0"/>
                <w:sz w:val="24"/>
                <w:highlight w:val="none"/>
              </w:rPr>
              <w:t>日期：</w:t>
            </w:r>
            <w:r>
              <w:rPr>
                <w:rFonts w:hint="eastAsia" w:ascii="宋体" w:hAnsi="宋体" w:eastAsia="宋体" w:cs="宋体"/>
                <w:kern w:val="0"/>
                <w:sz w:val="24"/>
                <w:highlight w:val="none"/>
              </w:rPr>
              <w:tab/>
            </w:r>
            <w:r>
              <w:rPr>
                <w:rFonts w:hint="eastAsia" w:ascii="宋体" w:hAnsi="宋体" w:eastAsia="宋体" w:cs="宋体"/>
                <w:kern w:val="0"/>
                <w:sz w:val="24"/>
                <w:highlight w:val="none"/>
              </w:rPr>
              <w:t>年   月   日</w:t>
            </w:r>
          </w:p>
        </w:tc>
      </w:tr>
    </w:tbl>
    <w:p>
      <w:pPr>
        <w:widowControl/>
        <w:jc w:val="left"/>
        <w:rPr>
          <w:rFonts w:eastAsia="黑体"/>
          <w:b/>
          <w:bCs/>
          <w:sz w:val="28"/>
          <w:szCs w:val="28"/>
          <w:highlight w:val="none"/>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ascii="宋体" w:hAnsi="宋体"/>
          <w:sz w:val="32"/>
          <w:highlight w:val="none"/>
        </w:rPr>
      </w:pPr>
      <w:r>
        <w:rPr>
          <w:rFonts w:hint="eastAsia" w:ascii="宋体" w:hAnsi="宋体"/>
          <w:sz w:val="32"/>
          <w:highlight w:val="none"/>
        </w:rPr>
        <w:t>附件4</w:t>
      </w:r>
    </w:p>
    <w:p>
      <w:pPr>
        <w:pStyle w:val="2"/>
        <w:spacing w:line="360" w:lineRule="auto"/>
        <w:jc w:val="center"/>
        <w:rPr>
          <w:rFonts w:ascii="宋体" w:hAnsi="宋体"/>
          <w:b/>
          <w:sz w:val="30"/>
          <w:highlight w:val="none"/>
        </w:rPr>
      </w:pPr>
      <w:r>
        <w:rPr>
          <w:rFonts w:hint="eastAsia" w:ascii="宋体" w:hAnsi="宋体"/>
          <w:b/>
          <w:sz w:val="30"/>
          <w:highlight w:val="none"/>
        </w:rPr>
        <w:t>★实质性要求响应表</w:t>
      </w:r>
    </w:p>
    <w:p>
      <w:pPr>
        <w:spacing w:line="360" w:lineRule="auto"/>
        <w:ind w:left="1050" w:hanging="1050" w:hangingChars="500"/>
        <w:rPr>
          <w:rFonts w:ascii="宋体" w:hAnsi="宋体"/>
          <w:highlight w:val="none"/>
        </w:rPr>
      </w:pPr>
      <w:r>
        <w:rPr>
          <w:rFonts w:hint="eastAsia" w:ascii="宋体" w:hAnsi="宋体"/>
          <w:highlight w:val="none"/>
        </w:rPr>
        <w:t>项目名称：</w:t>
      </w:r>
      <w:r>
        <w:rPr>
          <w:rFonts w:hint="eastAsia" w:ascii="宋体" w:hAnsi="宋体"/>
          <w:sz w:val="24"/>
          <w:highlight w:val="none"/>
        </w:rPr>
        <w:t>科学中心冷冻水质改善配套高精度过滤器采购</w:t>
      </w:r>
    </w:p>
    <w:tbl>
      <w:tblPr>
        <w:tblStyle w:val="11"/>
        <w:tblW w:w="9511"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72"/>
        <w:gridCol w:w="3817"/>
        <w:gridCol w:w="2954"/>
        <w:gridCol w:w="1157"/>
        <w:gridCol w:w="11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78" w:hRule="atLeast"/>
          <w:jc w:val="center"/>
        </w:trPr>
        <w:tc>
          <w:tcPr>
            <w:tcW w:w="472" w:type="dxa"/>
            <w:tcBorders>
              <w:top w:val="single" w:color="auto" w:sz="1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序号</w:t>
            </w:r>
          </w:p>
        </w:tc>
        <w:tc>
          <w:tcPr>
            <w:tcW w:w="3817"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b/>
                <w:highlight w:val="none"/>
              </w:rPr>
            </w:pPr>
            <w:r>
              <w:rPr>
                <w:rFonts w:hint="eastAsia" w:ascii="宋体" w:hAnsi="宋体"/>
                <w:highlight w:val="none"/>
              </w:rPr>
              <w:t>★实质性招标要求内容</w:t>
            </w:r>
          </w:p>
        </w:tc>
        <w:tc>
          <w:tcPr>
            <w:tcW w:w="2954"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投标响应详细内容</w:t>
            </w:r>
          </w:p>
        </w:tc>
        <w:tc>
          <w:tcPr>
            <w:tcW w:w="1157"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spacing w:val="4"/>
                <w:highlight w:val="none"/>
              </w:rPr>
              <w:t>正/负/</w:t>
            </w:r>
            <w:r>
              <w:rPr>
                <w:rFonts w:hint="eastAsia" w:ascii="宋体" w:hAnsi="宋体"/>
                <w:highlight w:val="none"/>
              </w:rPr>
              <w:t>无偏离</w:t>
            </w:r>
          </w:p>
        </w:tc>
        <w:tc>
          <w:tcPr>
            <w:tcW w:w="1111" w:type="dxa"/>
            <w:tcBorders>
              <w:top w:val="single" w:color="auto" w:sz="12" w:space="0"/>
              <w:left w:val="single" w:color="auto" w:sz="2" w:space="0"/>
              <w:bottom w:val="single" w:color="auto" w:sz="2" w:space="0"/>
              <w:right w:val="single" w:color="auto" w:sz="1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2"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1</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rPr>
              <w:t>采购需求四、需求内容（一）</w:t>
            </w:r>
            <w:r>
              <w:rPr>
                <w:rFonts w:ascii="宋体" w:hAnsi="宋体"/>
                <w:sz w:val="18"/>
                <w:szCs w:val="18"/>
                <w:highlight w:val="none"/>
              </w:rPr>
              <w:t>1、</w:t>
            </w:r>
            <w:r>
              <w:rPr>
                <w:rFonts w:hint="eastAsia" w:ascii="宋体" w:hAnsi="宋体"/>
                <w:sz w:val="18"/>
                <w:szCs w:val="18"/>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包装运输至交货地（含装卸）、试运行、厂家技术支持、利润、税费</w:t>
            </w:r>
            <w:r>
              <w:rPr>
                <w:rFonts w:hint="eastAsia" w:ascii="宋体" w:hAnsi="宋体"/>
                <w:kern w:val="0"/>
                <w:sz w:val="18"/>
                <w:szCs w:val="18"/>
                <w:highlight w:val="none"/>
              </w:rPr>
              <w:t>（包括关税、增值税专用发票等）</w:t>
            </w:r>
            <w:r>
              <w:rPr>
                <w:rFonts w:hint="eastAsia" w:ascii="宋体" w:hAnsi="宋体"/>
                <w:sz w:val="18"/>
                <w:szCs w:val="18"/>
                <w:highlight w:val="none"/>
              </w:rPr>
              <w:t>、质保期服务、采购实施过程中不可预见费用</w:t>
            </w:r>
            <w:r>
              <w:rPr>
                <w:rFonts w:hint="eastAsia" w:ascii="宋体" w:hAnsi="宋体"/>
                <w:kern w:val="0"/>
                <w:sz w:val="18"/>
                <w:szCs w:val="18"/>
                <w:highlight w:val="none"/>
              </w:rPr>
              <w:t>以及与设备有关的特殊要求等完成本合同工作所需的所有费用</w:t>
            </w:r>
            <w:r>
              <w:rPr>
                <w:rFonts w:hint="eastAsia" w:ascii="宋体" w:hAnsi="宋体"/>
                <w:sz w:val="18"/>
                <w:szCs w:val="18"/>
                <w:highlight w:val="none"/>
              </w:rPr>
              <w:t>。</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rPr>
                <w:rFonts w:ascii="宋体" w:hAnsi="宋体"/>
                <w:sz w:val="18"/>
                <w:szCs w:val="18"/>
                <w:highlight w:val="none"/>
              </w:rPr>
            </w:pPr>
          </w:p>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2</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rPr>
              <w:t>采购需求四、需求内容（二）★</w:t>
            </w:r>
            <w:r>
              <w:rPr>
                <w:rFonts w:hint="eastAsia" w:ascii="宋体" w:hAnsi="宋体"/>
                <w:kern w:val="0"/>
                <w:sz w:val="18"/>
                <w:szCs w:val="18"/>
                <w:highlight w:val="none"/>
              </w:rPr>
              <w:t>货物要求</w:t>
            </w:r>
          </w:p>
          <w:p>
            <w:pPr>
              <w:spacing w:line="360" w:lineRule="auto"/>
              <w:rPr>
                <w:rFonts w:ascii="宋体" w:hAnsi="宋体"/>
                <w:sz w:val="18"/>
                <w:szCs w:val="18"/>
                <w:highlight w:val="none"/>
              </w:rPr>
            </w:pPr>
            <w:r>
              <w:rPr>
                <w:rFonts w:hint="eastAsia" w:ascii="宋体" w:hAnsi="宋体"/>
                <w:sz w:val="18"/>
                <w:szCs w:val="18"/>
                <w:highlight w:val="none"/>
              </w:rPr>
              <w:t>供应商应提供所代表品牌厂商原装的、全新的、未使用过的、技术先进、性能优良、结构紧凑、便于安装和维护、符合国家、行业及采购需求书提出的有关质量标准的货物。</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kern w:val="15"/>
                <w:sz w:val="18"/>
                <w:szCs w:val="18"/>
                <w:highlight w:val="none"/>
              </w:rPr>
            </w:pPr>
            <w:r>
              <w:rPr>
                <w:rFonts w:hint="eastAsia" w:ascii="宋体" w:hAnsi="宋体"/>
                <w:kern w:val="15"/>
                <w:sz w:val="18"/>
                <w:szCs w:val="18"/>
                <w:highlight w:val="none"/>
              </w:rPr>
              <w:t>3</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rPr>
              <w:t>采购需求四、需求内容（四）交货要求3、★成交供应商非生产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kern w:val="15"/>
                <w:sz w:val="18"/>
                <w:szCs w:val="18"/>
                <w:highlight w:val="none"/>
              </w:rPr>
            </w:pPr>
            <w:r>
              <w:rPr>
                <w:rFonts w:hint="eastAsia" w:ascii="宋体" w:hAnsi="宋体"/>
                <w:kern w:val="15"/>
                <w:sz w:val="18"/>
                <w:szCs w:val="18"/>
                <w:highlight w:val="none"/>
              </w:rPr>
              <w:t>4</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rPr>
              <w:t>采购需求</w:t>
            </w:r>
            <w:r>
              <w:rPr>
                <w:rFonts w:ascii="宋体" w:hAnsi="宋体"/>
                <w:sz w:val="18"/>
                <w:szCs w:val="18"/>
                <w:highlight w:val="none"/>
              </w:rPr>
              <w:t xml:space="preserve"> </w:t>
            </w:r>
            <w:r>
              <w:rPr>
                <w:rFonts w:hint="eastAsia" w:ascii="宋体" w:hAnsi="宋体"/>
                <w:sz w:val="18"/>
                <w:szCs w:val="18"/>
                <w:highlight w:val="none"/>
              </w:rPr>
              <w:t>四、需求内容（七）</w:t>
            </w:r>
            <w:r>
              <w:rPr>
                <w:rFonts w:ascii="宋体" w:hAnsi="宋体"/>
                <w:sz w:val="18"/>
                <w:szCs w:val="18"/>
                <w:highlight w:val="none"/>
              </w:rPr>
              <w:t>2、</w:t>
            </w:r>
            <w:r>
              <w:rPr>
                <w:rFonts w:hint="eastAsia" w:ascii="宋体" w:hAnsi="宋体"/>
                <w:sz w:val="18"/>
                <w:szCs w:val="18"/>
                <w:highlight w:val="none"/>
              </w:rPr>
              <w:t>★采购清单中</w:t>
            </w:r>
            <w:r>
              <w:rPr>
                <w:rFonts w:ascii="宋体" w:hAnsi="宋体"/>
                <w:sz w:val="18"/>
                <w:szCs w:val="18"/>
                <w:highlight w:val="none"/>
              </w:rPr>
              <w:t>货物的质保期最少为</w:t>
            </w:r>
            <w:r>
              <w:rPr>
                <w:rFonts w:hint="eastAsia" w:ascii="宋体" w:hAnsi="宋体"/>
                <w:sz w:val="18"/>
                <w:szCs w:val="18"/>
                <w:highlight w:val="none"/>
              </w:rPr>
              <w:t>货物</w:t>
            </w:r>
            <w:r>
              <w:rPr>
                <w:rFonts w:ascii="宋体" w:hAnsi="宋体"/>
                <w:sz w:val="18"/>
                <w:szCs w:val="18"/>
                <w:highlight w:val="none"/>
              </w:rPr>
              <w:t>试运行验收合格</w:t>
            </w:r>
            <w:r>
              <w:rPr>
                <w:rFonts w:hint="eastAsia" w:ascii="宋体" w:hAnsi="宋体"/>
                <w:sz w:val="18"/>
                <w:szCs w:val="18"/>
                <w:highlight w:val="none"/>
              </w:rPr>
              <w:t>之日起1年（不少于1年）。</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kern w:val="15"/>
                <w:sz w:val="18"/>
                <w:szCs w:val="18"/>
                <w:highlight w:val="none"/>
              </w:rPr>
            </w:pPr>
            <w:r>
              <w:rPr>
                <w:rFonts w:hint="eastAsia" w:ascii="宋体" w:hAnsi="宋体"/>
                <w:kern w:val="15"/>
                <w:sz w:val="18"/>
                <w:szCs w:val="18"/>
                <w:highlight w:val="none"/>
              </w:rPr>
              <w:t>5</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rPr>
              <w:t>采购需求</w:t>
            </w:r>
            <w:r>
              <w:rPr>
                <w:rFonts w:ascii="宋体" w:hAnsi="宋体"/>
                <w:sz w:val="18"/>
                <w:szCs w:val="18"/>
                <w:highlight w:val="none"/>
              </w:rPr>
              <w:t xml:space="preserve"> </w:t>
            </w:r>
            <w:r>
              <w:rPr>
                <w:rFonts w:hint="eastAsia" w:ascii="宋体" w:hAnsi="宋体"/>
                <w:sz w:val="18"/>
                <w:szCs w:val="18"/>
                <w:highlight w:val="none"/>
              </w:rPr>
              <w:t>四、需求内容</w:t>
            </w:r>
            <w:r>
              <w:rPr>
                <w:rFonts w:ascii="宋体" w:hAnsi="宋体"/>
                <w:sz w:val="18"/>
                <w:szCs w:val="18"/>
                <w:highlight w:val="none"/>
              </w:rPr>
              <w:t xml:space="preserve"> （七）5、 ★供应商在投标文件中承诺提供的服务须能提供制造商的服务热线（如400电话等）查证。</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829"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kern w:val="15"/>
                <w:sz w:val="18"/>
                <w:szCs w:val="18"/>
                <w:highlight w:val="none"/>
              </w:rPr>
            </w:pPr>
            <w:r>
              <w:rPr>
                <w:rFonts w:hint="eastAsia" w:ascii="宋体" w:hAnsi="宋体"/>
                <w:kern w:val="15"/>
                <w:sz w:val="18"/>
                <w:szCs w:val="18"/>
                <w:highlight w:val="none"/>
              </w:rPr>
              <w:t>6</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rPr>
              <w:t>采购需求</w:t>
            </w:r>
            <w:r>
              <w:rPr>
                <w:rFonts w:ascii="宋体" w:hAnsi="宋体"/>
                <w:sz w:val="18"/>
                <w:szCs w:val="18"/>
                <w:highlight w:val="none"/>
              </w:rPr>
              <w:t xml:space="preserve"> 五、商务要求（一）★</w:t>
            </w:r>
            <w:r>
              <w:rPr>
                <w:rFonts w:hint="eastAsia" w:ascii="宋体" w:hAnsi="宋体"/>
                <w:sz w:val="18"/>
                <w:szCs w:val="18"/>
                <w:highlight w:val="none"/>
              </w:rPr>
              <w:t>付款方式合同签订后预付合同总价的30%款项作为预付款；全部货物货到现场经需方到货验收合格后付至结算价</w:t>
            </w:r>
            <w:r>
              <w:rPr>
                <w:rFonts w:hint="eastAsia" w:ascii="宋体" w:hAnsi="宋体"/>
                <w:sz w:val="18"/>
                <w:szCs w:val="18"/>
                <w:highlight w:val="none"/>
                <w:lang w:eastAsia="zh-CN"/>
              </w:rPr>
              <w:t>6</w:t>
            </w:r>
            <w:r>
              <w:rPr>
                <w:rFonts w:hint="eastAsia" w:ascii="宋体" w:hAnsi="宋体"/>
                <w:sz w:val="18"/>
                <w:szCs w:val="18"/>
                <w:highlight w:val="none"/>
              </w:rPr>
              <w:t>0%；货物试运行后，经需方验收合格签字和收到供方相关的技术资料后15天内支付至结算价的95%款项，同时余下结算价的5%作为质保金，质保期为1年，质保期自货物试运行完成并经需方验收合格签字之日起计算。质保期满供方履行完质保期义务后付清余款。付款前供方开具相应金额增值税(含13%增值税)专用发票给需方。。</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67"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kern w:val="15"/>
                <w:sz w:val="18"/>
                <w:szCs w:val="18"/>
                <w:highlight w:val="none"/>
              </w:rPr>
            </w:pPr>
            <w:r>
              <w:rPr>
                <w:rFonts w:hint="eastAsia" w:ascii="宋体" w:hAnsi="宋体"/>
                <w:kern w:val="15"/>
                <w:sz w:val="18"/>
                <w:szCs w:val="18"/>
                <w:highlight w:val="none"/>
              </w:rPr>
              <w:t>7</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spacing w:line="240" w:lineRule="auto"/>
              <w:jc w:val="center"/>
              <w:rPr>
                <w:rFonts w:hint="eastAsia" w:ascii="宋体" w:hAnsi="宋体"/>
                <w:sz w:val="18"/>
                <w:szCs w:val="18"/>
                <w:highlight w:val="none"/>
              </w:rPr>
            </w:pPr>
            <w:r>
              <w:rPr>
                <w:rFonts w:hint="eastAsia" w:ascii="宋体" w:hAnsi="宋体"/>
                <w:sz w:val="18"/>
                <w:szCs w:val="18"/>
                <w:highlight w:val="none"/>
              </w:rPr>
              <w:t>附件1.2</w:t>
            </w:r>
            <w:r>
              <w:rPr>
                <w:rFonts w:hint="eastAsia" w:ascii="宋体" w:hAnsi="宋体" w:eastAsiaTheme="minorEastAsia"/>
                <w:b w:val="0"/>
                <w:sz w:val="18"/>
                <w:szCs w:val="18"/>
                <w:highlight w:val="none"/>
              </w:rPr>
              <w:t>科学中心高精度过滤器采购技术要求</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bl>
    <w:p>
      <w:pPr>
        <w:spacing w:line="360" w:lineRule="auto"/>
        <w:rPr>
          <w:rFonts w:ascii="宋体" w:hAnsi="宋体"/>
          <w:b/>
          <w:highlight w:val="none"/>
        </w:rPr>
      </w:pPr>
      <w:r>
        <w:rPr>
          <w:rFonts w:hint="eastAsia" w:ascii="宋体" w:hAnsi="宋体"/>
          <w:b/>
          <w:highlight w:val="none"/>
        </w:rPr>
        <w:t>供应商必须将对竞选文件中有关“★”号的实质性要求进行响应，响应详细内容填写此表。</w:t>
      </w:r>
    </w:p>
    <w:p>
      <w:pPr>
        <w:spacing w:line="360" w:lineRule="auto"/>
        <w:rPr>
          <w:rFonts w:ascii="宋体" w:hAnsi="宋体"/>
          <w:highlight w:val="none"/>
        </w:rPr>
      </w:pPr>
      <w:r>
        <w:rPr>
          <w:rFonts w:hint="eastAsia" w:ascii="宋体" w:hAnsi="宋体"/>
          <w:highlight w:val="none"/>
        </w:rPr>
        <w:t>备注：1、竞选文件中标有“★”的指标均被视为实质性响应指标，供应商如有一项带“★”的指标未响应或不满足，将按无效投标处理。</w:t>
      </w:r>
    </w:p>
    <w:p>
      <w:pPr>
        <w:spacing w:line="360" w:lineRule="auto"/>
        <w:ind w:firstLine="630" w:firstLineChars="300"/>
        <w:rPr>
          <w:rFonts w:ascii="宋体" w:hAnsi="宋体"/>
          <w:highlight w:val="none"/>
        </w:rPr>
      </w:pPr>
      <w:r>
        <w:rPr>
          <w:rFonts w:hint="eastAsia" w:ascii="宋体" w:hAnsi="宋体"/>
          <w:highlight w:val="none"/>
        </w:rPr>
        <w:t>2、如竞选文件上无标有“★”实质性响应指标的，请在表格上填写“无”。</w:t>
      </w:r>
    </w:p>
    <w:p>
      <w:pPr>
        <w:spacing w:line="360" w:lineRule="auto"/>
        <w:ind w:firstLine="105" w:firstLineChars="50"/>
        <w:rPr>
          <w:rFonts w:ascii="宋体" w:hAnsi="宋体"/>
          <w:highlight w:val="none"/>
          <w:u w:val="single"/>
        </w:rPr>
      </w:pPr>
      <w:r>
        <w:rPr>
          <w:rFonts w:hint="eastAsia" w:ascii="宋体" w:hAnsi="宋体"/>
          <w:highlight w:val="none"/>
        </w:rPr>
        <w:t xml:space="preserve">                                              供应商名称（盖公章）：</w:t>
      </w:r>
    </w:p>
    <w:p>
      <w:pPr>
        <w:spacing w:line="360" w:lineRule="auto"/>
        <w:ind w:firstLine="4935" w:firstLineChars="2350"/>
        <w:rPr>
          <w:rFonts w:ascii="宋体" w:hAnsi="宋体"/>
          <w:sz w:val="32"/>
          <w:highlight w:val="none"/>
        </w:rPr>
      </w:pPr>
      <w:r>
        <w:rPr>
          <w:rFonts w:hint="eastAsia" w:ascii="宋体" w:hAnsi="宋体"/>
          <w:highlight w:val="none"/>
        </w:rPr>
        <w:t>日    期：20</w:t>
      </w:r>
      <w:r>
        <w:rPr>
          <w:rFonts w:hint="eastAsia" w:ascii="宋体" w:hAnsi="宋体"/>
          <w:highlight w:val="none"/>
          <w:lang w:val="en-US" w:eastAsia="zh-CN"/>
        </w:rPr>
        <w:t>22</w:t>
      </w:r>
      <w:r>
        <w:rPr>
          <w:rFonts w:hint="eastAsia" w:ascii="宋体" w:hAnsi="宋体"/>
          <w:highlight w:val="none"/>
        </w:rPr>
        <w:t>年  月 日</w:t>
      </w:r>
    </w:p>
    <w:p>
      <w:pPr>
        <w:widowControl/>
        <w:jc w:val="center"/>
        <w:rPr>
          <w:rFonts w:ascii="宋体" w:hAnsi="宋体"/>
          <w:b/>
          <w:sz w:val="32"/>
          <w:highlight w:val="none"/>
        </w:rPr>
      </w:pPr>
      <w:r>
        <w:rPr>
          <w:rFonts w:ascii="宋体" w:hAnsi="宋体"/>
          <w:sz w:val="32"/>
          <w:highlight w:val="none"/>
        </w:rPr>
        <w:br w:type="page"/>
      </w:r>
    </w:p>
    <w:p>
      <w:pPr>
        <w:adjustRightInd w:val="0"/>
        <w:spacing w:line="460" w:lineRule="exact"/>
        <w:jc w:val="left"/>
        <w:rPr>
          <w:rFonts w:ascii="宋体" w:hAnsi="宋体"/>
          <w:b/>
          <w:sz w:val="32"/>
          <w:highlight w:val="none"/>
        </w:rPr>
      </w:pPr>
      <w:r>
        <w:rPr>
          <w:rFonts w:hint="eastAsia" w:ascii="宋体" w:hAnsi="宋体"/>
          <w:b/>
          <w:sz w:val="32"/>
          <w:highlight w:val="none"/>
        </w:rPr>
        <w:t>附件5</w:t>
      </w:r>
    </w:p>
    <w:p>
      <w:pPr>
        <w:widowControl/>
        <w:jc w:val="center"/>
        <w:rPr>
          <w:rFonts w:ascii="宋体" w:hAnsi="宋体"/>
          <w:b/>
          <w:kern w:val="0"/>
          <w:sz w:val="24"/>
          <w:highlight w:val="none"/>
        </w:rPr>
      </w:pPr>
      <w:r>
        <w:rPr>
          <w:rFonts w:hint="eastAsia" w:ascii="宋体" w:hAnsi="宋体"/>
          <w:b/>
          <w:kern w:val="0"/>
          <w:sz w:val="36"/>
          <w:highlight w:val="none"/>
        </w:rPr>
        <w:t>资格性和有效性审查表</w:t>
      </w:r>
    </w:p>
    <w:p>
      <w:pPr>
        <w:ind w:firstLine="420" w:firstLineChars="200"/>
        <w:rPr>
          <w:rFonts w:ascii="宋体" w:hAnsi="宋体"/>
          <w:highlight w:val="none"/>
        </w:rPr>
      </w:pPr>
    </w:p>
    <w:p>
      <w:pPr>
        <w:spacing w:line="360" w:lineRule="auto"/>
        <w:ind w:left="420" w:leftChars="200" w:firstLine="420" w:firstLineChars="200"/>
        <w:rPr>
          <w:rFonts w:ascii="宋体" w:hAnsi="宋体"/>
          <w:highlight w:val="none"/>
        </w:rPr>
      </w:pPr>
      <w:r>
        <w:rPr>
          <w:rFonts w:hint="eastAsia" w:ascii="宋体" w:hAnsi="宋体"/>
          <w:highlight w:val="none"/>
        </w:rPr>
        <w:t>项目名称：</w:t>
      </w:r>
    </w:p>
    <w:tbl>
      <w:tblPr>
        <w:tblStyle w:val="11"/>
        <w:tblW w:w="8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12" w:space="0"/>
              <w:left w:val="single" w:color="auto" w:sz="12" w:space="0"/>
              <w:bottom w:val="single" w:color="auto" w:sz="6" w:space="0"/>
              <w:right w:val="single" w:color="auto" w:sz="6"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序号</w:t>
            </w:r>
          </w:p>
        </w:tc>
        <w:tc>
          <w:tcPr>
            <w:tcW w:w="6225" w:type="dxa"/>
            <w:tcBorders>
              <w:top w:val="single" w:color="auto" w:sz="12" w:space="0"/>
              <w:left w:val="single" w:color="auto" w:sz="6" w:space="0"/>
              <w:bottom w:val="single" w:color="auto" w:sz="6" w:space="0"/>
              <w:right w:val="single" w:color="auto" w:sz="6"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评审内容</w:t>
            </w:r>
          </w:p>
        </w:tc>
        <w:tc>
          <w:tcPr>
            <w:tcW w:w="1183" w:type="dxa"/>
            <w:tcBorders>
              <w:top w:val="single" w:color="auto" w:sz="12" w:space="0"/>
              <w:left w:val="single" w:color="auto" w:sz="6" w:space="0"/>
              <w:bottom w:val="single" w:color="auto" w:sz="6" w:space="0"/>
              <w:right w:val="single" w:color="auto" w:sz="12"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1</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rPr>
              <w:t>投标文件未按竞选文件的规定密封、盖章和签署；</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2</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rPr>
              <w:t>投标文件未按竞选文件规定的格式填写，内容不全或关键字迹模糊、无法辩认；</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3</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lang w:val="en-US" w:eastAsia="zh-CN"/>
              </w:rPr>
              <w:t>不</w:t>
            </w:r>
            <w:r>
              <w:rPr>
                <w:rFonts w:hint="eastAsia" w:ascii="宋体" w:hAnsi="宋体"/>
                <w:highlight w:val="none"/>
              </w:rPr>
              <w:t>具有独立法人资格，</w:t>
            </w:r>
            <w:r>
              <w:rPr>
                <w:rFonts w:hint="eastAsia" w:ascii="宋体" w:hAnsi="宋体"/>
                <w:highlight w:val="none"/>
                <w:lang w:val="en-US" w:eastAsia="zh-CN"/>
              </w:rPr>
              <w:t>未</w:t>
            </w:r>
            <w:r>
              <w:rPr>
                <w:rFonts w:hint="eastAsia" w:ascii="宋体" w:hAnsi="宋体"/>
                <w:highlight w:val="none"/>
              </w:rPr>
              <w:t>持有工商行政管理部门核发的法人营业执照或事业单位登记机构核发的事业单位法人证书，</w:t>
            </w:r>
            <w:r>
              <w:rPr>
                <w:rFonts w:hint="eastAsia" w:ascii="宋体" w:hAnsi="宋体"/>
                <w:highlight w:val="none"/>
                <w:lang w:val="en-US" w:eastAsia="zh-CN"/>
              </w:rPr>
              <w:t>未</w:t>
            </w:r>
            <w:r>
              <w:rPr>
                <w:rFonts w:hint="eastAsia" w:ascii="宋体" w:hAnsi="宋体"/>
                <w:highlight w:val="none"/>
              </w:rPr>
              <w:t>按国家法律经营</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4</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kern w:val="0"/>
                <w:highlight w:val="none"/>
              </w:rPr>
              <w:t>投标总报价超过最高限价或报价畸低的；</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5</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highlight w:val="none"/>
              </w:rPr>
            </w:pPr>
            <w:r>
              <w:rPr>
                <w:rFonts w:hint="eastAsia" w:ascii="宋体" w:hAnsi="宋体"/>
                <w:kern w:val="0"/>
                <w:highlight w:val="none"/>
              </w:rPr>
              <w:t>投标文件附有</w:t>
            </w:r>
            <w:r>
              <w:rPr>
                <w:rFonts w:hint="eastAsia" w:ascii="宋体" w:hAnsi="宋体"/>
                <w:kern w:val="0"/>
                <w:highlight w:val="none"/>
                <w:lang w:val="en-US" w:eastAsia="zh-CN"/>
              </w:rPr>
              <w:t>采购人</w:t>
            </w:r>
            <w:r>
              <w:rPr>
                <w:rFonts w:hint="eastAsia" w:ascii="宋体" w:hAnsi="宋体"/>
                <w:kern w:val="0"/>
                <w:highlight w:val="none"/>
              </w:rPr>
              <w:t>不能接受的条件（</w:t>
            </w:r>
            <w:r>
              <w:rPr>
                <w:rFonts w:hint="eastAsia" w:ascii="宋体" w:hAnsi="宋体"/>
                <w:highlight w:val="none"/>
              </w:rPr>
              <w:t xml:space="preserve"> 不满足“★”的条款）</w:t>
            </w:r>
            <w:r>
              <w:rPr>
                <w:rFonts w:hint="eastAsia" w:ascii="宋体" w:hAnsi="宋体"/>
                <w:kern w:val="0"/>
                <w:highlight w:val="none"/>
              </w:rPr>
              <w:t>；</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hint="eastAsia" w:ascii="宋体" w:hAnsi="宋体" w:eastAsiaTheme="minorEastAsia"/>
                <w:kern w:val="0"/>
                <w:highlight w:val="none"/>
                <w:lang w:val="en-US" w:eastAsia="zh-CN"/>
              </w:rPr>
            </w:pPr>
            <w:r>
              <w:rPr>
                <w:rFonts w:hint="eastAsia" w:ascii="宋体" w:hAnsi="宋体"/>
                <w:kern w:val="0"/>
                <w:highlight w:val="none"/>
                <w:lang w:val="en-US" w:eastAsia="zh-CN"/>
              </w:rPr>
              <w:t>6</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hint="default" w:ascii="宋体" w:hAnsi="宋体" w:eastAsiaTheme="minorEastAsia"/>
                <w:kern w:val="0"/>
                <w:highlight w:val="none"/>
                <w:lang w:val="en-US" w:eastAsia="zh-CN"/>
              </w:rPr>
            </w:pPr>
            <w:r>
              <w:rPr>
                <w:rFonts w:hint="eastAsia" w:ascii="宋体" w:hAnsi="宋体"/>
                <w:kern w:val="0"/>
                <w:highlight w:val="none"/>
                <w:lang w:val="en-US" w:eastAsia="zh-CN"/>
              </w:rPr>
              <w:t>投标文件无提供</w:t>
            </w:r>
            <w:r>
              <w:rPr>
                <w:rFonts w:hint="eastAsia" w:ascii="宋体" w:hAnsi="宋体" w:eastAsiaTheme="minorEastAsia"/>
                <w:b w:val="0"/>
                <w:bCs w:val="0"/>
                <w:kern w:val="0"/>
                <w:sz w:val="21"/>
                <w:szCs w:val="24"/>
                <w:highlight w:val="none"/>
              </w:rPr>
              <w:t>设备装配图、外形图，列明安装滤网的规格、数量及设备元件清单、设备制造材料清单、易损件清单（滤网2支，电气元件若干）</w:t>
            </w:r>
            <w:bookmarkStart w:id="0" w:name="_GoBack"/>
            <w:bookmarkEnd w:id="0"/>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hint="eastAsia" w:ascii="宋体" w:hAnsi="宋体" w:eastAsiaTheme="minorEastAsia"/>
                <w:highlight w:val="none"/>
                <w:lang w:eastAsia="zh-CN"/>
              </w:rPr>
            </w:pPr>
            <w:r>
              <w:rPr>
                <w:rFonts w:hint="eastAsia" w:ascii="宋体" w:hAnsi="宋体"/>
                <w:kern w:val="0"/>
                <w:highlight w:val="none"/>
                <w:lang w:val="en-US" w:eastAsia="zh-CN"/>
              </w:rPr>
              <w:t>7</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highlight w:val="none"/>
              </w:rPr>
            </w:pPr>
            <w:r>
              <w:rPr>
                <w:rFonts w:hint="eastAsia" w:ascii="宋体" w:hAnsi="宋体"/>
                <w:kern w:val="0"/>
                <w:highlight w:val="none"/>
                <w:lang w:val="en-US" w:eastAsia="zh-CN"/>
              </w:rPr>
              <w:t>投标</w:t>
            </w:r>
            <w:r>
              <w:rPr>
                <w:rFonts w:hint="eastAsia" w:ascii="宋体" w:hAnsi="宋体"/>
                <w:kern w:val="0"/>
                <w:highlight w:val="none"/>
              </w:rPr>
              <w:t>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hint="eastAsia" w:ascii="宋体" w:hAnsi="宋体" w:eastAsiaTheme="minorEastAsia"/>
                <w:kern w:val="0"/>
                <w:highlight w:val="none"/>
                <w:lang w:eastAsia="zh-CN"/>
              </w:rPr>
            </w:pPr>
            <w:r>
              <w:rPr>
                <w:rFonts w:hint="eastAsia" w:ascii="宋体" w:hAnsi="宋体"/>
                <w:kern w:val="0"/>
                <w:highlight w:val="none"/>
                <w:lang w:val="en-US" w:eastAsia="zh-CN"/>
              </w:rPr>
              <w:t>8</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响应产品经其品牌官方渠道核实所响应产品不满足采购清单需求或者无法核实，按照不完全响应或者完全不响应处理；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hint="eastAsia" w:ascii="宋体" w:hAnsi="宋体" w:eastAsiaTheme="minorEastAsia"/>
                <w:kern w:val="0"/>
                <w:highlight w:val="none"/>
                <w:lang w:eastAsia="zh-CN"/>
              </w:rPr>
            </w:pPr>
            <w:r>
              <w:rPr>
                <w:rFonts w:hint="eastAsia" w:ascii="宋体" w:hAnsi="宋体"/>
                <w:kern w:val="0"/>
                <w:highlight w:val="none"/>
                <w:lang w:val="en-US" w:eastAsia="zh-CN"/>
              </w:rPr>
              <w:t>9</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不符合竞选文件中规定的其他实质性要求；</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hint="default" w:ascii="宋体" w:hAnsi="宋体" w:eastAsiaTheme="minorEastAsia"/>
                <w:kern w:val="0"/>
                <w:highlight w:val="none"/>
                <w:lang w:val="en-US" w:eastAsia="zh-CN"/>
              </w:rPr>
            </w:pPr>
            <w:r>
              <w:rPr>
                <w:rFonts w:hint="eastAsia" w:ascii="宋体" w:hAnsi="宋体"/>
                <w:kern w:val="0"/>
                <w:highlight w:val="none"/>
                <w:lang w:val="en-US" w:eastAsia="zh-CN"/>
              </w:rPr>
              <w:t>10</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供应商提交书面材料表明无法履行竞选承诺或者放弃成交的，按报价无效处理；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12" w:space="0"/>
              <w:right w:val="single" w:color="auto" w:sz="6" w:space="0"/>
              <w:tl2br w:val="nil"/>
              <w:tr2bl w:val="nil"/>
            </w:tcBorders>
            <w:vAlign w:val="center"/>
          </w:tcPr>
          <w:p>
            <w:pPr>
              <w:adjustRightInd w:val="0"/>
              <w:snapToGrid w:val="0"/>
              <w:jc w:val="center"/>
              <w:rPr>
                <w:rFonts w:ascii="宋体" w:hAnsi="宋体"/>
                <w:highlight w:val="none"/>
              </w:rPr>
            </w:pPr>
          </w:p>
        </w:tc>
        <w:tc>
          <w:tcPr>
            <w:tcW w:w="6225" w:type="dxa"/>
            <w:tcBorders>
              <w:top w:val="single" w:color="auto" w:sz="6" w:space="0"/>
              <w:left w:val="single" w:color="auto" w:sz="6" w:space="0"/>
              <w:bottom w:val="single" w:color="auto" w:sz="12" w:space="0"/>
              <w:right w:val="single" w:color="auto" w:sz="6" w:space="0"/>
              <w:tl2br w:val="nil"/>
              <w:tr2bl w:val="nil"/>
            </w:tcBorders>
            <w:vAlign w:val="center"/>
          </w:tcPr>
          <w:p>
            <w:pPr>
              <w:jc w:val="center"/>
              <w:rPr>
                <w:rFonts w:ascii="宋体" w:hAnsi="宋体"/>
                <w:highlight w:val="none"/>
              </w:rPr>
            </w:pPr>
            <w:r>
              <w:rPr>
                <w:rFonts w:hint="eastAsia" w:ascii="宋体" w:hAnsi="宋体"/>
                <w:b/>
                <w:highlight w:val="none"/>
              </w:rPr>
              <w:t>评审结论（</w:t>
            </w:r>
            <w:r>
              <w:rPr>
                <w:rFonts w:hint="eastAsia" w:ascii="宋体" w:hAnsi="宋体"/>
                <w:highlight w:val="none"/>
              </w:rPr>
              <w:t>通过/不通过</w:t>
            </w:r>
            <w:r>
              <w:rPr>
                <w:rFonts w:hint="eastAsia" w:ascii="宋体" w:hAnsi="宋体"/>
                <w:b/>
                <w:highlight w:val="none"/>
              </w:rPr>
              <w:t>）</w:t>
            </w:r>
          </w:p>
        </w:tc>
        <w:tc>
          <w:tcPr>
            <w:tcW w:w="1183" w:type="dxa"/>
            <w:tcBorders>
              <w:top w:val="single" w:color="auto" w:sz="6" w:space="0"/>
              <w:left w:val="single" w:color="auto" w:sz="6" w:space="0"/>
              <w:bottom w:val="single" w:color="auto" w:sz="12"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bl>
    <w:p>
      <w:pPr>
        <w:spacing w:line="400" w:lineRule="exact"/>
        <w:ind w:firstLine="440"/>
        <w:rPr>
          <w:rFonts w:ascii="宋体" w:hAnsi="宋体"/>
          <w:highlight w:val="none"/>
        </w:rPr>
      </w:pPr>
      <w:r>
        <w:rPr>
          <w:rFonts w:hint="eastAsia" w:ascii="宋体" w:hAnsi="宋体"/>
          <w:highlight w:val="none"/>
        </w:rPr>
        <w:t>注：</w:t>
      </w:r>
    </w:p>
    <w:p>
      <w:pPr>
        <w:numPr>
          <w:ilvl w:val="0"/>
          <w:numId w:val="24"/>
        </w:numPr>
        <w:adjustRightInd w:val="0"/>
        <w:snapToGrid w:val="0"/>
        <w:spacing w:line="400" w:lineRule="exact"/>
        <w:rPr>
          <w:rFonts w:ascii="宋体" w:hAnsi="宋体"/>
          <w:highlight w:val="none"/>
        </w:rPr>
      </w:pPr>
      <w:r>
        <w:rPr>
          <w:rFonts w:hint="eastAsia" w:ascii="宋体" w:hAnsi="宋体"/>
          <w:highlight w:val="none"/>
        </w:rPr>
        <w:t>供应商分栏中填写“√”表示该项符合竞选文件要求，“×”表示该项不符合竞选文件要求，“○”表示无该项内容；</w:t>
      </w:r>
    </w:p>
    <w:p>
      <w:pPr>
        <w:numPr>
          <w:ilvl w:val="0"/>
          <w:numId w:val="24"/>
        </w:numPr>
        <w:adjustRightInd w:val="0"/>
        <w:snapToGrid w:val="0"/>
        <w:spacing w:line="400" w:lineRule="exact"/>
        <w:rPr>
          <w:rFonts w:ascii="宋体" w:hAnsi="宋体"/>
          <w:highlight w:val="none"/>
        </w:rPr>
      </w:pPr>
      <w:r>
        <w:rPr>
          <w:rFonts w:hint="eastAsia" w:ascii="宋体" w:hAnsi="宋体"/>
          <w:highlight w:val="none"/>
        </w:rPr>
        <w:t>经评标委员会审核后，出现一个“×”的结论为“不通过”，即按废标处理。</w:t>
      </w:r>
    </w:p>
    <w:p>
      <w:pPr>
        <w:numPr>
          <w:ilvl w:val="0"/>
          <w:numId w:val="24"/>
        </w:numPr>
        <w:adjustRightInd w:val="0"/>
        <w:snapToGrid w:val="0"/>
        <w:spacing w:line="400" w:lineRule="exact"/>
        <w:rPr>
          <w:rFonts w:ascii="宋体" w:hAnsi="宋体"/>
          <w:highlight w:val="none"/>
        </w:rPr>
      </w:pPr>
      <w:r>
        <w:rPr>
          <w:rFonts w:hint="eastAsia" w:ascii="宋体" w:hAnsi="宋体"/>
          <w:highlight w:val="none"/>
        </w:rPr>
        <w:t>表中全部条件满足为“通过”，同意进入下一阶段评审。</w:t>
      </w:r>
    </w:p>
    <w:p>
      <w:pPr>
        <w:numPr>
          <w:ilvl w:val="0"/>
          <w:numId w:val="24"/>
        </w:numPr>
        <w:adjustRightInd w:val="0"/>
        <w:snapToGrid w:val="0"/>
        <w:spacing w:line="400" w:lineRule="exact"/>
        <w:rPr>
          <w:rFonts w:ascii="宋体" w:hAnsi="宋体"/>
          <w:highlight w:val="none"/>
        </w:rPr>
      </w:pPr>
      <w:r>
        <w:rPr>
          <w:rFonts w:hint="eastAsia"/>
          <w:highlight w:val="none"/>
        </w:rPr>
        <w:t>如对本表中某种情形的</w:t>
      </w:r>
      <w:r>
        <w:rPr>
          <w:rFonts w:hint="eastAsia" w:ascii="宋体" w:hAnsi="宋体"/>
          <w:highlight w:val="none"/>
        </w:rPr>
        <w:t>评委意见不一致时，</w:t>
      </w:r>
      <w:r>
        <w:rPr>
          <w:rFonts w:hint="eastAsia"/>
          <w:highlight w:val="none"/>
        </w:rPr>
        <w:t>以评标委员会过半数成员的意见作为评标委员会对该情形的认定结论。</w:t>
      </w:r>
    </w:p>
    <w:p>
      <w:pPr>
        <w:spacing w:before="93" w:beforeLines="30" w:line="400" w:lineRule="exact"/>
        <w:ind w:left="420" w:hanging="420" w:hangingChars="200"/>
        <w:rPr>
          <w:rFonts w:ascii="宋体" w:hAnsi="宋体"/>
          <w:highlight w:val="none"/>
        </w:rPr>
      </w:pPr>
      <w:r>
        <w:rPr>
          <w:rFonts w:hint="eastAsia" w:ascii="宋体" w:hAnsi="宋体"/>
          <w:highlight w:val="none"/>
        </w:rPr>
        <w:t xml:space="preserve">评委签名：                                                                                </w:t>
      </w:r>
    </w:p>
    <w:p>
      <w:pPr>
        <w:spacing w:line="360" w:lineRule="auto"/>
        <w:rPr>
          <w:highlight w:val="none"/>
        </w:rPr>
      </w:pPr>
      <w:r>
        <w:rPr>
          <w:rFonts w:hint="eastAsia" w:ascii="宋体" w:hAnsi="宋体"/>
          <w:highlight w:val="none"/>
        </w:rPr>
        <w:t>日 期：    年   月   日</w:t>
      </w:r>
    </w:p>
    <w:p>
      <w:pPr>
        <w:spacing w:line="360" w:lineRule="auto"/>
        <w:rPr>
          <w:highlight w:val="none"/>
        </w:rPr>
      </w:pPr>
    </w:p>
    <w:p>
      <w:pPr>
        <w:rPr>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4D3"/>
    <w:multiLevelType w:val="singleLevel"/>
    <w:tmpl w:val="014734D3"/>
    <w:lvl w:ilvl="0" w:tentative="0">
      <w:start w:val="1"/>
      <w:numFmt w:val="decimal"/>
      <w:suff w:val="nothing"/>
      <w:lvlText w:val="%1．"/>
      <w:lvlJc w:val="left"/>
      <w:pPr>
        <w:ind w:left="0" w:firstLine="400"/>
      </w:pPr>
      <w:rPr>
        <w:rFonts w:hint="default"/>
      </w:rPr>
    </w:lvl>
  </w:abstractNum>
  <w:abstractNum w:abstractNumId="1">
    <w:nsid w:val="0971658A"/>
    <w:multiLevelType w:val="singleLevel"/>
    <w:tmpl w:val="0971658A"/>
    <w:lvl w:ilvl="0" w:tentative="0">
      <w:start w:val="1"/>
      <w:numFmt w:val="decimal"/>
      <w:suff w:val="nothing"/>
      <w:lvlText w:val="%1．"/>
      <w:lvlJc w:val="left"/>
      <w:pPr>
        <w:ind w:left="26" w:firstLine="400"/>
      </w:pPr>
      <w:rPr>
        <w:rFonts w:hint="default"/>
      </w:rPr>
    </w:lvl>
  </w:abstractNum>
  <w:abstractNum w:abstractNumId="2">
    <w:nsid w:val="0C6662A1"/>
    <w:multiLevelType w:val="multilevel"/>
    <w:tmpl w:val="0C6662A1"/>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0FB54A17"/>
    <w:multiLevelType w:val="multilevel"/>
    <w:tmpl w:val="0FB54A17"/>
    <w:lvl w:ilvl="0" w:tentative="0">
      <w:start w:val="3"/>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4">
    <w:nsid w:val="10DB5BCC"/>
    <w:multiLevelType w:val="multilevel"/>
    <w:tmpl w:val="10DB5BCC"/>
    <w:lvl w:ilvl="0" w:tentative="0">
      <w:start w:val="1"/>
      <w:numFmt w:val="chineseCountingThousand"/>
      <w:lvlText w:val="（%1）"/>
      <w:lvlJc w:val="left"/>
      <w:pPr>
        <w:ind w:left="900" w:hanging="420"/>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5">
    <w:nsid w:val="21D2323D"/>
    <w:multiLevelType w:val="multilevel"/>
    <w:tmpl w:val="21D2323D"/>
    <w:lvl w:ilvl="0" w:tentative="0">
      <w:start w:val="1"/>
      <w:numFmt w:val="decimal"/>
      <w:lvlText w:val="%1、"/>
      <w:lvlJc w:val="left"/>
      <w:pPr>
        <w:tabs>
          <w:tab w:val="left" w:pos="993"/>
        </w:tabs>
        <w:ind w:left="993" w:hanging="567"/>
      </w:pPr>
      <w:rPr>
        <w:rFonts w:hint="default"/>
        <w:u w:val="none"/>
        <w:lang w:val="en-US"/>
      </w:rPr>
    </w:lvl>
    <w:lvl w:ilvl="1" w:tentative="0">
      <w:start w:val="2"/>
      <w:numFmt w:val="decimal"/>
      <w:lvlText w:val="%2、"/>
      <w:lvlJc w:val="left"/>
      <w:pPr>
        <w:ind w:left="1206" w:hanging="360"/>
      </w:pPr>
      <w:rPr>
        <w:rFonts w:hint="default"/>
        <w:u w:val="none"/>
      </w:rPr>
    </w:lvl>
    <w:lvl w:ilvl="2" w:tentative="0">
      <w:start w:val="1"/>
      <w:numFmt w:val="lowerRoman"/>
      <w:lvlText w:val="%3."/>
      <w:lvlJc w:val="right"/>
      <w:pPr>
        <w:tabs>
          <w:tab w:val="left" w:pos="1686"/>
        </w:tabs>
        <w:ind w:left="1686" w:hanging="420"/>
      </w:pPr>
      <w:rPr>
        <w:rFonts w:hint="default"/>
        <w:u w:val="none"/>
      </w:rPr>
    </w:lvl>
    <w:lvl w:ilvl="3" w:tentative="0">
      <w:start w:val="1"/>
      <w:numFmt w:val="decimal"/>
      <w:lvlText w:val="%4."/>
      <w:lvlJc w:val="left"/>
      <w:pPr>
        <w:tabs>
          <w:tab w:val="left" w:pos="2106"/>
        </w:tabs>
        <w:ind w:left="2106" w:hanging="420"/>
      </w:pPr>
      <w:rPr>
        <w:rFonts w:hint="default"/>
        <w:u w:val="none"/>
      </w:rPr>
    </w:lvl>
    <w:lvl w:ilvl="4" w:tentative="0">
      <w:start w:val="1"/>
      <w:numFmt w:val="lowerLetter"/>
      <w:lvlText w:val="%5)"/>
      <w:lvlJc w:val="left"/>
      <w:pPr>
        <w:tabs>
          <w:tab w:val="left" w:pos="2526"/>
        </w:tabs>
        <w:ind w:left="2526" w:hanging="420"/>
      </w:pPr>
      <w:rPr>
        <w:rFonts w:hint="default"/>
        <w:u w:val="none"/>
      </w:rPr>
    </w:lvl>
    <w:lvl w:ilvl="5" w:tentative="0">
      <w:start w:val="1"/>
      <w:numFmt w:val="lowerRoman"/>
      <w:lvlText w:val="%6."/>
      <w:lvlJc w:val="right"/>
      <w:pPr>
        <w:tabs>
          <w:tab w:val="left" w:pos="2946"/>
        </w:tabs>
        <w:ind w:left="2946" w:hanging="420"/>
      </w:pPr>
      <w:rPr>
        <w:rFonts w:hint="default"/>
        <w:u w:val="none"/>
      </w:rPr>
    </w:lvl>
    <w:lvl w:ilvl="6" w:tentative="0">
      <w:start w:val="1"/>
      <w:numFmt w:val="decimal"/>
      <w:lvlText w:val="%7."/>
      <w:lvlJc w:val="left"/>
      <w:pPr>
        <w:tabs>
          <w:tab w:val="left" w:pos="3366"/>
        </w:tabs>
        <w:ind w:left="3366" w:hanging="420"/>
      </w:pPr>
      <w:rPr>
        <w:rFonts w:hint="default"/>
        <w:u w:val="none"/>
      </w:rPr>
    </w:lvl>
    <w:lvl w:ilvl="7" w:tentative="0">
      <w:start w:val="1"/>
      <w:numFmt w:val="lowerLetter"/>
      <w:lvlText w:val="%8)"/>
      <w:lvlJc w:val="left"/>
      <w:pPr>
        <w:tabs>
          <w:tab w:val="left" w:pos="3786"/>
        </w:tabs>
        <w:ind w:left="3786" w:hanging="420"/>
      </w:pPr>
      <w:rPr>
        <w:rFonts w:hint="default"/>
        <w:u w:val="none"/>
      </w:rPr>
    </w:lvl>
    <w:lvl w:ilvl="8" w:tentative="0">
      <w:start w:val="1"/>
      <w:numFmt w:val="lowerRoman"/>
      <w:lvlText w:val="%9."/>
      <w:lvlJc w:val="right"/>
      <w:pPr>
        <w:tabs>
          <w:tab w:val="left" w:pos="4206"/>
        </w:tabs>
        <w:ind w:left="4206" w:hanging="420"/>
      </w:pPr>
      <w:rPr>
        <w:rFonts w:hint="default"/>
        <w:u w:val="none"/>
      </w:rPr>
    </w:lvl>
  </w:abstractNum>
  <w:abstractNum w:abstractNumId="6">
    <w:nsid w:val="28B43203"/>
    <w:multiLevelType w:val="multilevel"/>
    <w:tmpl w:val="28B43203"/>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2E3C659D"/>
    <w:multiLevelType w:val="multilevel"/>
    <w:tmpl w:val="2E3C659D"/>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8">
    <w:nsid w:val="3D064FD2"/>
    <w:multiLevelType w:val="multilevel"/>
    <w:tmpl w:val="3D064FD2"/>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9">
    <w:nsid w:val="3DE36892"/>
    <w:multiLevelType w:val="multilevel"/>
    <w:tmpl w:val="3DE36892"/>
    <w:lvl w:ilvl="0" w:tentative="0">
      <w:start w:val="1"/>
      <w:numFmt w:val="japaneseCounting"/>
      <w:lvlText w:val="%1、"/>
      <w:lvlJc w:val="left"/>
      <w:pPr>
        <w:ind w:left="720" w:hanging="720"/>
      </w:pPr>
      <w:rPr>
        <w:rFonts w:hint="default"/>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7BB0C68"/>
    <w:multiLevelType w:val="singleLevel"/>
    <w:tmpl w:val="47BB0C68"/>
    <w:lvl w:ilvl="0" w:tentative="0">
      <w:start w:val="1"/>
      <w:numFmt w:val="chineseCounting"/>
      <w:suff w:val="nothing"/>
      <w:lvlText w:val="（%1）"/>
      <w:lvlJc w:val="left"/>
      <w:pPr>
        <w:ind w:left="0" w:firstLine="420"/>
      </w:pPr>
      <w:rPr>
        <w:rFonts w:hint="eastAsia"/>
      </w:rPr>
    </w:lvl>
  </w:abstractNum>
  <w:abstractNum w:abstractNumId="11">
    <w:nsid w:val="4DA04AEB"/>
    <w:multiLevelType w:val="singleLevel"/>
    <w:tmpl w:val="4DA04AEB"/>
    <w:lvl w:ilvl="0" w:tentative="0">
      <w:start w:val="1"/>
      <w:numFmt w:val="decimal"/>
      <w:suff w:val="nothing"/>
      <w:lvlText w:val="%1．"/>
      <w:lvlJc w:val="left"/>
      <w:pPr>
        <w:ind w:left="0" w:firstLine="400"/>
      </w:pPr>
      <w:rPr>
        <w:rFonts w:hint="default"/>
      </w:rPr>
    </w:lvl>
  </w:abstractNum>
  <w:abstractNum w:abstractNumId="12">
    <w:nsid w:val="539C4ED0"/>
    <w:multiLevelType w:val="multilevel"/>
    <w:tmpl w:val="539C4ED0"/>
    <w:lvl w:ilvl="0" w:tentative="0">
      <w:start w:val="1"/>
      <w:numFmt w:val="decimal"/>
      <w:lvlText w:val="3.%1"/>
      <w:lvlJc w:val="left"/>
      <w:pPr>
        <w:ind w:left="1140" w:hanging="420"/>
      </w:pPr>
      <w:rPr>
        <w:rFonts w:hint="eastAsia"/>
      </w:rPr>
    </w:lvl>
    <w:lvl w:ilvl="1" w:tentative="0">
      <w:start w:val="1"/>
      <w:numFmt w:val="decimal"/>
      <w:lvlText w:val="（%2）"/>
      <w:lvlJc w:val="left"/>
      <w:pPr>
        <w:ind w:left="1560" w:hanging="420"/>
      </w:pPr>
      <w:rPr>
        <w:rFonts w:hint="default"/>
      </w:r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3">
    <w:nsid w:val="572DE5B4"/>
    <w:multiLevelType w:val="multilevel"/>
    <w:tmpl w:val="572DE5B4"/>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4">
    <w:nsid w:val="58F8D439"/>
    <w:multiLevelType w:val="multilevel"/>
    <w:tmpl w:val="58F8D439"/>
    <w:lvl w:ilvl="0" w:tentative="0">
      <w:start w:val="1"/>
      <w:numFmt w:val="chineseCountingThousand"/>
      <w:lvlText w:val="(%1)"/>
      <w:lvlJc w:val="left"/>
      <w:pPr>
        <w:tabs>
          <w:tab w:val="left" w:pos="0"/>
        </w:tabs>
        <w:ind w:left="0" w:firstLine="0"/>
      </w:pPr>
      <w:rPr>
        <w:rFonts w:hint="eastAsia"/>
        <w:u w:val="none"/>
      </w:rPr>
    </w:lvl>
    <w:lvl w:ilvl="1" w:tentative="0">
      <w:start w:val="1"/>
      <w:numFmt w:val="lowerLetter"/>
      <w:lvlText w:val="%2)"/>
      <w:lvlJc w:val="left"/>
      <w:pPr>
        <w:ind w:left="1260" w:hanging="420"/>
      </w:pPr>
      <w:rPr>
        <w:rFonts w:hint="default"/>
        <w:u w:val="none"/>
      </w:rPr>
    </w:lvl>
    <w:lvl w:ilvl="2" w:tentative="0">
      <w:start w:val="1"/>
      <w:numFmt w:val="lowerRoman"/>
      <w:lvlText w:val="%3."/>
      <w:lvlJc w:val="right"/>
      <w:pPr>
        <w:ind w:left="1680" w:hanging="420"/>
      </w:pPr>
      <w:rPr>
        <w:rFonts w:hint="default"/>
        <w:u w:val="none"/>
      </w:rPr>
    </w:lvl>
    <w:lvl w:ilvl="3" w:tentative="0">
      <w:start w:val="1"/>
      <w:numFmt w:val="decimal"/>
      <w:lvlText w:val="%4."/>
      <w:lvlJc w:val="left"/>
      <w:pPr>
        <w:ind w:left="2100" w:hanging="420"/>
      </w:pPr>
      <w:rPr>
        <w:rFonts w:hint="default"/>
        <w:u w:val="none"/>
      </w:rPr>
    </w:lvl>
    <w:lvl w:ilvl="4" w:tentative="0">
      <w:start w:val="1"/>
      <w:numFmt w:val="lowerLetter"/>
      <w:lvlText w:val="%5)"/>
      <w:lvlJc w:val="left"/>
      <w:pPr>
        <w:ind w:left="2520" w:hanging="420"/>
      </w:pPr>
      <w:rPr>
        <w:rFonts w:hint="default"/>
        <w:u w:val="none"/>
      </w:rPr>
    </w:lvl>
    <w:lvl w:ilvl="5" w:tentative="0">
      <w:start w:val="1"/>
      <w:numFmt w:val="lowerRoman"/>
      <w:lvlText w:val="%6."/>
      <w:lvlJc w:val="right"/>
      <w:pPr>
        <w:ind w:left="2940" w:hanging="420"/>
      </w:pPr>
      <w:rPr>
        <w:rFonts w:hint="default"/>
        <w:u w:val="none"/>
      </w:rPr>
    </w:lvl>
    <w:lvl w:ilvl="6" w:tentative="0">
      <w:start w:val="1"/>
      <w:numFmt w:val="decimal"/>
      <w:lvlText w:val="%7."/>
      <w:lvlJc w:val="left"/>
      <w:pPr>
        <w:ind w:left="3360" w:hanging="420"/>
      </w:pPr>
      <w:rPr>
        <w:rFonts w:hint="default"/>
        <w:u w:val="none"/>
      </w:rPr>
    </w:lvl>
    <w:lvl w:ilvl="7" w:tentative="0">
      <w:start w:val="1"/>
      <w:numFmt w:val="lowerLetter"/>
      <w:lvlText w:val="%8)"/>
      <w:lvlJc w:val="left"/>
      <w:pPr>
        <w:ind w:left="3780" w:hanging="420"/>
      </w:pPr>
      <w:rPr>
        <w:rFonts w:hint="default"/>
        <w:u w:val="none"/>
      </w:rPr>
    </w:lvl>
    <w:lvl w:ilvl="8" w:tentative="0">
      <w:start w:val="1"/>
      <w:numFmt w:val="lowerRoman"/>
      <w:lvlText w:val="%9."/>
      <w:lvlJc w:val="right"/>
      <w:pPr>
        <w:ind w:left="4200" w:hanging="420"/>
      </w:pPr>
      <w:rPr>
        <w:rFonts w:hint="default"/>
        <w:u w:val="none"/>
      </w:rPr>
    </w:lvl>
  </w:abstractNum>
  <w:abstractNum w:abstractNumId="15">
    <w:nsid w:val="58F8EDAC"/>
    <w:multiLevelType w:val="multilevel"/>
    <w:tmpl w:val="58F8EDAC"/>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6">
    <w:nsid w:val="5B150110"/>
    <w:multiLevelType w:val="singleLevel"/>
    <w:tmpl w:val="5B150110"/>
    <w:lvl w:ilvl="0" w:tentative="0">
      <w:start w:val="1"/>
      <w:numFmt w:val="decimal"/>
      <w:suff w:val="nothing"/>
      <w:lvlText w:val="%1．"/>
      <w:lvlJc w:val="left"/>
      <w:pPr>
        <w:ind w:left="0" w:firstLine="400"/>
      </w:pPr>
      <w:rPr>
        <w:rFonts w:hint="default"/>
      </w:rPr>
    </w:lvl>
  </w:abstractNum>
  <w:abstractNum w:abstractNumId="17">
    <w:nsid w:val="6A477709"/>
    <w:multiLevelType w:val="multilevel"/>
    <w:tmpl w:val="6A477709"/>
    <w:lvl w:ilvl="0" w:tentative="0">
      <w:start w:val="1"/>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18">
    <w:nsid w:val="6A8001D1"/>
    <w:multiLevelType w:val="singleLevel"/>
    <w:tmpl w:val="6A8001D1"/>
    <w:lvl w:ilvl="0" w:tentative="0">
      <w:start w:val="1"/>
      <w:numFmt w:val="decimal"/>
      <w:suff w:val="nothing"/>
      <w:lvlText w:val="%1．"/>
      <w:lvlJc w:val="left"/>
      <w:pPr>
        <w:ind w:left="0" w:firstLine="400"/>
      </w:pPr>
      <w:rPr>
        <w:rFonts w:hint="default"/>
      </w:rPr>
    </w:lvl>
  </w:abstractNum>
  <w:abstractNum w:abstractNumId="19">
    <w:nsid w:val="720D1E31"/>
    <w:multiLevelType w:val="multilevel"/>
    <w:tmpl w:val="720D1E31"/>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20">
    <w:nsid w:val="73303B7B"/>
    <w:multiLevelType w:val="singleLevel"/>
    <w:tmpl w:val="73303B7B"/>
    <w:lvl w:ilvl="0" w:tentative="0">
      <w:start w:val="1"/>
      <w:numFmt w:val="chineseCounting"/>
      <w:suff w:val="nothing"/>
      <w:lvlText w:val="（%1）"/>
      <w:lvlJc w:val="left"/>
      <w:pPr>
        <w:ind w:left="-136" w:firstLine="420"/>
      </w:pPr>
      <w:rPr>
        <w:rFonts w:hint="eastAsia"/>
        <w:lang w:val="en-US"/>
      </w:rPr>
    </w:lvl>
  </w:abstractNum>
  <w:abstractNum w:abstractNumId="21">
    <w:nsid w:val="778D1C4E"/>
    <w:multiLevelType w:val="singleLevel"/>
    <w:tmpl w:val="778D1C4E"/>
    <w:lvl w:ilvl="0" w:tentative="0">
      <w:start w:val="1"/>
      <w:numFmt w:val="chineseCounting"/>
      <w:suff w:val="nothing"/>
      <w:lvlText w:val="%1、"/>
      <w:lvlJc w:val="left"/>
      <w:pPr>
        <w:ind w:left="0" w:firstLine="420"/>
      </w:pPr>
      <w:rPr>
        <w:rFonts w:hint="eastAsia"/>
      </w:rPr>
    </w:lvl>
  </w:abstractNum>
  <w:abstractNum w:abstractNumId="22">
    <w:nsid w:val="78B33624"/>
    <w:multiLevelType w:val="singleLevel"/>
    <w:tmpl w:val="78B33624"/>
    <w:lvl w:ilvl="0" w:tentative="0">
      <w:start w:val="1"/>
      <w:numFmt w:val="decimal"/>
      <w:suff w:val="nothing"/>
      <w:lvlText w:val="%1．"/>
      <w:lvlJc w:val="left"/>
      <w:pPr>
        <w:ind w:left="0" w:firstLine="400"/>
      </w:pPr>
      <w:rPr>
        <w:rFonts w:hint="default"/>
      </w:rPr>
    </w:lvl>
  </w:abstractNum>
  <w:abstractNum w:abstractNumId="23">
    <w:nsid w:val="7A3D513A"/>
    <w:multiLevelType w:val="multilevel"/>
    <w:tmpl w:val="7A3D513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7"/>
  </w:num>
  <w:num w:numId="2">
    <w:abstractNumId w:val="14"/>
  </w:num>
  <w:num w:numId="3">
    <w:abstractNumId w:val="3"/>
  </w:num>
  <w:num w:numId="4">
    <w:abstractNumId w:val="8"/>
  </w:num>
  <w:num w:numId="5">
    <w:abstractNumId w:val="19"/>
  </w:num>
  <w:num w:numId="6">
    <w:abstractNumId w:val="7"/>
  </w:num>
  <w:num w:numId="7">
    <w:abstractNumId w:val="2"/>
  </w:num>
  <w:num w:numId="8">
    <w:abstractNumId w:val="5"/>
  </w:num>
  <w:num w:numId="9">
    <w:abstractNumId w:val="4"/>
  </w:num>
  <w:num w:numId="10">
    <w:abstractNumId w:val="21"/>
  </w:num>
  <w:num w:numId="11">
    <w:abstractNumId w:val="20"/>
  </w:num>
  <w:num w:numId="12">
    <w:abstractNumId w:val="22"/>
  </w:num>
  <w:num w:numId="13">
    <w:abstractNumId w:val="1"/>
  </w:num>
  <w:num w:numId="14">
    <w:abstractNumId w:val="16"/>
  </w:num>
  <w:num w:numId="15">
    <w:abstractNumId w:val="18"/>
  </w:num>
  <w:num w:numId="16">
    <w:abstractNumId w:val="11"/>
  </w:num>
  <w:num w:numId="17">
    <w:abstractNumId w:val="10"/>
  </w:num>
  <w:num w:numId="18">
    <w:abstractNumId w:val="0"/>
  </w:num>
  <w:num w:numId="19">
    <w:abstractNumId w:val="9"/>
  </w:num>
  <w:num w:numId="20">
    <w:abstractNumId w:val="12"/>
  </w:num>
  <w:num w:numId="21">
    <w:abstractNumId w:val="6"/>
  </w:num>
  <w:num w:numId="22">
    <w:abstractNumId w:val="23"/>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E6"/>
    <w:rsid w:val="00055462"/>
    <w:rsid w:val="00066EB5"/>
    <w:rsid w:val="000704AC"/>
    <w:rsid w:val="000775B8"/>
    <w:rsid w:val="0008426A"/>
    <w:rsid w:val="00084FC8"/>
    <w:rsid w:val="0008780A"/>
    <w:rsid w:val="00092026"/>
    <w:rsid w:val="00121884"/>
    <w:rsid w:val="001252F0"/>
    <w:rsid w:val="00131D18"/>
    <w:rsid w:val="001360AA"/>
    <w:rsid w:val="00151472"/>
    <w:rsid w:val="00160670"/>
    <w:rsid w:val="0016226C"/>
    <w:rsid w:val="00167995"/>
    <w:rsid w:val="00172A27"/>
    <w:rsid w:val="00177DB2"/>
    <w:rsid w:val="0019317C"/>
    <w:rsid w:val="001D06F3"/>
    <w:rsid w:val="001F3443"/>
    <w:rsid w:val="001F38C3"/>
    <w:rsid w:val="001F3FA4"/>
    <w:rsid w:val="00204CDD"/>
    <w:rsid w:val="00211957"/>
    <w:rsid w:val="00212346"/>
    <w:rsid w:val="00213918"/>
    <w:rsid w:val="002560DB"/>
    <w:rsid w:val="00282C8D"/>
    <w:rsid w:val="00286609"/>
    <w:rsid w:val="00286B34"/>
    <w:rsid w:val="002A03FC"/>
    <w:rsid w:val="002C14E6"/>
    <w:rsid w:val="002E6ABB"/>
    <w:rsid w:val="002F4FBD"/>
    <w:rsid w:val="002F5659"/>
    <w:rsid w:val="00304259"/>
    <w:rsid w:val="00304742"/>
    <w:rsid w:val="00305942"/>
    <w:rsid w:val="0032748F"/>
    <w:rsid w:val="0032772B"/>
    <w:rsid w:val="00330308"/>
    <w:rsid w:val="00372405"/>
    <w:rsid w:val="003D691C"/>
    <w:rsid w:val="003E4F57"/>
    <w:rsid w:val="003E7E90"/>
    <w:rsid w:val="00402245"/>
    <w:rsid w:val="004048A2"/>
    <w:rsid w:val="00406C52"/>
    <w:rsid w:val="00413D1C"/>
    <w:rsid w:val="004169BF"/>
    <w:rsid w:val="00443DDA"/>
    <w:rsid w:val="004631CC"/>
    <w:rsid w:val="00466D47"/>
    <w:rsid w:val="00470BC1"/>
    <w:rsid w:val="00470DDE"/>
    <w:rsid w:val="0047190A"/>
    <w:rsid w:val="00474B2B"/>
    <w:rsid w:val="00476C0F"/>
    <w:rsid w:val="00484174"/>
    <w:rsid w:val="00493C7F"/>
    <w:rsid w:val="004A7756"/>
    <w:rsid w:val="004B11D7"/>
    <w:rsid w:val="004E5FDB"/>
    <w:rsid w:val="004F2909"/>
    <w:rsid w:val="004F36BB"/>
    <w:rsid w:val="004F45E1"/>
    <w:rsid w:val="00501A8A"/>
    <w:rsid w:val="005033BB"/>
    <w:rsid w:val="00527BD6"/>
    <w:rsid w:val="005311B9"/>
    <w:rsid w:val="00535149"/>
    <w:rsid w:val="0054253B"/>
    <w:rsid w:val="005475E5"/>
    <w:rsid w:val="00562A90"/>
    <w:rsid w:val="00574762"/>
    <w:rsid w:val="005859B1"/>
    <w:rsid w:val="005A2B85"/>
    <w:rsid w:val="005C005C"/>
    <w:rsid w:val="005C3E7E"/>
    <w:rsid w:val="005C500C"/>
    <w:rsid w:val="005D5C00"/>
    <w:rsid w:val="005E4749"/>
    <w:rsid w:val="00603F0D"/>
    <w:rsid w:val="006133C3"/>
    <w:rsid w:val="006157FE"/>
    <w:rsid w:val="00620929"/>
    <w:rsid w:val="006326E3"/>
    <w:rsid w:val="00643C6C"/>
    <w:rsid w:val="006712E3"/>
    <w:rsid w:val="00671D4B"/>
    <w:rsid w:val="0068111A"/>
    <w:rsid w:val="006814C2"/>
    <w:rsid w:val="00682622"/>
    <w:rsid w:val="006A3BB3"/>
    <w:rsid w:val="006A4371"/>
    <w:rsid w:val="006A5CC4"/>
    <w:rsid w:val="006B71ED"/>
    <w:rsid w:val="006D6938"/>
    <w:rsid w:val="006D7FA1"/>
    <w:rsid w:val="007029DA"/>
    <w:rsid w:val="00705503"/>
    <w:rsid w:val="00714007"/>
    <w:rsid w:val="00733C56"/>
    <w:rsid w:val="0075070C"/>
    <w:rsid w:val="00760ACA"/>
    <w:rsid w:val="00761C6B"/>
    <w:rsid w:val="007671A9"/>
    <w:rsid w:val="007779C8"/>
    <w:rsid w:val="00784E71"/>
    <w:rsid w:val="007869DB"/>
    <w:rsid w:val="00787196"/>
    <w:rsid w:val="00792768"/>
    <w:rsid w:val="007A13C5"/>
    <w:rsid w:val="007B2717"/>
    <w:rsid w:val="007B3C5F"/>
    <w:rsid w:val="007D2560"/>
    <w:rsid w:val="007E2195"/>
    <w:rsid w:val="007E3247"/>
    <w:rsid w:val="007F201B"/>
    <w:rsid w:val="007F628C"/>
    <w:rsid w:val="00804AB7"/>
    <w:rsid w:val="00807B8B"/>
    <w:rsid w:val="008203A0"/>
    <w:rsid w:val="008217FF"/>
    <w:rsid w:val="008233B6"/>
    <w:rsid w:val="00824E00"/>
    <w:rsid w:val="008433A6"/>
    <w:rsid w:val="00856C32"/>
    <w:rsid w:val="00865633"/>
    <w:rsid w:val="00883690"/>
    <w:rsid w:val="008A600E"/>
    <w:rsid w:val="008D7E50"/>
    <w:rsid w:val="00910331"/>
    <w:rsid w:val="00920579"/>
    <w:rsid w:val="009325E3"/>
    <w:rsid w:val="00936314"/>
    <w:rsid w:val="00947D4B"/>
    <w:rsid w:val="00950B98"/>
    <w:rsid w:val="00954F62"/>
    <w:rsid w:val="00961F75"/>
    <w:rsid w:val="009B252A"/>
    <w:rsid w:val="009B63A8"/>
    <w:rsid w:val="009D20F5"/>
    <w:rsid w:val="009D4CB5"/>
    <w:rsid w:val="009D62F1"/>
    <w:rsid w:val="009E0F94"/>
    <w:rsid w:val="00A1326C"/>
    <w:rsid w:val="00A23778"/>
    <w:rsid w:val="00A23A51"/>
    <w:rsid w:val="00A26562"/>
    <w:rsid w:val="00A26AAD"/>
    <w:rsid w:val="00A30091"/>
    <w:rsid w:val="00A47F45"/>
    <w:rsid w:val="00A56B98"/>
    <w:rsid w:val="00A8655B"/>
    <w:rsid w:val="00A9110E"/>
    <w:rsid w:val="00A93C1E"/>
    <w:rsid w:val="00AD0A84"/>
    <w:rsid w:val="00AE07C4"/>
    <w:rsid w:val="00AE7619"/>
    <w:rsid w:val="00B11C01"/>
    <w:rsid w:val="00B25413"/>
    <w:rsid w:val="00B3439E"/>
    <w:rsid w:val="00B35BF8"/>
    <w:rsid w:val="00B40C3B"/>
    <w:rsid w:val="00B46A1A"/>
    <w:rsid w:val="00B473E4"/>
    <w:rsid w:val="00B91DCE"/>
    <w:rsid w:val="00B92D92"/>
    <w:rsid w:val="00BB7D91"/>
    <w:rsid w:val="00BC1D8F"/>
    <w:rsid w:val="00BD137E"/>
    <w:rsid w:val="00BD6859"/>
    <w:rsid w:val="00C02D4F"/>
    <w:rsid w:val="00C07BBF"/>
    <w:rsid w:val="00C21B6F"/>
    <w:rsid w:val="00C24901"/>
    <w:rsid w:val="00C25A28"/>
    <w:rsid w:val="00C34E86"/>
    <w:rsid w:val="00C34F98"/>
    <w:rsid w:val="00C35BE0"/>
    <w:rsid w:val="00C360CE"/>
    <w:rsid w:val="00C73105"/>
    <w:rsid w:val="00C741DF"/>
    <w:rsid w:val="00CB3548"/>
    <w:rsid w:val="00CB6FFA"/>
    <w:rsid w:val="00CB7D96"/>
    <w:rsid w:val="00CC1797"/>
    <w:rsid w:val="00CD49B7"/>
    <w:rsid w:val="00CD5BBA"/>
    <w:rsid w:val="00CD6C03"/>
    <w:rsid w:val="00CE6AE9"/>
    <w:rsid w:val="00CF212B"/>
    <w:rsid w:val="00D05844"/>
    <w:rsid w:val="00D11328"/>
    <w:rsid w:val="00D21EBE"/>
    <w:rsid w:val="00D4050C"/>
    <w:rsid w:val="00D56296"/>
    <w:rsid w:val="00D62037"/>
    <w:rsid w:val="00D64649"/>
    <w:rsid w:val="00D66802"/>
    <w:rsid w:val="00D771A6"/>
    <w:rsid w:val="00D81CDB"/>
    <w:rsid w:val="00D96975"/>
    <w:rsid w:val="00DA1824"/>
    <w:rsid w:val="00DA2AA1"/>
    <w:rsid w:val="00DC4492"/>
    <w:rsid w:val="00DC67D9"/>
    <w:rsid w:val="00DD349E"/>
    <w:rsid w:val="00E312F0"/>
    <w:rsid w:val="00E31860"/>
    <w:rsid w:val="00E467F5"/>
    <w:rsid w:val="00E474FB"/>
    <w:rsid w:val="00E560B1"/>
    <w:rsid w:val="00E62DE2"/>
    <w:rsid w:val="00E725B6"/>
    <w:rsid w:val="00E8151C"/>
    <w:rsid w:val="00E84703"/>
    <w:rsid w:val="00E933A8"/>
    <w:rsid w:val="00EC63AD"/>
    <w:rsid w:val="00ED5BEE"/>
    <w:rsid w:val="00ED5E29"/>
    <w:rsid w:val="00EE01B2"/>
    <w:rsid w:val="00EE66C9"/>
    <w:rsid w:val="00F1390E"/>
    <w:rsid w:val="00F36482"/>
    <w:rsid w:val="00F5422B"/>
    <w:rsid w:val="00F56CDD"/>
    <w:rsid w:val="00F67C31"/>
    <w:rsid w:val="00F96BE7"/>
    <w:rsid w:val="00FA1E8E"/>
    <w:rsid w:val="00FE22F7"/>
    <w:rsid w:val="00FF6134"/>
    <w:rsid w:val="1561718D"/>
    <w:rsid w:val="1D486867"/>
    <w:rsid w:val="24C37BD9"/>
    <w:rsid w:val="24E1746D"/>
    <w:rsid w:val="28E43C1F"/>
    <w:rsid w:val="2EA52CAF"/>
    <w:rsid w:val="318105E6"/>
    <w:rsid w:val="39BF3522"/>
    <w:rsid w:val="3B4320D1"/>
    <w:rsid w:val="3F605D5E"/>
    <w:rsid w:val="53E02240"/>
    <w:rsid w:val="55BC644E"/>
    <w:rsid w:val="6D535020"/>
    <w:rsid w:val="78E45B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unhideWhenUsed/>
    <w:qFormat/>
    <w:uiPriority w:val="0"/>
    <w:rPr>
      <w:sz w:val="24"/>
    </w:rPr>
  </w:style>
  <w:style w:type="paragraph" w:styleId="3">
    <w:name w:val="Plain Text"/>
    <w:basedOn w:val="1"/>
    <w:unhideWhenUsed/>
    <w:qFormat/>
    <w:uiPriority w:val="0"/>
    <w:pPr>
      <w:widowControl/>
      <w:adjustRightInd w:val="0"/>
      <w:snapToGrid w:val="0"/>
      <w:ind w:firstLine="200" w:firstLineChars="200"/>
      <w:jc w:val="left"/>
    </w:pPr>
    <w:rPr>
      <w:rFonts w:hint="eastAsia" w:ascii="宋体" w:hAnsi="Courier New"/>
      <w:kern w:val="0"/>
      <w:sz w:val="22"/>
    </w:rPr>
  </w:style>
  <w:style w:type="paragraph" w:styleId="4">
    <w:name w:val="Balloon Text"/>
    <w:basedOn w:val="1"/>
    <w:link w:val="17"/>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8">
    <w:name w:val="FollowedHyperlink"/>
    <w:basedOn w:val="7"/>
    <w:uiPriority w:val="0"/>
    <w:rPr>
      <w:color w:val="2490F8"/>
      <w:u w:val="none"/>
    </w:rPr>
  </w:style>
  <w:style w:type="character" w:styleId="9">
    <w:name w:val="Emphasis"/>
    <w:basedOn w:val="7"/>
    <w:qFormat/>
    <w:uiPriority w:val="0"/>
  </w:style>
  <w:style w:type="character" w:styleId="10">
    <w:name w:val="Hyperlink"/>
    <w:basedOn w:val="7"/>
    <w:unhideWhenUsed/>
    <w:qFormat/>
    <w:uiPriority w:val="99"/>
    <w:rPr>
      <w:color w:val="2490F8"/>
      <w:u w:val="non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列出段落1"/>
    <w:basedOn w:val="1"/>
    <w:unhideWhenUsed/>
    <w:qFormat/>
    <w:uiPriority w:val="34"/>
    <w:pPr>
      <w:ind w:firstLine="420" w:firstLineChars="200"/>
    </w:pPr>
  </w:style>
  <w:style w:type="paragraph" w:customStyle="1" w:styleId="14">
    <w:name w:val="_Style 3"/>
    <w:basedOn w:val="1"/>
    <w:unhideWhenUsed/>
    <w:qFormat/>
    <w:uiPriority w:val="99"/>
    <w:pPr>
      <w:ind w:firstLine="420" w:firstLineChars="200"/>
    </w:pPr>
    <w:rPr>
      <w:rFonts w:ascii="Times New Roman" w:hAnsi="Times New Roman"/>
    </w:rPr>
  </w:style>
  <w:style w:type="paragraph" w:customStyle="1" w:styleId="15">
    <w:name w:val="无间隔1"/>
    <w:unhideWhenUsed/>
    <w:qFormat/>
    <w:uiPriority w:val="99"/>
    <w:pPr>
      <w:adjustRightInd w:val="0"/>
      <w:snapToGrid w:val="0"/>
    </w:pPr>
    <w:rPr>
      <w:rFonts w:ascii="Tahoma" w:hAnsi="Tahoma" w:eastAsia="微软雅黑" w:cs="Times New Roman"/>
      <w:sz w:val="22"/>
      <w:lang w:val="en-US" w:eastAsia="zh-CN" w:bidi="ar-SA"/>
    </w:rPr>
  </w:style>
  <w:style w:type="paragraph" w:styleId="16">
    <w:name w:val="List Paragraph"/>
    <w:basedOn w:val="1"/>
    <w:unhideWhenUsed/>
    <w:qFormat/>
    <w:uiPriority w:val="34"/>
    <w:pPr>
      <w:ind w:firstLine="420" w:firstLineChars="200"/>
    </w:pPr>
  </w:style>
  <w:style w:type="character" w:customStyle="1" w:styleId="17">
    <w:name w:val="批注框文本 Char"/>
    <w:basedOn w:val="7"/>
    <w:link w:val="4"/>
    <w:qFormat/>
    <w:uiPriority w:val="0"/>
    <w:rPr>
      <w:rFonts w:asciiTheme="minorHAnsi" w:hAnsiTheme="minorHAnsi" w:eastAsiaTheme="minorEastAsia" w:cstheme="minorBidi"/>
      <w:kern w:val="2"/>
      <w:sz w:val="18"/>
      <w:szCs w:val="18"/>
    </w:rPr>
  </w:style>
  <w:style w:type="character" w:customStyle="1" w:styleId="18">
    <w:name w:val="页眉 Char"/>
    <w:basedOn w:val="7"/>
    <w:link w:val="6"/>
    <w:qFormat/>
    <w:uiPriority w:val="0"/>
    <w:rPr>
      <w:rFonts w:asciiTheme="minorHAnsi" w:hAnsiTheme="minorHAnsi" w:eastAsiaTheme="minorEastAsia" w:cstheme="minorBidi"/>
      <w:kern w:val="2"/>
      <w:sz w:val="18"/>
      <w:szCs w:val="18"/>
    </w:rPr>
  </w:style>
  <w:style w:type="character" w:customStyle="1" w:styleId="19">
    <w:name w:val="xdrichtextbox2"/>
    <w:basedOn w:val="7"/>
    <w:qFormat/>
    <w:uiPriority w:val="0"/>
    <w:rPr>
      <w:color w:val="0000FF"/>
      <w:sz w:val="18"/>
      <w:szCs w:val="18"/>
      <w:u w:val="none"/>
      <w:bdr w:val="single" w:color="DCDCDC" w:sz="8" w:space="0"/>
      <w:shd w:val="clear" w:color="auto" w:fill="FFFFFF"/>
    </w:rPr>
  </w:style>
  <w:style w:type="paragraph" w:customStyle="1" w:styleId="20">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1">
    <w:name w:val="button4"/>
    <w:basedOn w:val="7"/>
    <w:uiPriority w:val="0"/>
  </w:style>
  <w:style w:type="character" w:customStyle="1" w:styleId="22">
    <w:name w:val="icontext3"/>
    <w:basedOn w:val="7"/>
    <w:uiPriority w:val="0"/>
  </w:style>
  <w:style w:type="character" w:customStyle="1" w:styleId="23">
    <w:name w:val="cdropleft"/>
    <w:basedOn w:val="7"/>
    <w:uiPriority w:val="0"/>
  </w:style>
  <w:style w:type="character" w:customStyle="1" w:styleId="24">
    <w:name w:val="icontext1"/>
    <w:basedOn w:val="7"/>
    <w:uiPriority w:val="0"/>
  </w:style>
  <w:style w:type="character" w:customStyle="1" w:styleId="25">
    <w:name w:val="icontext11"/>
    <w:basedOn w:val="7"/>
    <w:uiPriority w:val="0"/>
  </w:style>
  <w:style w:type="character" w:customStyle="1" w:styleId="26">
    <w:name w:val="icontext12"/>
    <w:basedOn w:val="7"/>
    <w:uiPriority w:val="0"/>
  </w:style>
  <w:style w:type="character" w:customStyle="1" w:styleId="27">
    <w:name w:val="w32"/>
    <w:basedOn w:val="7"/>
    <w:uiPriority w:val="0"/>
  </w:style>
  <w:style w:type="character" w:customStyle="1" w:styleId="28">
    <w:name w:val="cy"/>
    <w:basedOn w:val="7"/>
    <w:uiPriority w:val="0"/>
  </w:style>
  <w:style w:type="character" w:customStyle="1" w:styleId="29">
    <w:name w:val="pagechatarealistclose_box"/>
    <w:basedOn w:val="7"/>
    <w:uiPriority w:val="0"/>
  </w:style>
  <w:style w:type="character" w:customStyle="1" w:styleId="30">
    <w:name w:val="pagechatarealistclose_box1"/>
    <w:basedOn w:val="7"/>
    <w:uiPriority w:val="0"/>
  </w:style>
  <w:style w:type="character" w:customStyle="1" w:styleId="31">
    <w:name w:val="ico1654"/>
    <w:basedOn w:val="7"/>
    <w:uiPriority w:val="0"/>
  </w:style>
  <w:style w:type="character" w:customStyle="1" w:styleId="32">
    <w:name w:val="ico1655"/>
    <w:basedOn w:val="7"/>
    <w:uiPriority w:val="0"/>
  </w:style>
  <w:style w:type="character" w:customStyle="1" w:styleId="33">
    <w:name w:val="first-child"/>
    <w:basedOn w:val="7"/>
    <w:uiPriority w:val="0"/>
  </w:style>
  <w:style w:type="character" w:customStyle="1" w:styleId="34">
    <w:name w:val="tmpztreemove_arrow"/>
    <w:basedOn w:val="7"/>
    <w:uiPriority w:val="0"/>
  </w:style>
  <w:style w:type="character" w:customStyle="1" w:styleId="35">
    <w:name w:val="iconline2"/>
    <w:basedOn w:val="7"/>
    <w:uiPriority w:val="0"/>
  </w:style>
  <w:style w:type="character" w:customStyle="1" w:styleId="36">
    <w:name w:val="iconline21"/>
    <w:basedOn w:val="7"/>
    <w:uiPriority w:val="0"/>
  </w:style>
  <w:style w:type="character" w:customStyle="1" w:styleId="37">
    <w:name w:val="hilite6"/>
    <w:basedOn w:val="7"/>
    <w:uiPriority w:val="0"/>
    <w:rPr>
      <w:color w:val="FFFFFF"/>
      <w:shd w:val="clear" w:fill="666666"/>
    </w:rPr>
  </w:style>
  <w:style w:type="character" w:customStyle="1" w:styleId="38">
    <w:name w:val="associateddata"/>
    <w:basedOn w:val="7"/>
    <w:uiPriority w:val="0"/>
    <w:rPr>
      <w:shd w:val="clear" w:fill="50A6F9"/>
    </w:rPr>
  </w:style>
  <w:style w:type="character" w:customStyle="1" w:styleId="39">
    <w:name w:val="active4"/>
    <w:basedOn w:val="7"/>
    <w:uiPriority w:val="0"/>
    <w:rPr>
      <w:color w:val="00FF00"/>
      <w:shd w:val="clear" w:fill="111111"/>
    </w:rPr>
  </w:style>
  <w:style w:type="character" w:customStyle="1" w:styleId="40">
    <w:name w:val="after"/>
    <w:basedOn w:val="7"/>
    <w:uiPriority w:val="0"/>
    <w:rPr>
      <w:sz w:val="0"/>
      <w:szCs w:val="0"/>
    </w:rPr>
  </w:style>
  <w:style w:type="character" w:customStyle="1" w:styleId="41">
    <w:name w:val="cdropright"/>
    <w:basedOn w:val="7"/>
    <w:uiPriority w:val="0"/>
  </w:style>
  <w:style w:type="character" w:customStyle="1" w:styleId="42">
    <w:name w:val="drapbtn"/>
    <w:basedOn w:val="7"/>
    <w:uiPriority w:val="0"/>
  </w:style>
  <w:style w:type="character" w:customStyle="1" w:styleId="43">
    <w:name w:val="icontext2"/>
    <w:basedOn w:val="7"/>
    <w:uiPriority w:val="0"/>
  </w:style>
  <w:style w:type="character" w:customStyle="1" w:styleId="44">
    <w:name w:val="layui-layer-tabnow"/>
    <w:basedOn w:val="7"/>
    <w:uiPriority w:val="0"/>
    <w:rPr>
      <w:bdr w:val="single" w:color="CCCCCC" w:sz="6" w:space="0"/>
      <w:shd w:val="clear" w:fill="FFFFFF"/>
    </w:rPr>
  </w:style>
  <w:style w:type="character" w:customStyle="1" w:styleId="45">
    <w:name w:val="choose-status"/>
    <w:basedOn w:val="7"/>
    <w:uiPriority w:val="0"/>
    <w:rPr>
      <w:color w:val="1F85EC"/>
      <w:shd w:val="clear" w:fill="FFFFFF"/>
    </w:rPr>
  </w:style>
  <w:style w:type="character" w:customStyle="1" w:styleId="46">
    <w:name w:val="hilite"/>
    <w:basedOn w:val="7"/>
    <w:uiPriority w:val="0"/>
    <w:rPr>
      <w:color w:val="FFFFFF"/>
      <w:shd w:val="clear" w:fill="666666"/>
    </w:rPr>
  </w:style>
  <w:style w:type="character" w:customStyle="1" w:styleId="47">
    <w:name w:val="button"/>
    <w:basedOn w:val="7"/>
    <w:uiPriority w:val="0"/>
  </w:style>
  <w:style w:type="character" w:customStyle="1" w:styleId="48">
    <w:name w:val="active8"/>
    <w:basedOn w:val="7"/>
    <w:uiPriority w:val="0"/>
    <w:rPr>
      <w:color w:val="00FF00"/>
      <w:shd w:val="clear" w:fill="111111"/>
    </w:rPr>
  </w:style>
  <w:style w:type="character" w:customStyle="1" w:styleId="49">
    <w:name w:val="ico1653"/>
    <w:basedOn w:val="7"/>
    <w:uiPriority w:val="0"/>
  </w:style>
  <w:style w:type="character" w:customStyle="1" w:styleId="50">
    <w:name w:val="active6"/>
    <w:basedOn w:val="7"/>
    <w:uiPriority w:val="0"/>
    <w:rPr>
      <w:color w:val="00FF00"/>
      <w:shd w:val="clear" w:fill="11111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69947C-1329-4C18-AF0F-03FE0C9DF2BF}">
  <ds:schemaRefs/>
</ds:datastoreItem>
</file>

<file path=docProps/app.xml><?xml version="1.0" encoding="utf-8"?>
<Properties xmlns="http://schemas.openxmlformats.org/officeDocument/2006/extended-properties" xmlns:vt="http://schemas.openxmlformats.org/officeDocument/2006/docPropsVTypes">
  <Template>Normal.dotm</Template>
  <Company>dxcgs</Company>
  <Pages>22</Pages>
  <Words>1620</Words>
  <Characters>9238</Characters>
  <Lines>76</Lines>
  <Paragraphs>21</Paragraphs>
  <TotalTime>8</TotalTime>
  <ScaleCrop>false</ScaleCrop>
  <LinksUpToDate>false</LinksUpToDate>
  <CharactersWithSpaces>10837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2018-11-11T07:00:00Z</dcterms:created>
  <dc:creator>MoZH</dc:creator>
  <cp:lastModifiedBy>zhanyj</cp:lastModifiedBy>
  <dcterms:modified xsi:type="dcterms:W3CDTF">2022-05-16T06:52:08Z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