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广州大学城投资经营管理有限公司</w:t>
      </w:r>
    </w:p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  <w:lang w:val="en-US" w:eastAsia="zh-CN"/>
        </w:rPr>
        <w:t>20220523冷系统月度材料采购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20220523冷系统月度材料采购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23冷系统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材料采购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包组一五金机械材料类限价10.5万元，包组二冷站主机材料限价24万元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包组一五金机械材料类，包组二冷站主机材料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日，同时在广东建设工程信息网（网址：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"http://www.buildinfo.com.cn"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http://www.buildinfo.com.cn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）、广州大学城投资经营管理有限公司网站（网址：www.gzuci.com）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网址：http://cg.gemas.com.cn/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20220523冷系统材料采购</w:t>
      </w:r>
      <w:r>
        <w:rPr>
          <w:rFonts w:hint="eastAsia" w:ascii="宋体" w:hAnsi="宋体" w:eastAsia="宋体" w:cs="宋体"/>
          <w:sz w:val="24"/>
          <w:szCs w:val="24"/>
        </w:rPr>
        <w:t>项目投标文件”字样。投标供应商递交投标文件后，请联系采购人确认。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李群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21B0A"/>
    <w:rsid w:val="61345013"/>
    <w:rsid w:val="733F3242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unhideWhenUsed/>
    <w:qFormat/>
    <w:uiPriority w:val="0"/>
    <w:pPr>
      <w:ind w:firstLine="420" w:firstLineChars="200"/>
    </w:p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2022-06-10T07:54:35Z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