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广州大学城投资经营管理有限公司</w:t>
      </w:r>
    </w:p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  <w:lang w:val="en-US" w:eastAsia="zh-CN"/>
        </w:rPr>
        <w:t>冷量表、流量计表头材料采购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7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冷量表、流量计表头材料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冷量表、流量计表头材料采购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包组一冷量表材料限价4.5万元，包组二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流量计表头材料</w:t>
      </w:r>
      <w:r>
        <w:rPr>
          <w:rFonts w:hint="eastAsia" w:ascii="宋体" w:hAnsi="宋体"/>
          <w:sz w:val="24"/>
          <w:highlight w:val="none"/>
          <w:lang w:val="en-US" w:eastAsia="zh-CN"/>
        </w:rPr>
        <w:t>限价3万元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包组一冷量表材料，包组二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流量计表头材料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日，同时在广州大学城投资经营管理有限公司网站（网址：www.gzuci.com）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广州国企阳光采购信息发布平台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网址：http://ygcg.gzggzy.cn/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冷量表、流量计表头材料采购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1312C"/>
    <w:rsid w:val="33AD6CAF"/>
    <w:rsid w:val="39C41E4B"/>
    <w:rsid w:val="4F721B0A"/>
    <w:rsid w:val="61345013"/>
    <w:rsid w:val="733F3242"/>
    <w:rsid w:val="736D68A1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unhideWhenUsed/>
    <w:qFormat/>
    <w:uiPriority w:val="0"/>
    <w:pPr>
      <w:ind w:firstLine="420" w:firstLineChars="200"/>
    </w:p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span_on"/>
    <w:basedOn w:val="3"/>
    <w:uiPriority w:val="0"/>
    <w:rPr>
      <w:shd w:val="clear" w:fill="EAF7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2022-08-09T04:00:19Z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