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44"/>
          <w:szCs w:val="44"/>
        </w:rPr>
        <w:t>夏荷充电站劳务服务项目公开</w:t>
      </w:r>
      <w:r>
        <w:rPr>
          <w:rFonts w:hint="eastAsia"/>
          <w:b/>
          <w:bCs/>
          <w:sz w:val="44"/>
          <w:szCs w:val="44"/>
          <w:lang w:eastAsia="zh-CN"/>
        </w:rPr>
        <w:t>竞选</w:t>
      </w:r>
      <w:r>
        <w:rPr>
          <w:rFonts w:hint="eastAsia"/>
          <w:b/>
          <w:bCs/>
          <w:sz w:val="44"/>
          <w:szCs w:val="44"/>
        </w:rPr>
        <w:t>文件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就</w:t>
      </w:r>
      <w:r>
        <w:rPr>
          <w:rFonts w:hint="eastAsia" w:ascii="仿宋_GB2312" w:eastAsia="仿宋_GB2312"/>
          <w:sz w:val="32"/>
          <w:szCs w:val="32"/>
        </w:rPr>
        <w:t>夏荷充电站劳务服务项目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进行公开竞选，有关事项具体如下</w:t>
      </w:r>
      <w:r>
        <w:rPr>
          <w:rFonts w:hint="eastAsia" w:ascii="仿宋_GB2312" w:hAnsi="宋体" w:eastAsia="仿宋_GB2312" w:cs="Arial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一、项目名称及概况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（一）项目名称：夏荷充电站劳务服务项目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站场地址</w:t>
      </w:r>
      <w:r>
        <w:rPr>
          <w:rFonts w:hint="eastAsia" w:ascii="仿宋_GB2312" w:eastAsia="仿宋_GB2312"/>
          <w:sz w:val="32"/>
          <w:szCs w:val="32"/>
        </w:rPr>
        <w:t>：广州</w:t>
      </w:r>
      <w:r>
        <w:rPr>
          <w:rFonts w:hint="eastAsia" w:ascii="仿宋_GB2312" w:eastAsia="仿宋_GB2312"/>
          <w:sz w:val="32"/>
          <w:szCs w:val="32"/>
          <w:lang w:eastAsia="zh-CN"/>
        </w:rPr>
        <w:t>市白云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江高镇夏荷</w:t>
      </w:r>
      <w:r>
        <w:rPr>
          <w:rFonts w:hint="eastAsia" w:ascii="仿宋_GB2312" w:eastAsia="仿宋_GB2312"/>
          <w:sz w:val="32"/>
          <w:szCs w:val="32"/>
        </w:rPr>
        <w:t>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474公交车总站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主要工作为充电站的充电管理、停车管理、安全管理、移车管理、场地环境及卫生管理等。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竞选单位</w:t>
      </w:r>
      <w:r>
        <w:rPr>
          <w:rFonts w:hint="eastAsia" w:ascii="黑体" w:hAnsi="黑体" w:eastAsia="黑体"/>
          <w:sz w:val="32"/>
          <w:szCs w:val="32"/>
        </w:rPr>
        <w:t>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竞选单位</w:t>
      </w:r>
      <w:r>
        <w:rPr>
          <w:rFonts w:hint="eastAsia" w:ascii="仿宋_GB2312" w:eastAsia="仿宋_GB2312"/>
          <w:sz w:val="32"/>
          <w:szCs w:val="32"/>
        </w:rPr>
        <w:t>应持有工商行政管理部门核发的有效法人营业执照</w:t>
      </w:r>
      <w:r>
        <w:rPr>
          <w:rFonts w:hint="eastAsia" w:ascii="仿宋_GB2312" w:eastAsia="仿宋_GB2312"/>
          <w:sz w:val="32"/>
          <w:szCs w:val="32"/>
          <w:lang w:eastAsia="zh-CN"/>
        </w:rPr>
        <w:t>，且</w:t>
      </w:r>
      <w:r>
        <w:rPr>
          <w:rFonts w:hint="eastAsia" w:ascii="仿宋_GB2312" w:eastAsia="仿宋_GB2312"/>
          <w:sz w:val="32"/>
          <w:szCs w:val="32"/>
        </w:rPr>
        <w:t>在广州市注册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经营范围</w:t>
      </w:r>
      <w:r>
        <w:rPr>
          <w:rFonts w:hint="eastAsia" w:ascii="仿宋_GB2312" w:eastAsia="仿宋_GB2312"/>
          <w:sz w:val="32"/>
          <w:szCs w:val="32"/>
          <w:lang w:eastAsia="zh-CN"/>
        </w:rPr>
        <w:t>包括但不限于</w:t>
      </w:r>
      <w:r>
        <w:rPr>
          <w:rFonts w:hint="eastAsia" w:ascii="仿宋_GB2312" w:eastAsia="仿宋_GB2312"/>
          <w:sz w:val="32"/>
          <w:szCs w:val="32"/>
        </w:rPr>
        <w:t>劳务服务或物业管理服务或停车场经营。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竞选单位</w:t>
      </w:r>
      <w:r>
        <w:rPr>
          <w:rFonts w:hint="eastAsia" w:ascii="仿宋_GB2312" w:eastAsia="仿宋_GB2312"/>
          <w:sz w:val="32"/>
          <w:szCs w:val="32"/>
        </w:rPr>
        <w:t>在广州市有管理团队，便于管理和配合</w:t>
      </w:r>
      <w:r>
        <w:rPr>
          <w:rFonts w:hint="eastAsia" w:ascii="仿宋_GB2312" w:eastAsia="仿宋_GB2312"/>
          <w:sz w:val="32"/>
          <w:szCs w:val="32"/>
          <w:lang w:eastAsia="zh-CN"/>
        </w:rPr>
        <w:t>采购人</w:t>
      </w:r>
      <w:r>
        <w:rPr>
          <w:rFonts w:hint="eastAsia" w:ascii="仿宋_GB2312" w:eastAsia="仿宋_GB2312"/>
          <w:sz w:val="32"/>
          <w:szCs w:val="32"/>
        </w:rPr>
        <w:t>运营。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竞选单位自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2021年1月至2022年6月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hint="eastAsia" w:ascii="仿宋_GB2312" w:eastAsia="仿宋_GB2312"/>
          <w:sz w:val="32"/>
          <w:szCs w:val="32"/>
          <w:lang w:eastAsia="zh-CN"/>
        </w:rPr>
        <w:t>广州市行政区域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充电站管理以及公交移车服务</w:t>
      </w:r>
      <w:r>
        <w:rPr>
          <w:rFonts w:hint="eastAsia" w:ascii="仿宋_GB2312" w:eastAsia="仿宋_GB2312"/>
          <w:sz w:val="32"/>
          <w:szCs w:val="32"/>
          <w:lang w:eastAsia="zh-CN"/>
        </w:rPr>
        <w:t>业绩。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不符合以上资格要求的报价单位文件视为无效。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根据采购人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  <w:lang w:eastAsia="zh-CN"/>
        </w:rPr>
        <w:t>，提供以下服务（包括但不限于）：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（一）负责充电站的车辆进出场及人员进出管理、场内秩序维护工作。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（二）确保充电站停车收入正常，不发生车辆逃费、欠费出场情况。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（三）负责充电车辆（含公交大巴）的充电服务保障工作。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（四）负责充电车辆（含公交大巴）的移车工作。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（五）负责充电站场地卫生保洁工作，确保充电站环境干净整洁。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（六）负责充电站设备设施的检查工作，发现设备设施有故障等情况，立即上报维修。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（七）负责充电站安全生产管理，做好日常安全检查，发现安全隐患，立即上报处理。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（八）按照</w:t>
      </w:r>
      <w:r>
        <w:rPr>
          <w:rFonts w:hint="eastAsia" w:ascii="仿宋_GB2312" w:eastAsia="仿宋_GB2312"/>
          <w:sz w:val="32"/>
          <w:szCs w:val="32"/>
          <w:lang w:eastAsia="zh-CN"/>
        </w:rPr>
        <w:t>采购人</w:t>
      </w:r>
      <w:r>
        <w:rPr>
          <w:rFonts w:hint="eastAsia" w:ascii="仿宋_GB2312" w:eastAsia="仿宋_GB2312"/>
          <w:sz w:val="32"/>
          <w:szCs w:val="32"/>
        </w:rPr>
        <w:t>现场相关管理制度及要求落实相关工作。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（九）根据充电站的实际情况，负责充电站车辆充电的调度安排，确保充电车辆有序充电，达到充电效率最大化的目标。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四、人员要求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（一）驻场管理人员须按照</w:t>
      </w:r>
      <w:r>
        <w:rPr>
          <w:rFonts w:hint="eastAsia" w:ascii="仿宋_GB2312" w:eastAsia="仿宋_GB2312"/>
          <w:sz w:val="32"/>
          <w:szCs w:val="32"/>
          <w:lang w:eastAsia="zh-CN"/>
        </w:rPr>
        <w:t>采购人</w:t>
      </w:r>
      <w:r>
        <w:rPr>
          <w:rFonts w:hint="eastAsia" w:ascii="仿宋_GB2312" w:eastAsia="仿宋_GB2312"/>
          <w:sz w:val="32"/>
          <w:szCs w:val="32"/>
        </w:rPr>
        <w:t>实际用人需求分阶段安排上岗，且管理人员中须持有效大客车驾驶执照A1或A3的人数不少于2人，上岗前须经</w:t>
      </w:r>
      <w:r>
        <w:rPr>
          <w:rFonts w:hint="eastAsia" w:ascii="仿宋_GB2312" w:eastAsia="仿宋_GB2312"/>
          <w:sz w:val="32"/>
          <w:szCs w:val="32"/>
          <w:lang w:eastAsia="zh-CN"/>
        </w:rPr>
        <w:t>采购人</w:t>
      </w:r>
      <w:r>
        <w:rPr>
          <w:rFonts w:hint="eastAsia" w:ascii="仿宋_GB2312" w:eastAsia="仿宋_GB2312"/>
          <w:sz w:val="32"/>
          <w:szCs w:val="32"/>
        </w:rPr>
        <w:t>培训审核。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（二）本项目共设置三个充电管理员岗及一个充电移车管理员岗，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竞选单位</w:t>
      </w:r>
      <w:r>
        <w:rPr>
          <w:rFonts w:hint="eastAsia" w:ascii="仿宋_GB2312" w:eastAsia="仿宋_GB2312"/>
          <w:bCs/>
          <w:sz w:val="32"/>
          <w:szCs w:val="32"/>
        </w:rPr>
        <w:t>应就岗位设置要求提供相应的驻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场</w:t>
      </w:r>
      <w:r>
        <w:rPr>
          <w:rFonts w:hint="eastAsia" w:ascii="仿宋_GB2312" w:eastAsia="仿宋_GB2312"/>
          <w:bCs/>
          <w:sz w:val="32"/>
          <w:szCs w:val="32"/>
        </w:rPr>
        <w:t>充电管理员实行全天24小时轮岗值班。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竞选单位</w:t>
      </w:r>
      <w:r>
        <w:rPr>
          <w:rFonts w:hint="eastAsia" w:ascii="仿宋_GB2312" w:eastAsia="仿宋_GB2312"/>
          <w:sz w:val="32"/>
          <w:szCs w:val="32"/>
        </w:rPr>
        <w:t>须安排1名项目主管，统筹安排充电站日常管理工作，直接向</w:t>
      </w:r>
      <w:r>
        <w:rPr>
          <w:rFonts w:hint="eastAsia" w:ascii="仿宋_GB2312" w:eastAsia="仿宋_GB2312"/>
          <w:sz w:val="32"/>
          <w:szCs w:val="32"/>
          <w:lang w:eastAsia="zh-CN"/>
        </w:rPr>
        <w:t>采购人</w:t>
      </w:r>
      <w:r>
        <w:rPr>
          <w:rFonts w:hint="eastAsia" w:ascii="仿宋_GB2312" w:eastAsia="仿宋_GB2312"/>
          <w:sz w:val="32"/>
          <w:szCs w:val="32"/>
        </w:rPr>
        <w:t>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（四）驻场管理人员须严格服从</w:t>
      </w:r>
      <w:r>
        <w:rPr>
          <w:rFonts w:hint="eastAsia" w:ascii="仿宋_GB2312" w:eastAsia="仿宋_GB2312"/>
          <w:sz w:val="32"/>
          <w:szCs w:val="32"/>
          <w:lang w:eastAsia="zh-CN"/>
        </w:rPr>
        <w:t>采购人</w:t>
      </w:r>
      <w:r>
        <w:rPr>
          <w:rFonts w:hint="eastAsia" w:ascii="仿宋_GB2312" w:eastAsia="仿宋_GB2312"/>
          <w:sz w:val="32"/>
          <w:szCs w:val="32"/>
        </w:rPr>
        <w:t>管理，不符合</w:t>
      </w:r>
      <w:r>
        <w:rPr>
          <w:rFonts w:hint="eastAsia" w:ascii="仿宋_GB2312" w:eastAsia="仿宋_GB2312"/>
          <w:sz w:val="32"/>
          <w:szCs w:val="32"/>
          <w:lang w:eastAsia="zh-CN"/>
        </w:rPr>
        <w:t>采购人</w:t>
      </w:r>
      <w:r>
        <w:rPr>
          <w:rFonts w:hint="eastAsia" w:ascii="仿宋_GB2312" w:eastAsia="仿宋_GB2312"/>
          <w:sz w:val="32"/>
          <w:szCs w:val="32"/>
        </w:rPr>
        <w:t>管理要求的，</w:t>
      </w:r>
      <w:r>
        <w:rPr>
          <w:rFonts w:hint="eastAsia" w:ascii="仿宋_GB2312" w:eastAsia="仿宋_GB2312"/>
          <w:sz w:val="32"/>
          <w:szCs w:val="32"/>
          <w:lang w:eastAsia="zh-CN"/>
        </w:rPr>
        <w:t>采购人</w:t>
      </w:r>
      <w:r>
        <w:rPr>
          <w:rFonts w:hint="eastAsia" w:ascii="仿宋_GB2312" w:eastAsia="仿宋_GB2312"/>
          <w:sz w:val="32"/>
          <w:szCs w:val="32"/>
        </w:rPr>
        <w:t>有权要求更换驻场管理人员。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五、服务期限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服务期限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12个月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、获取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竞选</w:t>
      </w:r>
      <w:r>
        <w:rPr>
          <w:rFonts w:hint="eastAsia" w:ascii="黑体" w:hAnsi="黑体" w:eastAsia="黑体" w:cs="黑体"/>
          <w:sz w:val="32"/>
          <w:szCs w:val="32"/>
        </w:rPr>
        <w:t>文件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0" w:after="150" w:line="500" w:lineRule="exact"/>
        <w:ind w:firstLine="555"/>
        <w:textAlignment w:val="auto"/>
        <w:rPr>
          <w:rFonts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</w:rPr>
        <w:t>获取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eastAsia="zh-CN"/>
        </w:rPr>
        <w:t>竞选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</w:rPr>
        <w:t>文件方式：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2022年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日至2022年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日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</w:rPr>
        <w:t>，工作日北京时间上午9:00至12:00，下午14:00至17:00，联系采购人获取。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、报价及报价文件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（一）本项目采用固定单价包干形式，费用以实际服务天数计算。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1.场内充电移车服务费用＝服务天数×服务人数×单价，单价不超过320元/</w:t>
      </w:r>
      <w:r>
        <w:rPr>
          <w:rFonts w:hint="eastAsia" w:ascii="仿宋_GB2312" w:eastAsia="仿宋_GB2312"/>
          <w:sz w:val="32"/>
          <w:szCs w:val="32"/>
        </w:rPr>
        <w:t>天/人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</w:rPr>
        <w:t>充电管理员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服务费用＝服务天数×服务人数×单价，单价</w:t>
      </w:r>
      <w:r>
        <w:rPr>
          <w:rFonts w:hint="eastAsia" w:ascii="仿宋_GB2312" w:eastAsia="仿宋_GB2312"/>
          <w:sz w:val="32"/>
          <w:szCs w:val="32"/>
        </w:rPr>
        <w:t>不超过260元/天/人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500" w:lineRule="exact"/>
        <w:ind w:firstLine="643" w:firstLineChars="200"/>
        <w:textAlignment w:val="auto"/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2"/>
          <w:sz w:val="32"/>
          <w:szCs w:val="32"/>
          <w:lang w:val="en-US" w:eastAsia="zh-CN" w:bidi="ar-SA"/>
        </w:rPr>
        <w:t>以上均按实际服务的天数及人数计算，其中</w:t>
      </w:r>
      <w:r>
        <w:rPr>
          <w:rFonts w:hint="eastAsia" w:ascii="仿宋_GB2312" w:eastAsia="仿宋_GB2312"/>
          <w:b/>
          <w:bCs/>
          <w:sz w:val="32"/>
          <w:szCs w:val="32"/>
        </w:rPr>
        <w:t>充电移车管理员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不超一人，</w:t>
      </w:r>
      <w:r>
        <w:rPr>
          <w:rFonts w:hint="eastAsia" w:ascii="仿宋_GB2312" w:eastAsia="仿宋_GB2312"/>
          <w:b/>
          <w:bCs/>
          <w:sz w:val="32"/>
          <w:szCs w:val="32"/>
        </w:rPr>
        <w:t>充电管理员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不超三人进行结算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。所报价格为该项目服务管理包含的所有费用。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发生以下行为，采购人有权立即终止合同，并向中标单位追讨相关损失：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1.现场管理人员私自收取停车费用或充电费用；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本项目</w:t>
      </w:r>
      <w:r>
        <w:rPr>
          <w:rFonts w:hint="eastAsia" w:ascii="仿宋_GB2312" w:eastAsia="仿宋_GB2312"/>
          <w:sz w:val="32"/>
          <w:szCs w:val="32"/>
        </w:rPr>
        <w:t>发生安全生产事故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中标单位其他项目</w:t>
      </w:r>
      <w:r>
        <w:rPr>
          <w:rFonts w:hint="eastAsia" w:ascii="仿宋_GB2312" w:eastAsia="仿宋_GB2312"/>
          <w:sz w:val="32"/>
          <w:szCs w:val="32"/>
        </w:rPr>
        <w:t>发生安全生产事故</w:t>
      </w:r>
      <w:r>
        <w:rPr>
          <w:rFonts w:hint="eastAsia" w:ascii="仿宋_GB2312" w:eastAsia="仿宋_GB2312"/>
          <w:sz w:val="32"/>
          <w:szCs w:val="32"/>
          <w:lang w:eastAsia="zh-CN"/>
        </w:rPr>
        <w:t>，并被相关行政管理部门处罚的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存在弄虚作假骗取中标情形的；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5.因中标单位自身原因造成不良社会影响或负面舆情影响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严重损害</w:t>
      </w:r>
      <w:r>
        <w:rPr>
          <w:rFonts w:hint="eastAsia" w:ascii="仿宋_GB2312" w:eastAsia="仿宋_GB2312"/>
          <w:sz w:val="32"/>
          <w:szCs w:val="32"/>
          <w:lang w:eastAsia="zh-CN"/>
        </w:rPr>
        <w:t>采购人</w:t>
      </w:r>
      <w:r>
        <w:rPr>
          <w:rFonts w:hint="eastAsia" w:ascii="仿宋_GB2312" w:eastAsia="仿宋_GB2312"/>
          <w:sz w:val="32"/>
          <w:szCs w:val="32"/>
        </w:rPr>
        <w:t>利益的其他行为。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、报价文件的提交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（一）报价文件提交截止时间：2022年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日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>11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时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>00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分，逾期提交的报价文件不予接受。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（二）提交方式：报价文件纸质文件一式两份，盖章扫描件电子版一份。报价文件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eastAsia="zh-CN"/>
        </w:rPr>
        <w:t>（包括但不限于报价书、所有资格证明文件、业绩等）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须经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竞选单位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签章齐全后以密封形式递交至广州市城投土地开发有限公司（地址：广州市越秀区流花路117号流花展贸中心13号馆4楼），信封上注明项目名称及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eastAsia="zh-CN"/>
        </w:rPr>
        <w:t>竞选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单位全称，信封封口处应当加盖单位公章。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采用邮寄方式的，应在邮寄外包装袋上注明“</w:t>
      </w:r>
      <w:r>
        <w:rPr>
          <w:rFonts w:hint="eastAsia" w:ascii="仿宋_GB2312" w:eastAsia="仿宋_GB2312"/>
          <w:sz w:val="32"/>
          <w:szCs w:val="32"/>
        </w:rPr>
        <w:t>夏荷充电站劳务服务项目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”字样。电子版可随纸质文件一同投递，或在截止时间后24小时内以电子邮件方式投递到邮箱：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>654967071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@qq.com。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eastAsia="zh-CN"/>
        </w:rPr>
        <w:t>竞选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单位递交报价文件后，请联系采购人确认。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九、候选单位确认方式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500" w:lineRule="exact"/>
        <w:ind w:firstLine="643" w:firstLineChars="200"/>
        <w:textAlignment w:val="auto"/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  <w:t>本项目采用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  <w:lang w:eastAsia="zh-CN"/>
        </w:rPr>
        <w:t>综合评分法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 xml:space="preserve">采购人组建评审小组，并按照竞选文件的要求进行评分，先进行资格审查，再进行详细评审，评审标准如下： </w:t>
      </w:r>
    </w:p>
    <w:tbl>
      <w:tblPr>
        <w:tblStyle w:val="7"/>
        <w:tblW w:w="93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845"/>
        <w:gridCol w:w="3462"/>
        <w:gridCol w:w="3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权重与分值</w:t>
            </w:r>
          </w:p>
        </w:tc>
        <w:tc>
          <w:tcPr>
            <w:tcW w:w="6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价格分</w:t>
            </w:r>
          </w:p>
        </w:tc>
        <w:tc>
          <w:tcPr>
            <w:tcW w:w="3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业绩分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权重</w:t>
            </w:r>
          </w:p>
        </w:tc>
        <w:tc>
          <w:tcPr>
            <w:tcW w:w="3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3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3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3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</w:t>
            </w:r>
          </w:p>
        </w:tc>
      </w:tr>
      <w:tr>
        <w:trPr>
          <w:trHeight w:val="406" w:hRule="atLeast"/>
          <w:jc w:val="center"/>
        </w:trPr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计算方法</w:t>
            </w:r>
          </w:p>
        </w:tc>
        <w:tc>
          <w:tcPr>
            <w:tcW w:w="3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报价由低到高进行排序，排名第1名的得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0分，第2名得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分，第3名得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分，第4名得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分，其余不得分。若投标人得分相同的，则名次并列，占用名额。</w:t>
            </w:r>
          </w:p>
        </w:tc>
        <w:tc>
          <w:tcPr>
            <w:tcW w:w="3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每份充电站服务合同得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分，最高得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0分。（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每份合同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期不少于3个月，少于不得分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2.自2021年1月至2022年6月签订的合同有效，否则无效。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）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评审小组按照各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lang w:val="en-US" w:eastAsia="zh-CN" w:bidi="ar-SA"/>
        </w:rPr>
        <w:t>报价人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经评审后的分数从高到低排列先后次序，总分第一名的为中标单位；如总得分相同的，由采购人通过编号后随机抽取一家单位确定中标。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Arial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sz w:val="24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附件：</w:t>
      </w: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highlight w:val="none"/>
          <w:lang w:val="en-US" w:eastAsia="zh-CN" w:bidi="ar-SA"/>
        </w:rPr>
        <w:t>报价书（格式）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right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宋体" w:hAnsi="宋体" w:eastAsia="仿宋_GB2312" w:cs="Arial"/>
          <w:sz w:val="32"/>
          <w:szCs w:val="32"/>
        </w:rPr>
        <w:t>广州市城投土地开发有限公司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center"/>
        <w:textAlignment w:val="auto"/>
        <w:rPr>
          <w:rFonts w:hint="eastAsia"/>
        </w:rPr>
      </w:pPr>
      <w:r>
        <w:rPr>
          <w:rFonts w:hint="eastAsia" w:ascii="仿宋_GB2312" w:hAnsi="宋体" w:eastAsia="仿宋_GB2312" w:cs="Arial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sz w:val="32"/>
          <w:szCs w:val="32"/>
        </w:rPr>
        <w:t>2022年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Arial"/>
          <w:sz w:val="32"/>
          <w:szCs w:val="32"/>
        </w:rPr>
        <w:t>月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Arial"/>
          <w:sz w:val="32"/>
          <w:szCs w:val="32"/>
        </w:rPr>
        <w:t>日</w:t>
      </w: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  <w:r>
        <w:rPr>
          <w:sz w:val="32"/>
        </w:rPr>
        <w:pict>
          <v:shape id="_x0000_s2050" o:spid="_x0000_s2050" o:spt="202" type="#_x0000_t202" style="position:absolute;left:0pt;margin-left:-35.05pt;margin-top:-19.25pt;height:21.75pt;width:38.9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44"/>
          <w:szCs w:val="44"/>
        </w:rPr>
        <w:t>报价书（格式）</w:t>
      </w:r>
    </w:p>
    <w:p>
      <w:pPr>
        <w:widowControl/>
        <w:spacing w:after="40" w:line="500" w:lineRule="exact"/>
        <w:ind w:left="48" w:leftChars="23" w:right="560" w:firstLine="502" w:firstLineChars="157"/>
        <w:rPr>
          <w:rFonts w:ascii="黑体" w:hAnsi="宋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00" w:lineRule="exact"/>
        <w:ind w:left="56" w:leftChars="1" w:hanging="54" w:hangingChars="17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致：广州市城投土地开发有限公司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Arial"/>
          <w:sz w:val="32"/>
          <w:szCs w:val="32"/>
        </w:rPr>
        <w:t>根据你方的《</w:t>
      </w:r>
      <w:r>
        <w:rPr>
          <w:rFonts w:hint="eastAsia" w:ascii="仿宋_GB2312" w:eastAsia="仿宋_GB2312"/>
          <w:sz w:val="32"/>
          <w:szCs w:val="32"/>
        </w:rPr>
        <w:t>夏荷充电站劳务</w:t>
      </w:r>
      <w:r>
        <w:rPr>
          <w:rFonts w:hint="eastAsia" w:ascii="仿宋_GB2312" w:hAnsi="宋体" w:eastAsia="仿宋_GB2312" w:cs="Arial"/>
          <w:sz w:val="32"/>
          <w:szCs w:val="32"/>
        </w:rPr>
        <w:t>服务项目公开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竞选</w:t>
      </w:r>
      <w:r>
        <w:rPr>
          <w:rFonts w:hint="eastAsia" w:ascii="仿宋_GB2312" w:hAnsi="宋体" w:eastAsia="仿宋_GB2312" w:cs="Arial"/>
          <w:sz w:val="32"/>
          <w:szCs w:val="32"/>
        </w:rPr>
        <w:t>文件》，按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竞选</w:t>
      </w:r>
      <w:r>
        <w:rPr>
          <w:rFonts w:hint="eastAsia" w:ascii="仿宋_GB2312" w:hAnsi="宋体" w:eastAsia="仿宋_GB2312" w:cs="Arial"/>
          <w:sz w:val="32"/>
          <w:szCs w:val="32"/>
        </w:rPr>
        <w:t>文件要求承担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 w:cs="Arial"/>
          <w:sz w:val="32"/>
          <w:szCs w:val="32"/>
        </w:rPr>
        <w:t>项目所列的服务内容，我方按以下报价承担所列工作。</w:t>
      </w:r>
    </w:p>
    <w:tbl>
      <w:tblPr>
        <w:tblStyle w:val="7"/>
        <w:tblW w:w="8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544"/>
        <w:gridCol w:w="4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单价报价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天/人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2"/>
                <w:sz w:val="32"/>
                <w:szCs w:val="32"/>
                <w:lang w:val="en-US" w:eastAsia="zh-CN" w:bidi="ar-SA"/>
              </w:rPr>
              <w:t>场内充电移车岗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充电管理员</w:t>
            </w:r>
            <w:r>
              <w:rPr>
                <w:rFonts w:hint="eastAsia" w:ascii="仿宋_GB2312" w:hAnsi="宋体" w:eastAsia="仿宋_GB2312" w:cs="Arial"/>
                <w:color w:val="000000"/>
                <w:kern w:val="2"/>
                <w:sz w:val="32"/>
                <w:szCs w:val="32"/>
                <w:lang w:val="en-US" w:eastAsia="zh-CN" w:bidi="ar-SA"/>
              </w:rPr>
              <w:t>岗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服务期限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12个月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Arial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000000"/>
          <w:kern w:val="2"/>
          <w:sz w:val="32"/>
          <w:szCs w:val="32"/>
          <w:highlight w:val="none"/>
          <w:lang w:val="en-US" w:eastAsia="zh-CN" w:bidi="ar-SA"/>
        </w:rPr>
        <w:t>我方承诺严格按照国家有关法规履行全部责任，按质、按量、按要求完成合同中的全部任务。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00" w:lineRule="exact"/>
        <w:ind w:left="48" w:leftChars="23" w:firstLine="662" w:firstLineChars="207"/>
        <w:textAlignment w:val="auto"/>
        <w:rPr>
          <w:rFonts w:hint="eastAsia" w:ascii="仿宋_GB2312" w:hAnsi="宋体" w:eastAsia="仿宋_GB2312" w:cs="Arial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sz w:val="32"/>
          <w:szCs w:val="32"/>
        </w:rPr>
        <w:t>2.我方已详细审核全部</w:t>
      </w:r>
      <w:r>
        <w:rPr>
          <w:rFonts w:hint="eastAsia" w:ascii="仿宋_GB2312" w:hAnsi="宋体" w:eastAsia="仿宋_GB2312" w:cs="Arial"/>
          <w:color w:val="auto"/>
          <w:sz w:val="32"/>
          <w:szCs w:val="32"/>
          <w:lang w:eastAsia="zh-CN"/>
        </w:rPr>
        <w:t>竞选</w:t>
      </w:r>
      <w:r>
        <w:rPr>
          <w:rFonts w:hint="eastAsia" w:ascii="仿宋_GB2312" w:hAnsi="宋体" w:eastAsia="仿宋_GB2312" w:cs="Arial"/>
          <w:color w:val="auto"/>
          <w:sz w:val="32"/>
          <w:szCs w:val="32"/>
        </w:rPr>
        <w:t>文件，包括更正说明（如有时）及有关</w:t>
      </w:r>
      <w:r>
        <w:rPr>
          <w:rFonts w:hint="eastAsia" w:ascii="仿宋_GB2312" w:hAnsi="宋体" w:eastAsia="仿宋_GB2312" w:cs="Arial"/>
          <w:color w:val="auto"/>
          <w:sz w:val="32"/>
          <w:szCs w:val="32"/>
          <w:lang w:eastAsia="zh-CN"/>
        </w:rPr>
        <w:t>附</w:t>
      </w:r>
      <w:r>
        <w:rPr>
          <w:rFonts w:hint="eastAsia" w:ascii="仿宋_GB2312" w:hAnsi="宋体" w:eastAsia="仿宋_GB2312" w:cs="Arial"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00" w:lineRule="exact"/>
        <w:ind w:left="48" w:leftChars="23" w:firstLine="662" w:firstLineChars="207"/>
        <w:textAlignment w:val="auto"/>
        <w:rPr>
          <w:rFonts w:hint="eastAsia" w:ascii="仿宋_GB2312" w:hAnsi="宋体" w:eastAsia="仿宋_GB2312" w:cs="Arial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sz w:val="32"/>
          <w:szCs w:val="32"/>
        </w:rPr>
        <w:t>3.除非另外达成协议并生效，你方的</w:t>
      </w:r>
      <w:r>
        <w:rPr>
          <w:rFonts w:hint="eastAsia" w:ascii="仿宋_GB2312" w:hAnsi="宋体" w:eastAsia="仿宋_GB2312" w:cs="Arial"/>
          <w:color w:val="auto"/>
          <w:sz w:val="32"/>
          <w:szCs w:val="32"/>
          <w:lang w:eastAsia="zh-CN"/>
        </w:rPr>
        <w:t>竞选文件</w:t>
      </w:r>
      <w:r>
        <w:rPr>
          <w:rFonts w:hint="eastAsia" w:ascii="仿宋_GB2312" w:hAnsi="宋体" w:eastAsia="仿宋_GB2312" w:cs="Arial"/>
          <w:color w:val="auto"/>
          <w:sz w:val="32"/>
          <w:szCs w:val="32"/>
        </w:rPr>
        <w:t>、中</w:t>
      </w:r>
      <w:r>
        <w:rPr>
          <w:rFonts w:hint="eastAsia" w:ascii="仿宋_GB2312" w:hAnsi="宋体" w:eastAsia="仿宋_GB2312" w:cs="Arial"/>
          <w:color w:val="auto"/>
          <w:sz w:val="32"/>
          <w:szCs w:val="32"/>
          <w:lang w:eastAsia="zh-CN"/>
        </w:rPr>
        <w:t>标通知书</w:t>
      </w:r>
      <w:r>
        <w:rPr>
          <w:rFonts w:hint="eastAsia" w:ascii="仿宋_GB2312" w:hAnsi="宋体" w:eastAsia="仿宋_GB2312" w:cs="Arial"/>
          <w:color w:val="auto"/>
          <w:sz w:val="32"/>
          <w:szCs w:val="32"/>
        </w:rPr>
        <w:t>和本报价文件将成为约束双方的合同文件的组成部分。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00" w:lineRule="exact"/>
        <w:ind w:left="48" w:leftChars="23" w:firstLine="662" w:firstLineChars="207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Arial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Arial"/>
          <w:sz w:val="32"/>
          <w:szCs w:val="32"/>
          <w:highlight w:val="none"/>
        </w:rPr>
        <w:t>本报价文件的有效期至递交截止日后90天有效</w:t>
      </w:r>
      <w:r>
        <w:rPr>
          <w:rFonts w:hint="eastAsia" w:ascii="仿宋_GB2312" w:hAnsi="宋体" w:eastAsia="仿宋_GB2312" w:cs="Arial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Arial"/>
          <w:sz w:val="32"/>
          <w:szCs w:val="32"/>
          <w:highlight w:val="none"/>
        </w:rPr>
        <w:t>如中</w:t>
      </w:r>
      <w:r>
        <w:rPr>
          <w:rFonts w:hint="eastAsia" w:ascii="仿宋_GB2312" w:hAnsi="宋体" w:eastAsia="仿宋_GB2312" w:cs="Arial"/>
          <w:sz w:val="32"/>
          <w:szCs w:val="32"/>
          <w:highlight w:val="none"/>
          <w:lang w:eastAsia="zh-CN"/>
        </w:rPr>
        <w:t>标</w:t>
      </w:r>
      <w:r>
        <w:rPr>
          <w:rFonts w:hint="eastAsia" w:ascii="仿宋_GB2312" w:hAnsi="宋体" w:eastAsia="仿宋_GB2312" w:cs="Arial"/>
          <w:sz w:val="32"/>
          <w:szCs w:val="32"/>
          <w:highlight w:val="none"/>
        </w:rPr>
        <w:t>，有效期将延至合同终止日为止。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0" w:firstLineChars="0"/>
        <w:jc w:val="left"/>
        <w:textAlignment w:val="auto"/>
        <w:rPr>
          <w:rFonts w:hint="eastAsia" w:ascii="仿宋_GB2312" w:hAnsi="宋体" w:eastAsia="仿宋_GB2312" w:cs="Arial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Arial"/>
          <w:sz w:val="32"/>
          <w:szCs w:val="32"/>
          <w:highlight w:val="none"/>
          <w:lang w:eastAsia="zh-CN"/>
        </w:rPr>
        <w:t>竞选单位</w:t>
      </w:r>
      <w:r>
        <w:rPr>
          <w:rFonts w:hint="eastAsia" w:ascii="仿宋_GB2312" w:hAnsi="宋体" w:eastAsia="仿宋_GB2312" w:cs="Arial"/>
          <w:sz w:val="32"/>
          <w:szCs w:val="32"/>
          <w:highlight w:val="none"/>
        </w:rPr>
        <w:t>全称（盖章）：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Arial"/>
          <w:sz w:val="32"/>
          <w:szCs w:val="32"/>
          <w:highlight w:val="none"/>
          <w:lang w:eastAsia="zh-CN"/>
        </w:rPr>
        <w:t>法定代表人（签章）：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00" w:lineRule="exact"/>
        <w:jc w:val="both"/>
        <w:textAlignment w:val="auto"/>
      </w:pPr>
      <w:r>
        <w:rPr>
          <w:rFonts w:hint="eastAsia" w:ascii="仿宋_GB2312" w:hAnsi="宋体" w:eastAsia="仿宋_GB2312" w:cs="Arial"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308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iNGE3ODhmMDM3ZmM3M2U5ZDFkOTYzZmVmNjMyMmYifQ=="/>
  </w:docVars>
  <w:rsids>
    <w:rsidRoot w:val="004F22CA"/>
    <w:rsid w:val="00053303"/>
    <w:rsid w:val="001A6FDB"/>
    <w:rsid w:val="001F5D70"/>
    <w:rsid w:val="0021277E"/>
    <w:rsid w:val="0023585F"/>
    <w:rsid w:val="00256FF7"/>
    <w:rsid w:val="00281A4D"/>
    <w:rsid w:val="002C70D7"/>
    <w:rsid w:val="002D1B7A"/>
    <w:rsid w:val="0030360E"/>
    <w:rsid w:val="0034117C"/>
    <w:rsid w:val="003B1EF3"/>
    <w:rsid w:val="003C7842"/>
    <w:rsid w:val="003D4689"/>
    <w:rsid w:val="003E2848"/>
    <w:rsid w:val="00455E6E"/>
    <w:rsid w:val="004569EE"/>
    <w:rsid w:val="00496DD3"/>
    <w:rsid w:val="004E462A"/>
    <w:rsid w:val="004F22CA"/>
    <w:rsid w:val="005700F0"/>
    <w:rsid w:val="005E121E"/>
    <w:rsid w:val="006069EE"/>
    <w:rsid w:val="00606A6E"/>
    <w:rsid w:val="006171DC"/>
    <w:rsid w:val="00623FEE"/>
    <w:rsid w:val="006556B0"/>
    <w:rsid w:val="00681D01"/>
    <w:rsid w:val="006C380D"/>
    <w:rsid w:val="007854B0"/>
    <w:rsid w:val="007B05F5"/>
    <w:rsid w:val="007E4F81"/>
    <w:rsid w:val="00802BAA"/>
    <w:rsid w:val="008758A5"/>
    <w:rsid w:val="00876235"/>
    <w:rsid w:val="008B43B0"/>
    <w:rsid w:val="00902DA5"/>
    <w:rsid w:val="00912C49"/>
    <w:rsid w:val="00965A8E"/>
    <w:rsid w:val="00992354"/>
    <w:rsid w:val="009A478B"/>
    <w:rsid w:val="00A0229D"/>
    <w:rsid w:val="00A317BC"/>
    <w:rsid w:val="00A32EF1"/>
    <w:rsid w:val="00A7658A"/>
    <w:rsid w:val="00A90996"/>
    <w:rsid w:val="00AB1BD2"/>
    <w:rsid w:val="00AB3371"/>
    <w:rsid w:val="00B52CA0"/>
    <w:rsid w:val="00B60F80"/>
    <w:rsid w:val="00BB3EA3"/>
    <w:rsid w:val="00BD1940"/>
    <w:rsid w:val="00CA4CF5"/>
    <w:rsid w:val="00D62A44"/>
    <w:rsid w:val="00DA497E"/>
    <w:rsid w:val="00DB7067"/>
    <w:rsid w:val="00DD5501"/>
    <w:rsid w:val="00E30849"/>
    <w:rsid w:val="00E62CDC"/>
    <w:rsid w:val="00EC73A7"/>
    <w:rsid w:val="00EE225E"/>
    <w:rsid w:val="00F11C3B"/>
    <w:rsid w:val="00F3024F"/>
    <w:rsid w:val="00F660E4"/>
    <w:rsid w:val="00FB26DC"/>
    <w:rsid w:val="00FD7BCA"/>
    <w:rsid w:val="019F4704"/>
    <w:rsid w:val="0C287203"/>
    <w:rsid w:val="21093061"/>
    <w:rsid w:val="300A5CC6"/>
    <w:rsid w:val="35911D22"/>
    <w:rsid w:val="35AD1643"/>
    <w:rsid w:val="3CAA2F00"/>
    <w:rsid w:val="3DCB259E"/>
    <w:rsid w:val="48FB3185"/>
    <w:rsid w:val="61347152"/>
    <w:rsid w:val="6BDF4029"/>
    <w:rsid w:val="6FD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300" w:after="30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</w:style>
  <w:style w:type="paragraph" w:customStyle="1" w:styleId="14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  <w:szCs w:val="20"/>
    </w:rPr>
  </w:style>
  <w:style w:type="paragraph" w:customStyle="1" w:styleId="15">
    <w:name w:val="论文三级标题"/>
    <w:basedOn w:val="1"/>
    <w:qFormat/>
    <w:uiPriority w:val="0"/>
    <w:pPr>
      <w:spacing w:line="360" w:lineRule="auto"/>
    </w:pPr>
    <w:rPr>
      <w:rFonts w:ascii="黑体" w:hAnsi="Times New Roman" w:eastAsia="黑体" w:cs="宋体"/>
      <w:b/>
      <w:bCs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2201</Words>
  <Characters>2297</Characters>
  <Lines>17</Lines>
  <Paragraphs>4</Paragraphs>
  <TotalTime>0</TotalTime>
  <ScaleCrop>false</ScaleCrop>
  <LinksUpToDate>false</LinksUpToDate>
  <CharactersWithSpaces>2390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2022-06-13T06:07:00Z</dcterms:created>
  <dc:creator>Windows 用户</dc:creator>
  <cp:lastModifiedBy>逗利是</cp:lastModifiedBy>
  <cp:lastPrinted>2022-09-14T03:18:37Z</cp:lastPrinted>
  <dcterms:modified xsi:type="dcterms:W3CDTF">2022-09-14T05:01:08Z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1E57CC790A9A47A8A519F92A01DCB54E</vt:lpwstr>
  </property>
</Properties>
</file>