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rFonts w:hint="eastAsia" w:eastAsiaTheme="minorEastAsia"/>
          <w:b/>
          <w:sz w:val="28"/>
          <w:highlight w:val="none"/>
          <w:lang w:eastAsia="zh-CN"/>
        </w:rPr>
      </w:pPr>
      <w:r>
        <w:rPr>
          <w:rFonts w:hint="eastAsia"/>
          <w:b/>
          <w:sz w:val="28"/>
          <w:highlight w:val="none"/>
          <w:lang w:eastAsia="zh-CN"/>
        </w:rPr>
        <w:t>广州大学城第二、第四冷站主机更新之增加甩头工程阀门材料采购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3"/>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3"/>
        <w:tabs>
          <w:tab w:val="left" w:pos="420"/>
        </w:tabs>
        <w:spacing w:line="360" w:lineRule="auto"/>
        <w:ind w:firstLine="480"/>
        <w:rPr>
          <w:rFonts w:hint="eastAsia" w:ascii="宋体" w:hAnsi="宋体" w:eastAsiaTheme="minorEastAsia"/>
          <w:sz w:val="24"/>
          <w:highlight w:val="none"/>
          <w:lang w:eastAsia="zh-CN"/>
        </w:rPr>
      </w:pPr>
      <w:r>
        <w:rPr>
          <w:rFonts w:hint="eastAsia" w:ascii="宋体" w:hAnsi="宋体"/>
          <w:sz w:val="24"/>
          <w:highlight w:val="none"/>
        </w:rPr>
        <w:t>（一）项目名称：</w:t>
      </w:r>
      <w:r>
        <w:rPr>
          <w:rFonts w:hint="eastAsia" w:ascii="宋体" w:hAnsi="宋体"/>
          <w:sz w:val="24"/>
          <w:highlight w:val="none"/>
          <w:lang w:eastAsia="zh-CN"/>
        </w:rPr>
        <w:t>广州大学城第二、第四冷站主机更新之增加甩头工程阀门材料采购</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2</w:t>
      </w:r>
      <w:r>
        <w:rPr>
          <w:rFonts w:hint="eastAsia" w:ascii="宋体" w:hAnsi="宋体"/>
          <w:sz w:val="24"/>
          <w:highlight w:val="none"/>
          <w:lang w:val="en-US" w:eastAsia="zh-CN"/>
        </w:rPr>
        <w:t>8</w:t>
      </w:r>
      <w:r>
        <w:rPr>
          <w:rFonts w:hint="eastAsia" w:ascii="宋体" w:hAnsi="宋体"/>
          <w:sz w:val="24"/>
          <w:highlight w:val="none"/>
        </w:rPr>
        <w:t>万元。（投标报价超过采购限价为无效投标）。</w:t>
      </w:r>
    </w:p>
    <w:p>
      <w:pPr>
        <w:pStyle w:val="13"/>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阀门</w:t>
      </w:r>
      <w:r>
        <w:rPr>
          <w:rFonts w:hint="eastAsia" w:ascii="宋体" w:hAnsi="宋体" w:eastAsia="宋体" w:cs="宋体"/>
          <w:sz w:val="24"/>
          <w:highlight w:val="none"/>
        </w:rPr>
        <w:t>材料</w:t>
      </w:r>
      <w:r>
        <w:rPr>
          <w:rFonts w:hint="eastAsia" w:ascii="宋体" w:hAnsi="宋体"/>
          <w:sz w:val="24"/>
          <w:highlight w:val="none"/>
        </w:rPr>
        <w:t>，具体详见附件1本项目“采购需求”。</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3"/>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3"/>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厂家技术支持、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付款方式</w:t>
      </w:r>
    </w:p>
    <w:p>
      <w:pPr>
        <w:pStyle w:val="13"/>
        <w:tabs>
          <w:tab w:val="left" w:pos="420"/>
        </w:tabs>
        <w:spacing w:line="360" w:lineRule="auto"/>
        <w:ind w:firstLineChars="0"/>
        <w:rPr>
          <w:rFonts w:ascii="宋体" w:hAnsi="宋体"/>
          <w:sz w:val="24"/>
          <w:highlight w:val="none"/>
        </w:rPr>
      </w:pPr>
      <w:r>
        <w:rPr>
          <w:rFonts w:hint="eastAsia" w:ascii="宋体" w:hAnsi="宋体"/>
          <w:sz w:val="24"/>
          <w:highlight w:val="none"/>
        </w:rPr>
        <w:t>合同签订后预付合同总价的30%款项作为预付款；全部货物货到现场经需方</w:t>
      </w:r>
      <w:r>
        <w:rPr>
          <w:rFonts w:hint="eastAsia" w:ascii="宋体" w:hAnsi="宋体"/>
          <w:sz w:val="24"/>
          <w:highlight w:val="none"/>
          <w:lang w:val="en-US" w:eastAsia="zh-CN"/>
        </w:rPr>
        <w:t>试压</w:t>
      </w:r>
      <w:r>
        <w:rPr>
          <w:rFonts w:hint="eastAsia" w:ascii="宋体" w:hAnsi="宋体"/>
          <w:sz w:val="24"/>
          <w:highlight w:val="none"/>
        </w:rPr>
        <w:t>验收合格后付至结算价的95%款项，同时余下结算价的5%作为质保金，质保期为</w:t>
      </w:r>
      <w:r>
        <w:rPr>
          <w:rFonts w:hint="eastAsia" w:ascii="宋体" w:hAnsi="宋体"/>
          <w:sz w:val="24"/>
          <w:highlight w:val="none"/>
          <w:lang w:eastAsia="zh-CN"/>
        </w:rPr>
        <w:t>2</w:t>
      </w:r>
      <w:r>
        <w:rPr>
          <w:rFonts w:hint="eastAsia" w:ascii="宋体" w:hAnsi="宋体"/>
          <w:sz w:val="24"/>
          <w:highlight w:val="none"/>
        </w:rPr>
        <w:t>年，质保期自货物</w:t>
      </w:r>
      <w:r>
        <w:rPr>
          <w:rFonts w:hint="eastAsia" w:ascii="宋体" w:hAnsi="宋体"/>
          <w:sz w:val="24"/>
          <w:highlight w:val="none"/>
          <w:lang w:val="en-US" w:eastAsia="zh-CN"/>
        </w:rPr>
        <w:t>验收</w:t>
      </w:r>
      <w:r>
        <w:rPr>
          <w:rFonts w:hint="eastAsia" w:ascii="宋体" w:hAnsi="宋体"/>
          <w:sz w:val="24"/>
          <w:highlight w:val="none"/>
        </w:rPr>
        <w:t>合格之日起算，质保期满供方履行完质保期义务后付清余款。付款前供方开具相应金额增值税(含13%增值税)专用发票给需方。</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送货地点：</w:t>
      </w:r>
      <w:r>
        <w:rPr>
          <w:rFonts w:hint="eastAsia" w:ascii="宋体" w:hAnsi="宋体"/>
          <w:sz w:val="24"/>
          <w:highlight w:val="none"/>
          <w:lang w:val="en-US" w:eastAsia="zh-CN"/>
        </w:rPr>
        <w:t>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3"/>
        <w:spacing w:line="360" w:lineRule="auto"/>
        <w:ind w:firstLine="480"/>
        <w:rPr>
          <w:rFonts w:ascii="宋体" w:hAnsi="宋体"/>
          <w:sz w:val="24"/>
          <w:highlight w:val="none"/>
        </w:rPr>
      </w:pPr>
      <w:r>
        <w:rPr>
          <w:rFonts w:hint="eastAsia" w:ascii="宋体" w:hAnsi="宋体"/>
          <w:sz w:val="24"/>
          <w:highlight w:val="none"/>
        </w:rPr>
        <w:t>五、投标文件</w:t>
      </w:r>
    </w:p>
    <w:p>
      <w:pPr>
        <w:pStyle w:val="13"/>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hint="eastAsia" w:ascii="宋体" w:hAnsi="宋体"/>
          <w:sz w:val="24"/>
          <w:highlight w:val="none"/>
          <w:lang w:val="en-US" w:eastAsia="zh-CN"/>
        </w:rPr>
        <w:t>3</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hint="eastAsia" w:ascii="宋体" w:hAnsi="宋体"/>
          <w:sz w:val="24"/>
          <w:highlight w:val="none"/>
          <w:lang w:val="en-US" w:eastAsia="zh-CN"/>
        </w:rPr>
        <w:t>4</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3"/>
        <w:numPr>
          <w:ilvl w:val="0"/>
          <w:numId w:val="6"/>
        </w:numPr>
        <w:spacing w:line="360" w:lineRule="auto"/>
        <w:ind w:left="0" w:leftChars="0" w:firstLine="480"/>
        <w:rPr>
          <w:rFonts w:ascii="宋体" w:hAnsi="宋体"/>
          <w:sz w:val="24"/>
          <w:highlight w:val="none"/>
        </w:rPr>
      </w:pPr>
      <w:r>
        <w:rPr>
          <w:rFonts w:hint="eastAsia" w:ascii="宋体" w:hAnsi="宋体"/>
          <w:sz w:val="24"/>
          <w:highlight w:val="none"/>
        </w:rPr>
        <w:t>技术部分（</w:t>
      </w:r>
      <w:r>
        <w:rPr>
          <w:rFonts w:hint="eastAsia" w:ascii="宋体" w:hAnsi="宋体"/>
          <w:sz w:val="24"/>
          <w:highlight w:val="none"/>
          <w:lang w:val="en-US" w:eastAsia="zh-CN"/>
        </w:rPr>
        <w:t>如有，</w:t>
      </w:r>
      <w:r>
        <w:rPr>
          <w:rFonts w:hint="eastAsia" w:ascii="宋体" w:hAnsi="宋体"/>
          <w:sz w:val="24"/>
          <w:highlight w:val="none"/>
        </w:rPr>
        <w:t>格式自定，加盖公章）</w:t>
      </w:r>
      <w:r>
        <w:rPr>
          <w:rFonts w:hint="eastAsia" w:ascii="宋体" w:hAnsi="宋体"/>
          <w:sz w:val="24"/>
          <w:highlight w:val="none"/>
          <w:lang w:eastAsia="zh-CN"/>
        </w:rPr>
        <w:t>：</w:t>
      </w:r>
      <w:r>
        <w:rPr>
          <w:rFonts w:hint="eastAsia" w:ascii="宋体" w:hAnsi="宋体"/>
          <w:sz w:val="24"/>
          <w:highlight w:val="none"/>
        </w:rPr>
        <w:t>供应商应针对本项目制定切实可行的服务方案，包括但不限于：</w:t>
      </w:r>
    </w:p>
    <w:p>
      <w:pPr>
        <w:pStyle w:val="13"/>
        <w:numPr>
          <w:ilvl w:val="255"/>
          <w:numId w:val="0"/>
        </w:numPr>
        <w:spacing w:line="360" w:lineRule="auto"/>
        <w:ind w:left="0" w:leftChars="0"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总体实施方案；</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实施进度计划和工期承诺书；</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确保实施进度的技术和组织措施；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确保安全文明施工的技术和组织措施；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投入的人员配置情况；</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w:t>
      </w:r>
      <w:r>
        <w:rPr>
          <w:rFonts w:hint="eastAsia" w:ascii="宋体" w:hAnsi="宋体"/>
          <w:sz w:val="24"/>
          <w:highlight w:val="none"/>
          <w:lang w:val="en-US" w:eastAsia="zh-CN"/>
        </w:rPr>
        <w:t>标</w:t>
      </w:r>
      <w:r>
        <w:rPr>
          <w:rFonts w:hint="eastAsia" w:ascii="宋体" w:hAnsi="宋体"/>
          <w:sz w:val="24"/>
          <w:highlight w:val="none"/>
        </w:rPr>
        <w:t>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日北京时间</w:t>
      </w:r>
      <w:r>
        <w:rPr>
          <w:rFonts w:hint="eastAsia" w:ascii="宋体" w:hAnsi="宋体"/>
          <w:sz w:val="24"/>
          <w:highlight w:val="none"/>
          <w:lang w:val="en-US" w:eastAsia="zh-CN"/>
        </w:rPr>
        <w:t>15</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eastAsia="zh-CN"/>
        </w:rPr>
        <w:t>广州大学城第二、第四冷站主机更新之增加甩头工程阀门材料采购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3"/>
        <w:numPr>
          <w:ilvl w:val="0"/>
          <w:numId w:val="9"/>
        </w:numPr>
        <w:spacing w:line="360" w:lineRule="auto"/>
        <w:ind w:firstLineChars="0"/>
        <w:rPr>
          <w:rFonts w:ascii="宋体" w:hAnsi="宋体"/>
          <w:sz w:val="24"/>
          <w:highlight w:val="none"/>
        </w:rPr>
      </w:pPr>
      <w:r>
        <w:rPr>
          <w:rFonts w:hint="eastAsia" w:ascii="宋体" w:hAnsi="宋体"/>
          <w:sz w:val="24"/>
          <w:highlight w:val="none"/>
        </w:rPr>
        <w:t>联系人：詹映静 ，联系电话：020-393020</w:t>
      </w:r>
      <w:r>
        <w:rPr>
          <w:rFonts w:hint="eastAsia" w:ascii="宋体" w:hAnsi="宋体"/>
          <w:sz w:val="24"/>
          <w:highlight w:val="none"/>
          <w:lang w:val="en-US" w:eastAsia="zh-CN"/>
        </w:rPr>
        <w:t>78</w:t>
      </w:r>
      <w:r>
        <w:rPr>
          <w:rFonts w:hint="eastAsia" w:ascii="宋体" w:hAnsi="宋体"/>
          <w:sz w:val="24"/>
          <w:highlight w:val="none"/>
        </w:rPr>
        <w:t>，电子邮件：3280623452</w:t>
      </w:r>
      <w:r>
        <w:rPr>
          <w:rFonts w:hint="eastAsia" w:ascii="宋体" w:hAnsi="宋体"/>
          <w:sz w:val="24"/>
          <w:highlight w:val="none"/>
          <w:lang w:val="en-US" w:eastAsia="zh-CN"/>
        </w:rPr>
        <w:t>@</w:t>
      </w:r>
      <w:r>
        <w:rPr>
          <w:rFonts w:hint="eastAsia" w:ascii="宋体" w:hAnsi="宋体"/>
          <w:sz w:val="24"/>
          <w:highlight w:val="none"/>
        </w:rPr>
        <w:t>qq.com</w:t>
      </w:r>
    </w:p>
    <w:p>
      <w:pPr>
        <w:pStyle w:val="13"/>
        <w:spacing w:line="360" w:lineRule="auto"/>
        <w:ind w:firstLine="480"/>
        <w:rPr>
          <w:rFonts w:ascii="宋体" w:hAnsi="宋体"/>
          <w:sz w:val="24"/>
          <w:highlight w:val="none"/>
        </w:rPr>
      </w:pPr>
      <w:r>
        <w:rPr>
          <w:rFonts w:hint="eastAsia" w:ascii="宋体" w:hAnsi="宋体"/>
          <w:sz w:val="24"/>
          <w:highlight w:val="none"/>
        </w:rPr>
        <w:t>附件1、采购需求</w:t>
      </w:r>
    </w:p>
    <w:p>
      <w:pPr>
        <w:pStyle w:val="13"/>
        <w:spacing w:line="360" w:lineRule="auto"/>
        <w:ind w:firstLine="480"/>
        <w:rPr>
          <w:rFonts w:ascii="宋体" w:hAnsi="宋体"/>
          <w:sz w:val="24"/>
          <w:highlight w:val="none"/>
        </w:rPr>
      </w:pPr>
      <w:r>
        <w:rPr>
          <w:rFonts w:hint="eastAsia" w:ascii="宋体" w:hAnsi="宋体"/>
          <w:sz w:val="24"/>
          <w:highlight w:val="none"/>
        </w:rPr>
        <w:t>附件2、报价明细表</w:t>
      </w:r>
    </w:p>
    <w:p>
      <w:pPr>
        <w:pStyle w:val="13"/>
        <w:spacing w:line="360" w:lineRule="auto"/>
        <w:ind w:firstLine="480"/>
        <w:rPr>
          <w:rFonts w:ascii="宋体" w:hAnsi="宋体"/>
          <w:sz w:val="24"/>
          <w:highlight w:val="none"/>
        </w:rPr>
      </w:pPr>
      <w:r>
        <w:rPr>
          <w:rFonts w:hint="eastAsia" w:ascii="宋体" w:hAnsi="宋体"/>
          <w:sz w:val="24"/>
          <w:highlight w:val="none"/>
        </w:rPr>
        <w:t>附件3、供应商调查表</w:t>
      </w:r>
    </w:p>
    <w:p>
      <w:pPr>
        <w:pStyle w:val="13"/>
        <w:spacing w:line="360" w:lineRule="auto"/>
        <w:ind w:firstLine="480"/>
        <w:rPr>
          <w:rFonts w:ascii="宋体" w:hAnsi="宋体"/>
          <w:sz w:val="24"/>
          <w:highlight w:val="none"/>
        </w:rPr>
      </w:pPr>
      <w:r>
        <w:rPr>
          <w:rFonts w:hint="eastAsia" w:ascii="宋体" w:hAnsi="宋体"/>
          <w:sz w:val="24"/>
          <w:highlight w:val="none"/>
        </w:rPr>
        <w:t>附件4、实质性要求响应表</w:t>
      </w:r>
    </w:p>
    <w:p>
      <w:pPr>
        <w:pStyle w:val="13"/>
        <w:spacing w:line="360" w:lineRule="auto"/>
        <w:ind w:firstLine="480"/>
        <w:rPr>
          <w:rFonts w:ascii="宋体" w:hAnsi="宋体"/>
          <w:sz w:val="24"/>
          <w:highlight w:val="none"/>
        </w:rPr>
      </w:pPr>
      <w:r>
        <w:rPr>
          <w:rFonts w:hint="eastAsia" w:ascii="宋体" w:hAnsi="宋体"/>
          <w:sz w:val="24"/>
          <w:highlight w:val="none"/>
        </w:rPr>
        <w:t>附件5、资格性和有效性审查表</w:t>
      </w:r>
    </w:p>
    <w:p>
      <w:pPr>
        <w:pStyle w:val="13"/>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13"/>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 xml:space="preserve"> 20</w:t>
      </w:r>
      <w:bookmarkStart w:id="0" w:name="_GoBack"/>
      <w:bookmarkEnd w:id="0"/>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eastAsia="zh-CN"/>
        </w:rPr>
        <w:t>广州大学城第二、第四冷站主机更新之增加甩头工程阀门材料采购</w:t>
      </w:r>
      <w:r>
        <w:rPr>
          <w:rFonts w:hint="eastAsia" w:ascii="宋体" w:hAnsi="宋体"/>
          <w:sz w:val="24"/>
          <w:highlight w:val="none"/>
        </w:rPr>
        <w:t>清单</w:t>
      </w:r>
    </w:p>
    <w:tbl>
      <w:tblPr>
        <w:tblStyle w:val="11"/>
        <w:tblW w:w="8522" w:type="dxa"/>
        <w:tblInd w:w="0" w:type="dxa"/>
        <w:tblLayout w:type="fixed"/>
        <w:tblCellMar>
          <w:top w:w="0" w:type="dxa"/>
          <w:left w:w="108" w:type="dxa"/>
          <w:bottom w:w="0" w:type="dxa"/>
          <w:right w:w="108" w:type="dxa"/>
        </w:tblCellMar>
      </w:tblPr>
      <w:tblGrid>
        <w:gridCol w:w="534"/>
        <w:gridCol w:w="1472"/>
        <w:gridCol w:w="3632"/>
        <w:gridCol w:w="568"/>
        <w:gridCol w:w="707"/>
        <w:gridCol w:w="1609"/>
      </w:tblGrid>
      <w:tr>
        <w:tblPrEx>
          <w:tblLayout w:type="fixed"/>
          <w:tblCellMar>
            <w:top w:w="0" w:type="dxa"/>
            <w:left w:w="108" w:type="dxa"/>
            <w:bottom w:w="0" w:type="dxa"/>
            <w:right w:w="108" w:type="dxa"/>
          </w:tblCellMar>
        </w:tblPrEx>
        <w:trPr>
          <w:trHeight w:val="675" w:hRule="atLeast"/>
        </w:trPr>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47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63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cstheme="minorEastAsia"/>
                <w:sz w:val="24"/>
                <w:szCs w:val="24"/>
                <w:highlight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14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cstheme="minorEastAsia"/>
                <w:sz w:val="24"/>
                <w:szCs w:val="24"/>
                <w:highlight w:val="none"/>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DN500涡轮手动蝶阀</w:t>
            </w:r>
          </w:p>
        </w:tc>
        <w:tc>
          <w:tcPr>
            <w:tcW w:w="363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cstheme="minorEastAsia"/>
                <w:sz w:val="24"/>
                <w:szCs w:val="24"/>
                <w:highlight w:val="none"/>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品牌：上海冠龙阀门节能设备股份有限公司、博雷（中国）控制系统有限公司、阀安格水处理系统(太仓)有限公司（VAG）、艾西阀门（南京）有限公司。规格：DN500、PN16；法兰连接；软密封；材质：阀体为球墨铸铁；阀轴、圆锥销为不锈钢；底端盖、阀板材质为QT450；阀座橡胶为EPDM（三元乙丙橡胶）；介质为水，当流量达到1330m³/h时，阀门阻力≤4KPa。。</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1"/>
                <w:szCs w:val="21"/>
                <w:highlight w:val="none"/>
              </w:rPr>
            </w:pPr>
            <w:r>
              <w:rPr>
                <w:rFonts w:hint="eastAsia" w:ascii="微软雅黑" w:hAnsi="微软雅黑" w:eastAsia="微软雅黑" w:cs="微软雅黑"/>
                <w:i w:val="0"/>
                <w:color w:val="5E5E5E"/>
                <w:kern w:val="0"/>
                <w:sz w:val="21"/>
                <w:szCs w:val="21"/>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1"/>
                <w:szCs w:val="21"/>
                <w:highlight w:val="none"/>
              </w:rPr>
            </w:pPr>
            <w:r>
              <w:rPr>
                <w:rFonts w:hint="eastAsia" w:ascii="微软雅黑" w:hAnsi="微软雅黑" w:eastAsia="微软雅黑" w:cs="微软雅黑"/>
                <w:i w:val="0"/>
                <w:color w:val="5E5E5E"/>
                <w:kern w:val="0"/>
                <w:sz w:val="21"/>
                <w:szCs w:val="21"/>
                <w:highlight w:val="none"/>
                <w:u w:val="none"/>
                <w:lang w:val="en-US" w:eastAsia="zh-CN" w:bidi="ar"/>
              </w:rPr>
              <w:t>4</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333333"/>
                <w:sz w:val="24"/>
                <w:szCs w:val="24"/>
                <w:highlight w:val="none"/>
                <w:u w:val="none"/>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DN700涡轮手动蝶阀</w:t>
            </w:r>
          </w:p>
        </w:tc>
        <w:tc>
          <w:tcPr>
            <w:tcW w:w="363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333333"/>
                <w:sz w:val="24"/>
                <w:szCs w:val="24"/>
                <w:highlight w:val="none"/>
                <w:u w:val="none"/>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品牌：上海冠龙阀门节能设备股份有限公司、博雷（中国）控制系统有限公司、阀安格水处理系统(太仓)有限公司（VAG）、艾西阀门（南京）有限公司。规格：DN700、PN16；法兰连接；软密封；材质：阀体为球墨铸铁；阀轴、圆锥销为不锈钢；底端盖、阀板材质为QT450；阀座橡胶为EPDM（三元乙丙橡胶）；介质为25%质量浓度的工业抑制性乙二醇溶液，当流量达到1847m³/h时，阀门阻力≤4KPa。</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5E5E5E"/>
                <w:kern w:val="0"/>
                <w:sz w:val="21"/>
                <w:szCs w:val="21"/>
                <w:highlight w:val="none"/>
                <w:u w:val="none"/>
                <w:lang w:val="en-US" w:eastAsia="zh-CN" w:bidi="ar"/>
              </w:rPr>
            </w:pPr>
            <w:r>
              <w:rPr>
                <w:rFonts w:hint="eastAsia" w:ascii="微软雅黑" w:hAnsi="微软雅黑" w:eastAsia="微软雅黑" w:cs="微软雅黑"/>
                <w:i w:val="0"/>
                <w:color w:val="5E5E5E"/>
                <w:kern w:val="0"/>
                <w:sz w:val="21"/>
                <w:szCs w:val="21"/>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5E5E5E"/>
                <w:kern w:val="0"/>
                <w:sz w:val="21"/>
                <w:szCs w:val="21"/>
                <w:highlight w:val="none"/>
                <w:u w:val="none"/>
                <w:lang w:val="en-US" w:eastAsia="zh-CN" w:bidi="ar"/>
              </w:rPr>
            </w:pPr>
            <w:r>
              <w:rPr>
                <w:rFonts w:hint="eastAsia" w:ascii="微软雅黑" w:hAnsi="微软雅黑" w:eastAsia="微软雅黑" w:cs="微软雅黑"/>
                <w:i w:val="0"/>
                <w:color w:val="5E5E5E"/>
                <w:kern w:val="0"/>
                <w:sz w:val="21"/>
                <w:szCs w:val="21"/>
                <w:highlight w:val="none"/>
                <w:u w:val="none"/>
                <w:lang w:val="en-US" w:eastAsia="zh-CN" w:bidi="ar"/>
              </w:rPr>
              <w:t>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333333"/>
                <w:sz w:val="24"/>
                <w:szCs w:val="24"/>
                <w:highlight w:val="none"/>
                <w:u w:val="none"/>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DN700涡轮手动蝶阀</w:t>
            </w:r>
          </w:p>
        </w:tc>
        <w:tc>
          <w:tcPr>
            <w:tcW w:w="363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i w:val="0"/>
                <w:color w:val="333333"/>
                <w:sz w:val="24"/>
                <w:szCs w:val="24"/>
                <w:highlight w:val="none"/>
                <w:u w:val="none"/>
              </w:rPr>
            </w:pPr>
            <w:r>
              <w:rPr>
                <w:rFonts w:hint="eastAsia" w:asciiTheme="minorEastAsia" w:hAnsiTheme="minorEastAsia" w:eastAsiaTheme="minorEastAsia" w:cstheme="minorEastAsia"/>
                <w:i w:val="0"/>
                <w:color w:val="5E5E5E"/>
                <w:kern w:val="0"/>
                <w:sz w:val="24"/>
                <w:szCs w:val="24"/>
                <w:highlight w:val="none"/>
                <w:u w:val="none"/>
                <w:lang w:val="en-US" w:eastAsia="zh-CN" w:bidi="ar"/>
              </w:rPr>
              <w:t>品牌：上海冠龙阀门节能设备股份有限公司、博雷（中国）控制系统有限公司、阀安格水处理系统(太仓)有限公司（VAG）、艾西阀门（南京）有限公司。规格：DN700、PN10；法兰连接；软密封；材质：阀体为球墨铸铁；阀轴、圆锥销为不锈钢；底端盖、阀板材质为QT450；阀座橡胶为EPDM（三元乙丙橡胶）；介质为水，当流量达到2300m³/h时，阀门阻力≤4KPa。</w:t>
            </w:r>
          </w:p>
        </w:tc>
        <w:tc>
          <w:tcPr>
            <w:tcW w:w="56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5E5E5E"/>
                <w:kern w:val="0"/>
                <w:sz w:val="21"/>
                <w:szCs w:val="21"/>
                <w:highlight w:val="none"/>
                <w:u w:val="none"/>
                <w:lang w:val="en-US" w:eastAsia="zh-CN" w:bidi="ar"/>
              </w:rPr>
            </w:pPr>
            <w:r>
              <w:rPr>
                <w:rFonts w:hint="eastAsia" w:ascii="微软雅黑" w:hAnsi="微软雅黑" w:eastAsia="微软雅黑" w:cs="微软雅黑"/>
                <w:i w:val="0"/>
                <w:color w:val="5E5E5E"/>
                <w:kern w:val="0"/>
                <w:sz w:val="21"/>
                <w:szCs w:val="21"/>
                <w:highlight w:val="none"/>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5E5E5E"/>
                <w:kern w:val="0"/>
                <w:sz w:val="21"/>
                <w:szCs w:val="21"/>
                <w:highlight w:val="none"/>
                <w:u w:val="none"/>
                <w:lang w:val="en-US" w:eastAsia="zh-CN" w:bidi="ar"/>
              </w:rPr>
            </w:pPr>
            <w:r>
              <w:rPr>
                <w:rFonts w:hint="eastAsia" w:ascii="微软雅黑" w:hAnsi="微软雅黑" w:eastAsia="微软雅黑" w:cs="微软雅黑"/>
                <w:i w:val="0"/>
                <w:color w:val="5E5E5E"/>
                <w:kern w:val="0"/>
                <w:sz w:val="21"/>
                <w:szCs w:val="21"/>
                <w:highlight w:val="none"/>
                <w:u w:val="none"/>
                <w:lang w:val="en-US" w:eastAsia="zh-CN" w:bidi="ar"/>
              </w:rPr>
              <w:t>6</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47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632"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568"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 xml:space="preserve">★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厂家技术支持、利润、税费（包括关税、增值税专用发票等）、质保期服务、采购实施过程中不可预见费用以及与设备有关的特殊要求等完成本合同工作所需的所有费用。 </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w:t>
      </w:r>
      <w:r>
        <w:rPr>
          <w:rFonts w:hint="eastAsia" w:ascii="宋体" w:hAnsi="宋体"/>
          <w:sz w:val="24"/>
          <w:highlight w:val="none"/>
          <w:lang w:val="en-US" w:eastAsia="zh-CN"/>
        </w:rPr>
        <w:t>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w:t>
      </w:r>
      <w:r>
        <w:rPr>
          <w:rFonts w:hint="eastAsia" w:ascii="宋体" w:hAnsi="宋体"/>
          <w:sz w:val="24"/>
          <w:highlight w:val="none"/>
          <w:lang w:val="en-US" w:eastAsia="zh-CN"/>
        </w:rPr>
        <w:t>合同签订前</w:t>
      </w:r>
      <w:r>
        <w:rPr>
          <w:rFonts w:hint="eastAsia" w:ascii="宋体" w:hAnsi="宋体"/>
          <w:sz w:val="24"/>
          <w:highlight w:val="none"/>
        </w:rPr>
        <w:t>需提供生产厂家的或其授权经销商的关于本项目采购清单材料的合法授权函原件</w:t>
      </w:r>
      <w:r>
        <w:rPr>
          <w:rFonts w:hint="eastAsia" w:ascii="宋体" w:hAnsi="宋体"/>
          <w:sz w:val="24"/>
          <w:highlight w:val="none"/>
          <w:lang w:eastAsia="zh-CN"/>
        </w:rPr>
        <w:t>，</w:t>
      </w:r>
      <w:r>
        <w:rPr>
          <w:rFonts w:hint="eastAsia" w:ascii="宋体" w:hAnsi="宋体"/>
          <w:sz w:val="24"/>
          <w:highlight w:val="none"/>
          <w:lang w:val="en-US" w:eastAsia="zh-CN"/>
        </w:rPr>
        <w:t>供货时提供</w:t>
      </w:r>
      <w:r>
        <w:rPr>
          <w:rFonts w:hint="eastAsia" w:ascii="宋体" w:hAnsi="宋体"/>
          <w:sz w:val="24"/>
          <w:highlight w:val="none"/>
        </w:rPr>
        <w:t>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r>
        <w:rPr>
          <w:rFonts w:hint="eastAsia" w:ascii="宋体" w:hAnsi="宋体"/>
          <w:sz w:val="24"/>
          <w:highlight w:val="none"/>
          <w:lang w:eastAsia="zh-CN"/>
        </w:rPr>
        <w:t>，</w:t>
      </w:r>
      <w:r>
        <w:rPr>
          <w:rFonts w:hint="eastAsia" w:ascii="宋体" w:hAnsi="宋体"/>
          <w:sz w:val="24"/>
          <w:highlight w:val="none"/>
          <w:lang w:val="en-US" w:eastAsia="zh-CN"/>
        </w:rPr>
        <w:t>货期不超过30天。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处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★采购清单中货物的质保期最少为验收合格之日起</w:t>
      </w:r>
      <w:r>
        <w:rPr>
          <w:rFonts w:hint="eastAsia" w:ascii="宋体" w:hAnsi="宋体"/>
          <w:sz w:val="24"/>
          <w:highlight w:val="none"/>
          <w:lang w:eastAsia="zh-CN"/>
        </w:rPr>
        <w:t>2</w:t>
      </w:r>
      <w:r>
        <w:rPr>
          <w:rFonts w:hint="eastAsia" w:ascii="宋体" w:hAnsi="宋体"/>
          <w:sz w:val="24"/>
          <w:highlight w:val="none"/>
        </w:rPr>
        <w:t>年（不少于</w:t>
      </w:r>
      <w:r>
        <w:rPr>
          <w:rFonts w:hint="eastAsia" w:ascii="宋体" w:hAnsi="宋体"/>
          <w:sz w:val="24"/>
          <w:highlight w:val="none"/>
          <w:lang w:eastAsia="zh-CN"/>
        </w:rPr>
        <w:t>2</w:t>
      </w:r>
      <w:r>
        <w:rPr>
          <w:rFonts w:hint="eastAsia" w:ascii="宋体" w:hAnsi="宋体"/>
          <w:sz w:val="24"/>
          <w:highlight w:val="none"/>
        </w:rPr>
        <w:t>年）。</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★付款方式：合同签订后预付合同总价的30%款项作为预付款；全部货物货到现场经需方试压验收合格后付至结算价的95%款项，同时余下结算价的5%作为质保金，质保期为</w:t>
      </w:r>
      <w:r>
        <w:rPr>
          <w:rFonts w:hint="eastAsia" w:ascii="宋体" w:hAnsi="宋体"/>
          <w:sz w:val="24"/>
          <w:highlight w:val="none"/>
          <w:lang w:val="en-US" w:eastAsia="zh-CN"/>
        </w:rPr>
        <w:t>2</w:t>
      </w:r>
      <w:r>
        <w:rPr>
          <w:rFonts w:hint="eastAsia" w:ascii="宋体" w:hAnsi="宋体"/>
          <w:sz w:val="24"/>
          <w:highlight w:val="none"/>
        </w:rPr>
        <w:t>年，质保期自货物验收合格之日起算，质保期满供方履行完质保期义务后付清余款。付款前供方开具相应金额增值税(含13%增值税)专用发票给需方。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rPr>
          <w:rFonts w:ascii="宋体" w:hAnsi="宋体"/>
          <w:highlight w:val="none"/>
        </w:rPr>
      </w:pPr>
    </w:p>
    <w:p>
      <w:pPr>
        <w:spacing w:line="360" w:lineRule="auto"/>
        <w:rPr>
          <w:rFonts w:ascii="宋体" w:hAnsi="宋体"/>
          <w:highlight w:val="none"/>
        </w:rPr>
      </w:pPr>
    </w:p>
    <w:p>
      <w:pPr>
        <w:widowControl/>
        <w:jc w:val="left"/>
        <w:rPr>
          <w:rFonts w:ascii="宋体" w:hAnsi="宋体"/>
          <w:highlight w:val="none"/>
        </w:rPr>
      </w:pPr>
      <w:r>
        <w:rPr>
          <w:rFonts w:ascii="宋体" w:hAnsi="宋体"/>
          <w:highlight w:val="none"/>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eastAsia" w:ascii="宋体" w:hAnsi="宋体" w:eastAsiaTheme="minorEastAsia"/>
          <w:highlight w:val="none"/>
          <w:lang w:eastAsia="zh-CN"/>
        </w:rPr>
      </w:pPr>
      <w:r>
        <w:rPr>
          <w:rFonts w:hint="eastAsia" w:ascii="宋体" w:hAnsi="宋体"/>
          <w:highlight w:val="none"/>
        </w:rPr>
        <w:t>项目名称：</w:t>
      </w:r>
      <w:r>
        <w:rPr>
          <w:rFonts w:hint="eastAsia" w:ascii="宋体" w:hAnsi="宋体"/>
          <w:sz w:val="24"/>
          <w:highlight w:val="none"/>
          <w:lang w:eastAsia="zh-CN"/>
        </w:rPr>
        <w:t>广州大学城第二、第四冷站主机更新之增加甩头工程阀门材料采购</w:t>
      </w:r>
    </w:p>
    <w:p>
      <w:pPr>
        <w:spacing w:line="360" w:lineRule="auto"/>
        <w:rPr>
          <w:highlight w:val="none"/>
        </w:rPr>
      </w:pPr>
      <w:r>
        <w:rPr>
          <w:rFonts w:hint="eastAsia" w:ascii="宋体" w:hAnsi="宋体"/>
          <w:highlight w:val="none"/>
        </w:rPr>
        <w:t xml:space="preserve">          </w:t>
      </w:r>
    </w:p>
    <w:tbl>
      <w:tblPr>
        <w:tblStyle w:val="11"/>
        <w:tblW w:w="8296" w:type="dxa"/>
        <w:tblInd w:w="0" w:type="dxa"/>
        <w:tblLayout w:type="fixed"/>
        <w:tblCellMar>
          <w:top w:w="0" w:type="dxa"/>
          <w:left w:w="108" w:type="dxa"/>
          <w:bottom w:w="0" w:type="dxa"/>
          <w:right w:w="108" w:type="dxa"/>
        </w:tblCellMar>
      </w:tblPr>
      <w:tblGrid>
        <w:gridCol w:w="533"/>
        <w:gridCol w:w="1120"/>
        <w:gridCol w:w="1100"/>
        <w:gridCol w:w="329"/>
        <w:gridCol w:w="564"/>
        <w:gridCol w:w="491"/>
        <w:gridCol w:w="826"/>
        <w:gridCol w:w="1099"/>
        <w:gridCol w:w="556"/>
        <w:gridCol w:w="826"/>
        <w:gridCol w:w="823"/>
        <w:gridCol w:w="29"/>
      </w:tblGrid>
      <w:tr>
        <w:tblPrEx>
          <w:tblLayout w:type="fixed"/>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491"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26"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99"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55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753"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543" w:type="dxa"/>
            <w:gridSpan w:val="9"/>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w:t>
      </w:r>
      <w:r>
        <w:rPr>
          <w:rFonts w:hint="eastAsia" w:ascii="宋体" w:hAnsi="宋体"/>
          <w:kern w:val="0"/>
          <w:sz w:val="24"/>
          <w:highlight w:val="none"/>
        </w:rPr>
        <w:t>项目</w:t>
      </w:r>
      <w:r>
        <w:rPr>
          <w:rFonts w:hint="eastAsia" w:ascii="宋体" w:hAnsi="宋体"/>
          <w:sz w:val="24"/>
          <w:highlight w:val="none"/>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厂家技术支持、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rPr>
          <w:rFonts w:ascii="宋体" w:hAnsi="宋体"/>
          <w:sz w:val="24"/>
          <w:highlight w:val="none"/>
        </w:rPr>
      </w:pPr>
      <w:r>
        <w:rPr>
          <w:rFonts w:hint="eastAsia"/>
          <w:sz w:val="24"/>
          <w:highlight w:val="none"/>
        </w:rPr>
        <w:t>报价有效期：</w:t>
      </w: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11"/>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ind w:firstLine="1200" w:firstLineChars="500"/>
              <w:jc w:val="left"/>
              <w:rPr>
                <w:rFonts w:ascii="宋体" w:hAnsi="宋体" w:eastAsia="宋体" w:cs="宋体"/>
                <w:kern w:val="0"/>
                <w:sz w:val="24"/>
                <w:highlight w:val="none"/>
              </w:rPr>
            </w:pPr>
            <w:r>
              <w:rPr>
                <w:rFonts w:hint="eastAsia" w:ascii="宋体" w:hAnsi="宋体" w:eastAsia="宋体" w:cs="宋体"/>
                <w:kern w:val="0"/>
                <w:sz w:val="24"/>
                <w:highlight w:val="none"/>
              </w:rPr>
              <w:t>供应商：（公章）</w:t>
            </w:r>
          </w:p>
          <w:p>
            <w:pPr>
              <w:widowControl/>
              <w:ind w:firstLine="1200" w:firstLineChars="500"/>
              <w:jc w:val="left"/>
              <w:rPr>
                <w:rFonts w:ascii="宋体" w:hAnsi="宋体" w:eastAsia="宋体" w:cs="宋体"/>
                <w:kern w:val="0"/>
                <w:sz w:val="24"/>
                <w:highlight w:val="none"/>
              </w:rPr>
            </w:pPr>
          </w:p>
          <w:p>
            <w:pPr>
              <w:widowControl/>
              <w:ind w:firstLine="1200" w:firstLineChars="500"/>
              <w:jc w:val="left"/>
              <w:rPr>
                <w:rFonts w:ascii="宋体" w:hAnsi="宋体" w:eastAsia="宋体" w:cs="宋体"/>
                <w:kern w:val="0"/>
                <w:szCs w:val="21"/>
                <w:highlight w:val="none"/>
              </w:rPr>
            </w:pP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pStyle w:val="2"/>
        <w:spacing w:line="360" w:lineRule="auto"/>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eastAsia" w:ascii="宋体" w:hAnsi="宋体" w:eastAsiaTheme="minorEastAsia"/>
          <w:highlight w:val="none"/>
          <w:lang w:eastAsia="zh-CN"/>
        </w:rPr>
      </w:pPr>
      <w:r>
        <w:rPr>
          <w:rFonts w:hint="eastAsia" w:ascii="宋体" w:hAnsi="宋体"/>
          <w:highlight w:val="none"/>
        </w:rPr>
        <w:t>项目名称：</w:t>
      </w:r>
      <w:r>
        <w:rPr>
          <w:rFonts w:hint="eastAsia" w:ascii="宋体" w:hAnsi="宋体"/>
          <w:sz w:val="24"/>
          <w:highlight w:val="none"/>
          <w:lang w:eastAsia="zh-CN"/>
        </w:rPr>
        <w:t>广州大学城第二、第四冷站主机更新之增加甩头工程阀门材料采购</w:t>
      </w:r>
    </w:p>
    <w:tbl>
      <w:tblPr>
        <w:tblStyle w:val="11"/>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包装运输至交货地（含装卸）、厂家技术支持、利润、税费</w:t>
            </w:r>
            <w:r>
              <w:rPr>
                <w:rFonts w:hint="eastAsia" w:ascii="宋体" w:hAnsi="宋体"/>
                <w:kern w:val="0"/>
                <w:sz w:val="18"/>
                <w:szCs w:val="18"/>
                <w:highlight w:val="none"/>
              </w:rPr>
              <w:t>（包括关税、增值税专用发票等）</w:t>
            </w:r>
            <w:r>
              <w:rPr>
                <w:rFonts w:hint="eastAsia" w:ascii="宋体" w:hAnsi="宋体"/>
                <w:sz w:val="18"/>
                <w:szCs w:val="18"/>
                <w:highlight w:val="none"/>
              </w:rPr>
              <w:t>、质保期服务、采购实施过程中不可预见费用</w:t>
            </w:r>
            <w:r>
              <w:rPr>
                <w:rFonts w:hint="eastAsia" w:ascii="宋体" w:hAnsi="宋体"/>
                <w:kern w:val="0"/>
                <w:sz w:val="18"/>
                <w:szCs w:val="18"/>
                <w:highlight w:val="none"/>
              </w:rPr>
              <w:t>以及与设备有关的特殊要求等完成本合同工作所需的所有费用</w:t>
            </w:r>
            <w:r>
              <w:rPr>
                <w:rFonts w:hint="eastAsia" w:ascii="宋体" w:hAnsi="宋体"/>
                <w:sz w:val="18"/>
                <w:szCs w:val="18"/>
                <w:highlight w:val="none"/>
              </w:rPr>
              <w:t>。</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成交供应商非生产厂家时在合同签订前需提供生产厂家的或其授权经销商的关于本项目采购清单材料的合法授权函原件，供货时提供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四、需求内容（七）</w:t>
            </w:r>
            <w:r>
              <w:rPr>
                <w:rFonts w:ascii="宋体" w:hAnsi="宋体"/>
                <w:sz w:val="18"/>
                <w:szCs w:val="18"/>
                <w:highlight w:val="none"/>
              </w:rPr>
              <w:t>2、</w:t>
            </w:r>
            <w:r>
              <w:rPr>
                <w:rFonts w:hint="eastAsia" w:ascii="宋体" w:hAnsi="宋体"/>
                <w:sz w:val="18"/>
                <w:szCs w:val="18"/>
                <w:highlight w:val="none"/>
              </w:rPr>
              <w:t>★采购清单中</w:t>
            </w:r>
            <w:r>
              <w:rPr>
                <w:rFonts w:ascii="宋体" w:hAnsi="宋体"/>
                <w:sz w:val="18"/>
                <w:szCs w:val="18"/>
                <w:highlight w:val="none"/>
              </w:rPr>
              <w:t>货物的质保期最少为</w:t>
            </w:r>
            <w:r>
              <w:rPr>
                <w:rFonts w:hint="eastAsia" w:ascii="宋体" w:hAnsi="宋体"/>
                <w:sz w:val="18"/>
                <w:szCs w:val="18"/>
                <w:highlight w:val="none"/>
              </w:rPr>
              <w:t>货物</w:t>
            </w:r>
            <w:r>
              <w:rPr>
                <w:rFonts w:ascii="宋体" w:hAnsi="宋体"/>
                <w:sz w:val="18"/>
                <w:szCs w:val="18"/>
                <w:highlight w:val="none"/>
              </w:rPr>
              <w:t>验收合格</w:t>
            </w:r>
            <w:r>
              <w:rPr>
                <w:rFonts w:hint="eastAsia" w:ascii="宋体" w:hAnsi="宋体"/>
                <w:sz w:val="18"/>
                <w:szCs w:val="18"/>
                <w:highlight w:val="none"/>
              </w:rPr>
              <w:t>之日起</w:t>
            </w:r>
            <w:r>
              <w:rPr>
                <w:rFonts w:hint="eastAsia" w:ascii="宋体" w:hAnsi="宋体"/>
                <w:sz w:val="18"/>
                <w:szCs w:val="18"/>
                <w:highlight w:val="none"/>
                <w:lang w:val="en-US" w:eastAsia="zh-CN"/>
              </w:rPr>
              <w:t>2</w:t>
            </w:r>
            <w:r>
              <w:rPr>
                <w:rFonts w:hint="eastAsia" w:ascii="宋体" w:hAnsi="宋体"/>
                <w:sz w:val="18"/>
                <w:szCs w:val="18"/>
                <w:highlight w:val="none"/>
              </w:rPr>
              <w:t>年（不少于</w:t>
            </w:r>
            <w:r>
              <w:rPr>
                <w:rFonts w:hint="eastAsia" w:ascii="宋体" w:hAnsi="宋体"/>
                <w:sz w:val="18"/>
                <w:szCs w:val="18"/>
                <w:highlight w:val="none"/>
                <w:lang w:val="en-US" w:eastAsia="zh-CN"/>
              </w:rPr>
              <w:t>2</w:t>
            </w:r>
            <w:r>
              <w:rPr>
                <w:rFonts w:hint="eastAsia" w:ascii="宋体" w:hAnsi="宋体"/>
                <w:sz w:val="18"/>
                <w:szCs w:val="18"/>
                <w:highlight w:val="none"/>
              </w:rPr>
              <w:t>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6</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付款方式合同签订后预付合同总价的30%款项作为预付款；全部货物货到现场经需方验收合格后付至结算价95%款项，同时余下结算价的5%作为质保金，质保期为</w:t>
            </w:r>
            <w:r>
              <w:rPr>
                <w:rFonts w:hint="eastAsia" w:ascii="宋体" w:hAnsi="宋体"/>
                <w:sz w:val="18"/>
                <w:szCs w:val="18"/>
                <w:highlight w:val="none"/>
                <w:lang w:val="en-US" w:eastAsia="zh-CN"/>
              </w:rPr>
              <w:t>2</w:t>
            </w:r>
            <w:r>
              <w:rPr>
                <w:rFonts w:hint="eastAsia" w:ascii="宋体" w:hAnsi="宋体"/>
                <w:sz w:val="18"/>
                <w:szCs w:val="18"/>
                <w:highlight w:val="none"/>
              </w:rPr>
              <w:t>年，质保期自货物经需方</w:t>
            </w:r>
            <w:r>
              <w:rPr>
                <w:rFonts w:hint="eastAsia" w:ascii="宋体" w:hAnsi="宋体"/>
                <w:sz w:val="18"/>
                <w:szCs w:val="18"/>
                <w:highlight w:val="none"/>
                <w:lang w:val="en-US" w:eastAsia="zh-CN"/>
              </w:rPr>
              <w:t>试压</w:t>
            </w:r>
            <w:r>
              <w:rPr>
                <w:rFonts w:hint="eastAsia" w:ascii="宋体" w:hAnsi="宋体"/>
                <w:sz w:val="18"/>
                <w:szCs w:val="18"/>
                <w:highlight w:val="none"/>
              </w:rPr>
              <w:t>验收合格签字之日起计算。质保期满供方履行完质保期义务后付清余款。付款前供方开具相应金额增值税(含13%增值税)专用发票给需方。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spacing w:line="360" w:lineRule="auto"/>
        <w:ind w:firstLine="4935" w:firstLineChars="2350"/>
        <w:rPr>
          <w:rFonts w:ascii="宋体" w:hAnsi="宋体"/>
          <w:sz w:val="32"/>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 日</w:t>
      </w:r>
    </w:p>
    <w:p>
      <w:pPr>
        <w:widowControl/>
        <w:jc w:val="center"/>
        <w:rPr>
          <w:rFonts w:ascii="宋体" w:hAnsi="宋体"/>
          <w:b/>
          <w:sz w:val="32"/>
          <w:highlight w:val="none"/>
        </w:rPr>
      </w:pPr>
      <w:r>
        <w:rPr>
          <w:rFonts w:ascii="宋体" w:hAnsi="宋体"/>
          <w:sz w:val="32"/>
          <w:highlight w:val="none"/>
        </w:rPr>
        <w:br w:type="page"/>
      </w:r>
    </w:p>
    <w:p>
      <w:pPr>
        <w:adjustRightInd w:val="0"/>
        <w:spacing w:line="460" w:lineRule="exact"/>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11"/>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lang w:val="en-US" w:eastAsia="zh-CN"/>
              </w:rPr>
              <w:t>不</w:t>
            </w:r>
            <w:r>
              <w:rPr>
                <w:rFonts w:hint="eastAsia" w:ascii="宋体" w:hAnsi="宋体"/>
                <w:highlight w:val="none"/>
              </w:rPr>
              <w:t>具有独立法人资格，</w:t>
            </w:r>
            <w:r>
              <w:rPr>
                <w:rFonts w:hint="eastAsia" w:ascii="宋体" w:hAnsi="宋体"/>
                <w:highlight w:val="none"/>
                <w:lang w:val="en-US" w:eastAsia="zh-CN"/>
              </w:rPr>
              <w:t>未</w:t>
            </w:r>
            <w:r>
              <w:rPr>
                <w:rFonts w:hint="eastAsia" w:ascii="宋体" w:hAnsi="宋体"/>
                <w:highlight w:val="none"/>
              </w:rPr>
              <w:t>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w:t>
            </w:r>
            <w:r>
              <w:rPr>
                <w:rFonts w:hint="eastAsia" w:ascii="宋体" w:hAnsi="宋体"/>
                <w:kern w:val="0"/>
                <w:highlight w:val="none"/>
                <w:lang w:val="en-US" w:eastAsia="zh-CN"/>
              </w:rPr>
              <w:t>采购人</w:t>
            </w:r>
            <w:r>
              <w:rPr>
                <w:rFonts w:hint="eastAsia" w:ascii="宋体" w:hAnsi="宋体"/>
                <w:kern w:val="0"/>
                <w:highlight w:val="none"/>
              </w:rPr>
              <w:t>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highlight w:val="none"/>
                <w:lang w:eastAsia="zh-CN"/>
              </w:rPr>
            </w:pPr>
            <w:r>
              <w:rPr>
                <w:rFonts w:hint="eastAsia" w:ascii="宋体" w:hAnsi="宋体"/>
                <w:kern w:val="0"/>
                <w:highlight w:val="none"/>
                <w:lang w:val="en-US" w:eastAsia="zh-CN"/>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lang w:val="en-US" w:eastAsia="zh-CN"/>
              </w:rPr>
              <w:t>投标</w:t>
            </w:r>
            <w:r>
              <w:rPr>
                <w:rFonts w:hint="eastAsia" w:ascii="宋体" w:hAnsi="宋体"/>
                <w:kern w:val="0"/>
                <w:highlight w:val="none"/>
              </w:rPr>
              <w:t>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eastAsia="zh-CN"/>
              </w:rPr>
            </w:pPr>
            <w:r>
              <w:rPr>
                <w:rFonts w:hint="eastAsia" w:ascii="宋体" w:hAnsi="宋体"/>
                <w:kern w:val="0"/>
                <w:highlight w:val="none"/>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eastAsia="zh-CN"/>
              </w:rPr>
            </w:pPr>
            <w:r>
              <w:rPr>
                <w:rFonts w:hint="eastAsia" w:ascii="宋体" w:hAnsi="宋体"/>
                <w:kern w:val="0"/>
                <w:highlight w:val="none"/>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spacing w:line="360" w:lineRule="auto"/>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3"/>
  </w:num>
  <w:num w:numId="4">
    <w:abstractNumId w:val="7"/>
  </w:num>
  <w:num w:numId="5">
    <w:abstractNumId w:val="16"/>
  </w:num>
  <w:num w:numId="6">
    <w:abstractNumId w:val="6"/>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9"/>
  </w:num>
  <w:num w:numId="17">
    <w:abstractNumId w:val="8"/>
  </w:num>
  <w:num w:numId="18">
    <w:abstractNumId w:val="0"/>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E6"/>
    <w:rsid w:val="00055462"/>
    <w:rsid w:val="00066EB5"/>
    <w:rsid w:val="000704AC"/>
    <w:rsid w:val="000775B8"/>
    <w:rsid w:val="0008426A"/>
    <w:rsid w:val="00084FC8"/>
    <w:rsid w:val="0008780A"/>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8C3"/>
    <w:rsid w:val="001F3FA4"/>
    <w:rsid w:val="00204CDD"/>
    <w:rsid w:val="00211957"/>
    <w:rsid w:val="00212346"/>
    <w:rsid w:val="00213918"/>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2E3"/>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7F628C"/>
    <w:rsid w:val="00804AB7"/>
    <w:rsid w:val="00807B8B"/>
    <w:rsid w:val="008203A0"/>
    <w:rsid w:val="008217FF"/>
    <w:rsid w:val="008233B6"/>
    <w:rsid w:val="00824E00"/>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62DE2"/>
    <w:rsid w:val="00E725B6"/>
    <w:rsid w:val="00E8151C"/>
    <w:rsid w:val="00E84703"/>
    <w:rsid w:val="00E933A8"/>
    <w:rsid w:val="00EC63AD"/>
    <w:rsid w:val="00ED5BEE"/>
    <w:rsid w:val="00ED5E29"/>
    <w:rsid w:val="00EE01B2"/>
    <w:rsid w:val="00EE66C9"/>
    <w:rsid w:val="00F1390E"/>
    <w:rsid w:val="00F36482"/>
    <w:rsid w:val="00F5422B"/>
    <w:rsid w:val="00F56CDD"/>
    <w:rsid w:val="00F67C31"/>
    <w:rsid w:val="00F96BE7"/>
    <w:rsid w:val="00FA1E8E"/>
    <w:rsid w:val="00FE22F7"/>
    <w:rsid w:val="00FF6134"/>
    <w:rsid w:val="1561718D"/>
    <w:rsid w:val="193F5266"/>
    <w:rsid w:val="196D6624"/>
    <w:rsid w:val="1D486867"/>
    <w:rsid w:val="24C37BD9"/>
    <w:rsid w:val="24E1746D"/>
    <w:rsid w:val="28E43C1F"/>
    <w:rsid w:val="2EA52CAF"/>
    <w:rsid w:val="318105E6"/>
    <w:rsid w:val="324C08D5"/>
    <w:rsid w:val="39BF3522"/>
    <w:rsid w:val="3B4320D1"/>
    <w:rsid w:val="3E614D8B"/>
    <w:rsid w:val="3F605D5E"/>
    <w:rsid w:val="4B9F71B9"/>
    <w:rsid w:val="53E02240"/>
    <w:rsid w:val="55BC644E"/>
    <w:rsid w:val="6D535020"/>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2490F8"/>
      <w:u w:val="none"/>
    </w:rPr>
  </w:style>
  <w:style w:type="character" w:styleId="9">
    <w:name w:val="Emphasis"/>
    <w:basedOn w:val="7"/>
    <w:qFormat/>
    <w:uiPriority w:val="0"/>
  </w:style>
  <w:style w:type="character" w:styleId="10">
    <w:name w:val="Hyperlink"/>
    <w:basedOn w:val="7"/>
    <w:unhideWhenUsed/>
    <w:qFormat/>
    <w:uiPriority w:val="99"/>
    <w:rPr>
      <w:color w:val="2490F8"/>
      <w:u w:val="non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7"/>
    <w:link w:val="4"/>
    <w:qFormat/>
    <w:uiPriority w:val="0"/>
    <w:rPr>
      <w:rFonts w:asciiTheme="minorHAnsi" w:hAnsiTheme="minorHAnsi" w:eastAsiaTheme="minorEastAsia" w:cstheme="minorBidi"/>
      <w:kern w:val="2"/>
      <w:sz w:val="18"/>
      <w:szCs w:val="18"/>
    </w:rPr>
  </w:style>
  <w:style w:type="character" w:customStyle="1" w:styleId="18">
    <w:name w:val="页眉 Char"/>
    <w:basedOn w:val="7"/>
    <w:link w:val="6"/>
    <w:qFormat/>
    <w:uiPriority w:val="0"/>
    <w:rPr>
      <w:rFonts w:asciiTheme="minorHAnsi" w:hAnsiTheme="minorHAnsi" w:eastAsiaTheme="minorEastAsia" w:cstheme="minorBidi"/>
      <w:kern w:val="2"/>
      <w:sz w:val="18"/>
      <w:szCs w:val="18"/>
    </w:rPr>
  </w:style>
  <w:style w:type="character" w:customStyle="1" w:styleId="19">
    <w:name w:val="xdrichtextbox2"/>
    <w:basedOn w:val="7"/>
    <w:qFormat/>
    <w:uiPriority w:val="0"/>
    <w:rPr>
      <w:color w:val="0000FF"/>
      <w:sz w:val="18"/>
      <w:szCs w:val="18"/>
      <w:u w:val="none"/>
      <w:bdr w:val="single" w:color="DCDCDC" w:sz="8" w:space="0"/>
      <w:shd w:val="clear" w:color="auto" w:fill="FFFFFF"/>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button4"/>
    <w:basedOn w:val="7"/>
    <w:qFormat/>
    <w:uiPriority w:val="0"/>
  </w:style>
  <w:style w:type="character" w:customStyle="1" w:styleId="22">
    <w:name w:val="icontext3"/>
    <w:basedOn w:val="7"/>
    <w:qFormat/>
    <w:uiPriority w:val="0"/>
  </w:style>
  <w:style w:type="character" w:customStyle="1" w:styleId="23">
    <w:name w:val="cdropleft"/>
    <w:basedOn w:val="7"/>
    <w:qFormat/>
    <w:uiPriority w:val="0"/>
  </w:style>
  <w:style w:type="character" w:customStyle="1" w:styleId="24">
    <w:name w:val="icontext1"/>
    <w:basedOn w:val="7"/>
    <w:qFormat/>
    <w:uiPriority w:val="0"/>
  </w:style>
  <w:style w:type="character" w:customStyle="1" w:styleId="25">
    <w:name w:val="icontext11"/>
    <w:basedOn w:val="7"/>
    <w:qFormat/>
    <w:uiPriority w:val="0"/>
  </w:style>
  <w:style w:type="character" w:customStyle="1" w:styleId="26">
    <w:name w:val="icontext12"/>
    <w:basedOn w:val="7"/>
    <w:qFormat/>
    <w:uiPriority w:val="0"/>
  </w:style>
  <w:style w:type="character" w:customStyle="1" w:styleId="27">
    <w:name w:val="w32"/>
    <w:basedOn w:val="7"/>
    <w:qFormat/>
    <w:uiPriority w:val="0"/>
  </w:style>
  <w:style w:type="character" w:customStyle="1" w:styleId="28">
    <w:name w:val="cy"/>
    <w:basedOn w:val="7"/>
    <w:qFormat/>
    <w:uiPriority w:val="0"/>
  </w:style>
  <w:style w:type="character" w:customStyle="1" w:styleId="29">
    <w:name w:val="pagechatarealistclose_box"/>
    <w:basedOn w:val="7"/>
    <w:qFormat/>
    <w:uiPriority w:val="0"/>
  </w:style>
  <w:style w:type="character" w:customStyle="1" w:styleId="30">
    <w:name w:val="pagechatarealistclose_box1"/>
    <w:basedOn w:val="7"/>
    <w:qFormat/>
    <w:uiPriority w:val="0"/>
  </w:style>
  <w:style w:type="character" w:customStyle="1" w:styleId="31">
    <w:name w:val="ico1654"/>
    <w:basedOn w:val="7"/>
    <w:qFormat/>
    <w:uiPriority w:val="0"/>
  </w:style>
  <w:style w:type="character" w:customStyle="1" w:styleId="32">
    <w:name w:val="ico1655"/>
    <w:basedOn w:val="7"/>
    <w:qFormat/>
    <w:uiPriority w:val="0"/>
  </w:style>
  <w:style w:type="character" w:customStyle="1" w:styleId="33">
    <w:name w:val="first-child"/>
    <w:basedOn w:val="7"/>
    <w:qFormat/>
    <w:uiPriority w:val="0"/>
  </w:style>
  <w:style w:type="character" w:customStyle="1" w:styleId="34">
    <w:name w:val="tmpztreemove_arrow"/>
    <w:basedOn w:val="7"/>
    <w:qFormat/>
    <w:uiPriority w:val="0"/>
  </w:style>
  <w:style w:type="character" w:customStyle="1" w:styleId="35">
    <w:name w:val="iconline2"/>
    <w:basedOn w:val="7"/>
    <w:qFormat/>
    <w:uiPriority w:val="0"/>
  </w:style>
  <w:style w:type="character" w:customStyle="1" w:styleId="36">
    <w:name w:val="iconline21"/>
    <w:basedOn w:val="7"/>
    <w:qFormat/>
    <w:uiPriority w:val="0"/>
  </w:style>
  <w:style w:type="character" w:customStyle="1" w:styleId="37">
    <w:name w:val="hilite6"/>
    <w:basedOn w:val="7"/>
    <w:qFormat/>
    <w:uiPriority w:val="0"/>
    <w:rPr>
      <w:color w:val="FFFFFF"/>
      <w:shd w:val="clear" w:fill="666666"/>
    </w:rPr>
  </w:style>
  <w:style w:type="character" w:customStyle="1" w:styleId="38">
    <w:name w:val="associateddata"/>
    <w:basedOn w:val="7"/>
    <w:qFormat/>
    <w:uiPriority w:val="0"/>
    <w:rPr>
      <w:shd w:val="clear" w:fill="50A6F9"/>
    </w:rPr>
  </w:style>
  <w:style w:type="character" w:customStyle="1" w:styleId="39">
    <w:name w:val="active4"/>
    <w:basedOn w:val="7"/>
    <w:qFormat/>
    <w:uiPriority w:val="0"/>
    <w:rPr>
      <w:color w:val="00FF00"/>
      <w:shd w:val="clear" w:fill="111111"/>
    </w:rPr>
  </w:style>
  <w:style w:type="character" w:customStyle="1" w:styleId="40">
    <w:name w:val="after"/>
    <w:basedOn w:val="7"/>
    <w:qFormat/>
    <w:uiPriority w:val="0"/>
    <w:rPr>
      <w:sz w:val="0"/>
      <w:szCs w:val="0"/>
    </w:rPr>
  </w:style>
  <w:style w:type="character" w:customStyle="1" w:styleId="41">
    <w:name w:val="cdropright"/>
    <w:basedOn w:val="7"/>
    <w:qFormat/>
    <w:uiPriority w:val="0"/>
  </w:style>
  <w:style w:type="character" w:customStyle="1" w:styleId="42">
    <w:name w:val="drapbtn"/>
    <w:basedOn w:val="7"/>
    <w:qFormat/>
    <w:uiPriority w:val="0"/>
  </w:style>
  <w:style w:type="character" w:customStyle="1" w:styleId="43">
    <w:name w:val="icontext2"/>
    <w:basedOn w:val="7"/>
    <w:qFormat/>
    <w:uiPriority w:val="0"/>
  </w:style>
  <w:style w:type="character" w:customStyle="1" w:styleId="44">
    <w:name w:val="layui-layer-tabnow"/>
    <w:basedOn w:val="7"/>
    <w:qFormat/>
    <w:uiPriority w:val="0"/>
    <w:rPr>
      <w:bdr w:val="single" w:color="CCCCCC" w:sz="6" w:space="0"/>
      <w:shd w:val="clear" w:fill="FFFFFF"/>
    </w:rPr>
  </w:style>
  <w:style w:type="character" w:customStyle="1" w:styleId="45">
    <w:name w:val="choose-status"/>
    <w:basedOn w:val="7"/>
    <w:qFormat/>
    <w:uiPriority w:val="0"/>
    <w:rPr>
      <w:color w:val="1F85EC"/>
      <w:shd w:val="clear" w:fill="FFFFFF"/>
    </w:rPr>
  </w:style>
  <w:style w:type="character" w:customStyle="1" w:styleId="46">
    <w:name w:val="hilite"/>
    <w:basedOn w:val="7"/>
    <w:qFormat/>
    <w:uiPriority w:val="0"/>
    <w:rPr>
      <w:color w:val="FFFFFF"/>
      <w:shd w:val="clear" w:fill="666666"/>
    </w:rPr>
  </w:style>
  <w:style w:type="character" w:customStyle="1" w:styleId="47">
    <w:name w:val="button"/>
    <w:basedOn w:val="7"/>
    <w:qFormat/>
    <w:uiPriority w:val="0"/>
  </w:style>
  <w:style w:type="character" w:customStyle="1" w:styleId="48">
    <w:name w:val="active8"/>
    <w:basedOn w:val="7"/>
    <w:qFormat/>
    <w:uiPriority w:val="0"/>
    <w:rPr>
      <w:color w:val="00FF00"/>
      <w:shd w:val="clear" w:fill="111111"/>
    </w:rPr>
  </w:style>
  <w:style w:type="character" w:customStyle="1" w:styleId="49">
    <w:name w:val="ico1653"/>
    <w:basedOn w:val="7"/>
    <w:qFormat/>
    <w:uiPriority w:val="0"/>
  </w:style>
  <w:style w:type="character" w:customStyle="1" w:styleId="50">
    <w:name w:val="active6"/>
    <w:basedOn w:val="7"/>
    <w:qFormat/>
    <w:uiPriority w:val="0"/>
    <w:rPr>
      <w:color w:val="00FF00"/>
      <w:shd w:val="clear" w:fill="11111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9947C-1329-4C18-AF0F-03FE0C9DF2BF}">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22</Pages>
  <Words>1620</Words>
  <Characters>9238</Characters>
  <Lines>76</Lines>
  <Paragraphs>21</Paragraphs>
  <TotalTime>28</TotalTime>
  <ScaleCrop>false</ScaleCrop>
  <LinksUpToDate>false</LinksUpToDate>
  <CharactersWithSpaces>10837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2022-09-20T04:10:26Z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