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rFonts w:hint="eastAsia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  <w:lang w:val="en-US" w:eastAsia="zh-CN"/>
        </w:rPr>
        <w:t>乙二醇储存材料采购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7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乙二醇储存材料采购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乙二醇储存材料采购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限价15万元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乙二醇储存材料采购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日，同时在广州大学城投资经营管理有限公司网站（网址：www.gzuci.com）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广州国企阳光采购信息发布平台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期内，工作日（北京时间，下同）上午9:00至12:00，下午14:00至17:00，可联系采购人获取该项目竞选文件或自行在网站下载（如有）。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乙二醇储存材料采购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7B59"/>
    <w:rsid w:val="32F1312C"/>
    <w:rsid w:val="33AD6CAF"/>
    <w:rsid w:val="39C41E4B"/>
    <w:rsid w:val="4F721B0A"/>
    <w:rsid w:val="608B6056"/>
    <w:rsid w:val="61345013"/>
    <w:rsid w:val="733F3242"/>
    <w:rsid w:val="736D68A1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nhideWhenUsed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span_on"/>
    <w:basedOn w:val="3"/>
    <w:qFormat/>
    <w:uiPriority w:val="0"/>
    <w:rPr>
      <w:shd w:val="clear" w:fill="EAF7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2022-10-14T03:32:19Z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