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广州城投综合能源投资经营管理有限公司</w:t>
      </w:r>
    </w:p>
    <w:p>
      <w:pPr>
        <w:jc w:val="center"/>
        <w:rPr>
          <w:rFonts w:hint="eastAsia"/>
          <w:b/>
          <w:sz w:val="28"/>
          <w:highlight w:val="none"/>
          <w:lang w:val="en-US" w:eastAsia="zh-CN"/>
        </w:rPr>
      </w:pPr>
      <w:r>
        <w:rPr>
          <w:rFonts w:hint="eastAsia"/>
          <w:b/>
          <w:sz w:val="28"/>
          <w:highlight w:val="none"/>
          <w:lang w:val="en-US" w:eastAsia="zh-CN"/>
        </w:rPr>
        <w:t>会议室投影融合屏设备采购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补充</w:t>
      </w:r>
      <w:r>
        <w:rPr>
          <w:rFonts w:hint="eastAsia"/>
          <w:b/>
          <w:sz w:val="28"/>
          <w:szCs w:val="28"/>
        </w:rPr>
        <w:t>公告</w:t>
      </w:r>
    </w:p>
    <w:p>
      <w:pPr>
        <w:pStyle w:val="7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480"/>
      </w:pPr>
      <w:r>
        <w:rPr>
          <w:rFonts w:hint="eastAsia" w:ascii="宋体" w:hAnsi="宋体"/>
          <w:kern w:val="0"/>
          <w:sz w:val="24"/>
          <w:szCs w:val="24"/>
          <w:highlight w:val="none"/>
        </w:rPr>
        <w:t>广州城投综合能源投资经营管理有限公司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会议室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投影融合屏</w:t>
      </w:r>
      <w:r>
        <w:rPr>
          <w:rFonts w:hint="eastAsia" w:ascii="宋体" w:hAnsi="宋体"/>
          <w:kern w:val="0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宋体" w:hAnsi="宋体"/>
          <w:kern w:val="0"/>
          <w:sz w:val="24"/>
          <w:szCs w:val="24"/>
          <w:highlight w:val="none"/>
        </w:rPr>
        <w:t>采购已</w:t>
      </w:r>
      <w:r>
        <w:rPr>
          <w:rFonts w:ascii="宋体" w:hAnsi="宋体" w:cs="宋体"/>
          <w:kern w:val="0"/>
          <w:sz w:val="24"/>
          <w:highlight w:val="none"/>
        </w:rPr>
        <w:t>于20</w:t>
      </w:r>
      <w:r>
        <w:rPr>
          <w:rFonts w:hint="eastAsia" w:ascii="宋体" w:hAnsi="宋体" w:cs="宋体"/>
          <w:kern w:val="0"/>
          <w:sz w:val="24"/>
          <w:highlight w:val="none"/>
        </w:rPr>
        <w:t>2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</w:t>
      </w:r>
      <w:r>
        <w:rPr>
          <w:rFonts w:ascii="宋体" w:hAnsi="宋体" w:cs="宋体"/>
          <w:kern w:val="0"/>
          <w:sz w:val="24"/>
          <w:highlight w:val="none"/>
        </w:rPr>
        <w:t>年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2</w:t>
      </w:r>
      <w:r>
        <w:rPr>
          <w:rFonts w:ascii="宋体" w:hAnsi="宋体" w:cs="宋体"/>
          <w:kern w:val="0"/>
          <w:sz w:val="24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17</w:t>
      </w:r>
      <w:r>
        <w:rPr>
          <w:rFonts w:ascii="宋体" w:hAnsi="宋体" w:cs="宋体"/>
          <w:kern w:val="0"/>
          <w:sz w:val="24"/>
          <w:highlight w:val="none"/>
        </w:rPr>
        <w:t>日发布</w:t>
      </w:r>
      <w:r>
        <w:rPr>
          <w:rFonts w:hint="eastAsia" w:ascii="宋体" w:hAnsi="宋体" w:cs="宋体"/>
          <w:kern w:val="0"/>
          <w:sz w:val="24"/>
          <w:highlight w:val="none"/>
        </w:rPr>
        <w:t>竞选</w:t>
      </w:r>
      <w:r>
        <w:rPr>
          <w:rFonts w:ascii="宋体" w:hAnsi="宋体" w:cs="宋体"/>
          <w:kern w:val="0"/>
          <w:sz w:val="24"/>
          <w:highlight w:val="none"/>
        </w:rPr>
        <w:t>公告，</w:t>
      </w:r>
      <w:r>
        <w:rPr>
          <w:rFonts w:hint="eastAsia" w:ascii="宋体" w:hAnsi="宋体" w:cs="宋体"/>
          <w:kern w:val="0"/>
          <w:sz w:val="24"/>
          <w:highlight w:val="none"/>
        </w:rPr>
        <w:t>现对原竞选公告作如下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补充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bidi="ar"/>
        </w:rPr>
        <w:t>原竞选公告、竞选文件的内容与本补充公告的内容不一致之处的，以本补充公告的规定为准，其余内容按原公告要求。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1、原竞选文件中附件1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bidi="ar"/>
        </w:rPr>
        <w:t>采购需求中第四条需求内容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 w:bidi="ar"/>
        </w:rPr>
        <w:t>（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一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eastAsia="zh-CN" w:bidi="ar"/>
        </w:rPr>
        <w:t>）</w:t>
      </w:r>
      <w:r>
        <w:rPr>
          <w:rFonts w:hint="eastAsia" w:ascii="宋体" w:hAnsi="宋体"/>
          <w:sz w:val="24"/>
          <w:highlight w:val="none"/>
          <w:lang w:val="en-US" w:eastAsia="zh-CN"/>
        </w:rPr>
        <w:t>会议室</w:t>
      </w:r>
      <w:r>
        <w:rPr>
          <w:rFonts w:hint="eastAsia" w:ascii="宋体" w:hAnsi="宋体"/>
          <w:sz w:val="24"/>
          <w:highlight w:val="none"/>
        </w:rPr>
        <w:t>投影融合屏</w:t>
      </w:r>
      <w:r>
        <w:rPr>
          <w:rFonts w:hint="eastAsia" w:ascii="宋体" w:hAnsi="宋体"/>
          <w:sz w:val="24"/>
          <w:highlight w:val="none"/>
          <w:lang w:val="en-US" w:eastAsia="zh-CN"/>
        </w:rPr>
        <w:t>设备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采购</w:t>
      </w:r>
      <w:r>
        <w:rPr>
          <w:rFonts w:hint="eastAsia" w:ascii="宋体" w:hAnsi="宋体"/>
          <w:sz w:val="24"/>
          <w:highlight w:val="none"/>
        </w:rPr>
        <w:t>清单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调整如下：</w:t>
      </w:r>
    </w:p>
    <w:tbl>
      <w:tblPr>
        <w:tblStyle w:val="6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792"/>
        <w:gridCol w:w="3765"/>
        <w:gridCol w:w="600"/>
        <w:gridCol w:w="720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序号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产品名称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型号、规格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数量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激光工程投影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CB-L730U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承重架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45KG以上投影承重工程吊架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  <w:t>50米光纤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  <w:t>HDMI线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线芯：4芯光纤OM3纤芯/7芯镀锡铜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芯片：RF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激光器：II-VI激光器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线径/OD：4.8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外被：环保PVC材质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接口：镀金接口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全长度支持4:4:4Max 4K/60Hz18G带宽，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输入端/电脑主机（Source）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输出端/显示屏（Display）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  <w:t>融合器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、必须满足二通道输入，二通道输出。纯硬件式FPGA+DSP芯片构架，不带任何操作系统，机箱系统须采用CPCI（插卡式)结构的工业级机箱，机箱面板有采用全彩触控屏，模块化设计的输入板卡、输出板卡、控制板等，具备机箱温度实时监测功能，实时显示机箱温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2、输入信号具备多种格式的信号类型、VGA、HDMI\DVI、AV，Ypbpr、SDI，DP，IP解码等多种信号格式输入，支持多用途操作，多组管理，同时支持输出投影融合，LED拼接，液晶拼接，矩阵切换，一体化集中操控管理。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3、支持多路输入视频在全屏任意位置打开多个活动窗口，所有窗口均能任意漫游、叠加、放大、缩小，无区域、层次限制、尺寸、比例限制，最大支持单通道8图层任意显示。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★4、设支持具备EDID配置管理，可支持自定义EDID设置，支持各种非标分辨率自定义功能，单口可支持2K，3K，4K，5K，6K，7K，8K等各种信号采集。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5、支持图像裁剪功能,可任意截取输入画面的任一部份且把它全屏输出显示到任意位置，可自由截取并自由放大缩小，可全屏显示。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6、具有字幕标注功能，可对当前显示画面进行相应的说明，可对叠加字符的字体、字号、颜色、位置等进行编辑。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输出支持任意形状曲面网格式矫正功能，自身产生网格，可以达到像素级调整，可以任意设置节点，支持2*2~17*40节点，达到局部矫正，在异形曲面上画面校正，达到内容均匀一致，完整显示的效果，可实现各种异型融合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8、支持输出端口映射功能，可实现盲插操作，无信号输出状态可实现任意背景底色输出；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9、支持内置多种融合消影gamma曲线，也可以自定义任意线性Gamma曲线，软件通过对每台投影机色彩、gamma、暗场进行调整，然后在对融合带色彩、gamma进行调整，使整个画面浑然一体。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系统应具有流畅清晰的软预监回显功能：控制终端运行的软件回显图像刷新速度＞30Hz，回显图像清晰。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★11、支持网格透视蒙版功能，支持各种异形任意形状型遮罩功能。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12、支持高清底图和滚动字幕功能，不占用任何机箱插槽。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★13、支持在不接入任何信号源，设备支持255*255种底背景色彩测试图像，支持多阶色彩校正功能。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14、旋转融合拼接功能：可实现0-360°任意角度旋转拼接融合功能，解决竖屏拼接显示需求。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15、支持多平台控制操作，支持Windows/Android/IOS等触控平台下的手势开窗、穿透控制功能，移动终可视化管理。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16、支持串口环出功能，可自定义编辑控制协议，控制投影开关机等操作。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17、产品可提供RoHS认证、3C认证、FCC认证、CE认证产品检测报告。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u w:val="none"/>
              </w:rPr>
              <w:t>安装配件</w:t>
            </w: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会议室背景刷平刷白（长约19米高约4米 （荧幕投影漆颜色荧幕白）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</w:rPr>
              <w:t>配套工程安装所用管线等</w:t>
            </w: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  <w:u w:val="none"/>
                <w:lang w:val="en-US" w:eastAsia="zh-CN"/>
              </w:rPr>
              <w:t>辅材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  <w:t>需办理施工进场申请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FFFFFF"/>
        <w:snapToGrid w:val="0"/>
        <w:spacing w:line="520" w:lineRule="exact"/>
        <w:ind w:firstLine="480" w:firstLineChars="200"/>
        <w:rPr>
          <w:rFonts w:hint="default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投标文件递交截止时间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由原来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日北京时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间1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时0分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延长至202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日北京时间1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时0分。</w:t>
      </w:r>
    </w:p>
    <w:p>
      <w:pPr>
        <w:numPr>
          <w:ilvl w:val="0"/>
          <w:numId w:val="0"/>
        </w:numPr>
        <w:shd w:val="clear" w:color="auto" w:fill="FFFFFF"/>
        <w:snapToGrid w:val="0"/>
        <w:spacing w:line="520" w:lineRule="exact"/>
        <w:rPr>
          <w:rFonts w:hint="default" w:ascii="宋体" w:hAnsi="宋体" w:cs="宋体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采购单位：广州城投综合能源投资经营管理有限公司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7B59"/>
    <w:rsid w:val="28B0289D"/>
    <w:rsid w:val="29992DDC"/>
    <w:rsid w:val="32F1312C"/>
    <w:rsid w:val="33AD6CAF"/>
    <w:rsid w:val="363254DE"/>
    <w:rsid w:val="39C41E4B"/>
    <w:rsid w:val="39D237A4"/>
    <w:rsid w:val="3A82620D"/>
    <w:rsid w:val="4F721B0A"/>
    <w:rsid w:val="51CB55D6"/>
    <w:rsid w:val="59362B5E"/>
    <w:rsid w:val="5DA71783"/>
    <w:rsid w:val="608B6056"/>
    <w:rsid w:val="61345013"/>
    <w:rsid w:val="733F3242"/>
    <w:rsid w:val="736D68A1"/>
    <w:rsid w:val="781B361F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qFormat/>
    <w:uiPriority w:val="0"/>
    <w:rPr>
      <w:color w:val="666666"/>
      <w:u w:val="non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span_on"/>
    <w:basedOn w:val="3"/>
    <w:qFormat/>
    <w:uiPriority w:val="0"/>
    <w:rPr>
      <w:shd w:val="clear" w:fill="EAF7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2023-02-23T07:10:56Z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