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广州城投综合能源投资经营管理有限公司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杂用水厂送水泵（潜水泵）采购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/>
          <w:b w:val="0"/>
          <w:bCs/>
          <w:sz w:val="28"/>
          <w:szCs w:val="28"/>
          <w:lang w:val="en-US" w:eastAsia="zh-CN"/>
        </w:rPr>
        <w:t>杂用水厂送水泵（潜水泵）采购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杂用水厂送水泵（潜水泵）采购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21.5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水泵</w:t>
      </w:r>
      <w:r>
        <w:rPr>
          <w:rFonts w:hint="eastAsia" w:ascii="宋体" w:hAnsi="宋体" w:eastAsia="宋体" w:cs="宋体"/>
          <w:sz w:val="24"/>
          <w:szCs w:val="24"/>
        </w:rPr>
        <w:t>材料。具体以本项目竞选文件的“采购需求”为准。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24</w:t>
      </w:r>
      <w:r>
        <w:rPr>
          <w:rFonts w:hint="eastAsia" w:ascii="宋体" w:hAnsi="宋体" w:eastAsia="宋体" w:cs="宋体"/>
          <w:sz w:val="24"/>
          <w:szCs w:val="24"/>
        </w:rPr>
        <w:t>日，同时在广州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城投综合能源</w:t>
      </w:r>
      <w:r>
        <w:rPr>
          <w:rFonts w:hint="eastAsia" w:ascii="宋体" w:hAnsi="宋体" w:eastAsia="宋体" w:cs="宋体"/>
          <w:sz w:val="24"/>
          <w:szCs w:val="24"/>
        </w:rPr>
        <w:t>投资经营管理有限公司网站（网址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  <w:u w:val="single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杂用水厂送水泵（潜水泵）采购</w:t>
      </w:r>
      <w:r>
        <w:rPr>
          <w:rFonts w:hint="eastAsia" w:ascii="宋体" w:hAnsi="宋体" w:eastAsia="宋体" w:cs="宋体"/>
          <w:sz w:val="24"/>
          <w:szCs w:val="24"/>
        </w:rPr>
        <w:t>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（三）联系人：詹映静，联系电话：020-393020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77</w:t>
      </w:r>
      <w:r>
        <w:rPr>
          <w:rFonts w:hint="eastAsia" w:ascii="宋体" w:hAnsi="宋体" w:eastAsia="宋体" w:cs="宋体"/>
          <w:sz w:val="24"/>
          <w:szCs w:val="24"/>
        </w:rPr>
        <w:t xml:space="preserve">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4AF5EB0"/>
    <w:rsid w:val="0A502623"/>
    <w:rsid w:val="0BB57353"/>
    <w:rsid w:val="13027D58"/>
    <w:rsid w:val="1CA70889"/>
    <w:rsid w:val="22A37755"/>
    <w:rsid w:val="2C0C0A98"/>
    <w:rsid w:val="2CB83CAD"/>
    <w:rsid w:val="32971199"/>
    <w:rsid w:val="3814231D"/>
    <w:rsid w:val="3D0065CB"/>
    <w:rsid w:val="41CD0FF3"/>
    <w:rsid w:val="42E93A36"/>
    <w:rsid w:val="43BC50F8"/>
    <w:rsid w:val="497062B5"/>
    <w:rsid w:val="4BE63DC3"/>
    <w:rsid w:val="555944C8"/>
    <w:rsid w:val="5EC175D3"/>
    <w:rsid w:val="638E5C50"/>
    <w:rsid w:val="66B007E9"/>
    <w:rsid w:val="67282D7B"/>
    <w:rsid w:val="679276A5"/>
    <w:rsid w:val="67CD4002"/>
    <w:rsid w:val="684D1797"/>
    <w:rsid w:val="689D2E67"/>
    <w:rsid w:val="696C5991"/>
    <w:rsid w:val="6EFC218C"/>
    <w:rsid w:val="71907C6B"/>
    <w:rsid w:val="75780F7F"/>
    <w:rsid w:val="75F3076A"/>
    <w:rsid w:val="7A0C14B9"/>
    <w:rsid w:val="7A143447"/>
    <w:rsid w:val="7B3F2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3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詹映静</cp:lastModifiedBy>
  <cp:lastPrinted>2019-12-12T09:19:00Z</cp:lastPrinted>
  <dcterms:modified xsi:type="dcterms:W3CDTF">2023-04-14T07:30:53Z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