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广州大学城能源发展有限公司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热水制备站玻璃砖维修工程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热水制备站玻璃砖维修工程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热水制备站</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7</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我司制备站首层、二层（电房和机房）外墙玻璃砖开裂，特别是电房存在渗水的风险，拟采购单位对已破损的玻璃砖进行维修。</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szCs w:val="24"/>
          <w:highlight w:val="none"/>
        </w:rPr>
        <w:t>已办理合法税务登记，具有开具相应增值税专用发票资格</w:t>
      </w:r>
      <w:r>
        <w:rPr>
          <w:rFonts w:hint="eastAsia"/>
          <w:sz w:val="24"/>
          <w:szCs w:val="24"/>
          <w:highlight w:val="none"/>
        </w:rPr>
        <w:t>。</w:t>
      </w:r>
      <w:bookmarkStart w:id="1" w:name="_Hlk50641340"/>
      <w:bookmarkStart w:id="2" w:name="_Hlk45716001"/>
    </w:p>
    <w:p>
      <w:pPr>
        <w:numPr>
          <w:ilvl w:val="0"/>
          <w:numId w:val="3"/>
        </w:numPr>
        <w:spacing w:before="120" w:beforeLines="50" w:after="120" w:afterLines="50" w:line="360" w:lineRule="auto"/>
        <w:ind w:left="0" w:firstLine="480" w:firstLineChars="200"/>
        <w:rPr>
          <w:sz w:val="24"/>
          <w:szCs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w:t>
      </w:r>
      <w:r>
        <w:rPr>
          <w:rFonts w:hint="eastAsia" w:ascii="宋体" w:hAnsi="宋体"/>
          <w:sz w:val="24"/>
          <w:szCs w:val="24"/>
          <w:highlight w:val="none"/>
          <w:lang w:val="en-US" w:eastAsia="zh-CN"/>
        </w:rPr>
        <w:t>建筑工程</w:t>
      </w:r>
      <w:r>
        <w:rPr>
          <w:rFonts w:hint="eastAsia" w:ascii="宋体" w:hAnsi="宋体" w:eastAsia="宋体"/>
          <w:sz w:val="24"/>
          <w:szCs w:val="24"/>
          <w:highlight w:val="none"/>
        </w:rPr>
        <w:t>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szCs w:val="24"/>
          <w:highlight w:val="none"/>
          <w:lang w:val="en-US" w:eastAsia="zh-CN"/>
        </w:rPr>
        <w:t>建筑装修装饰</w:t>
      </w:r>
      <w:r>
        <w:rPr>
          <w:rFonts w:hint="eastAsia"/>
          <w:sz w:val="24"/>
          <w:szCs w:val="24"/>
          <w:highlight w:val="none"/>
        </w:rPr>
        <w:t>工程专业承包</w:t>
      </w:r>
      <w:r>
        <w:rPr>
          <w:rFonts w:hint="eastAsia"/>
          <w:sz w:val="24"/>
          <w:highlight w:val="none"/>
          <w:lang w:val="en-US" w:eastAsia="zh-CN"/>
        </w:rPr>
        <w:t>贰</w:t>
      </w:r>
      <w:r>
        <w:rPr>
          <w:rFonts w:hint="eastAsia"/>
          <w:sz w:val="24"/>
          <w:szCs w:val="24"/>
          <w:highlight w:val="none"/>
        </w:rPr>
        <w:t>级</w:t>
      </w:r>
      <w:r>
        <w:rPr>
          <w:rFonts w:hint="eastAsia"/>
          <w:sz w:val="24"/>
          <w:szCs w:val="24"/>
          <w:highlight w:val="none"/>
          <w:lang w:val="en-US" w:eastAsia="zh-CN"/>
        </w:rPr>
        <w:t>及</w:t>
      </w:r>
      <w:r>
        <w:rPr>
          <w:rFonts w:hint="eastAsia"/>
          <w:sz w:val="24"/>
          <w:szCs w:val="24"/>
          <w:highlight w:val="none"/>
        </w:rPr>
        <w:t>以上资质</w:t>
      </w:r>
      <w:r>
        <w:rPr>
          <w:rFonts w:hint="eastAsia"/>
          <w:sz w:val="24"/>
          <w:szCs w:val="24"/>
          <w:highlight w:val="none"/>
          <w:lang w:eastAsia="zh-CN"/>
        </w:rPr>
        <w:t>。</w:t>
      </w:r>
    </w:p>
    <w:bookmarkEnd w:id="1"/>
    <w:bookmarkEnd w:id="2"/>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投标人近3年内(20</w:t>
      </w:r>
      <w:r>
        <w:rPr>
          <w:rFonts w:hint="eastAsia"/>
          <w:sz w:val="24"/>
          <w:szCs w:val="24"/>
          <w:highlight w:val="none"/>
          <w:lang w:val="en-US" w:eastAsia="zh-CN"/>
        </w:rPr>
        <w:t>20</w:t>
      </w:r>
      <w:r>
        <w:rPr>
          <w:rFonts w:hint="eastAsia"/>
          <w:sz w:val="24"/>
          <w:szCs w:val="24"/>
          <w:highlight w:val="none"/>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不接受联合体报价。</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项目内容及要求</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本工作地点位于</w:t>
      </w:r>
      <w:r>
        <w:rPr>
          <w:rFonts w:hint="eastAsia" w:asciiTheme="minorEastAsia" w:hAnsiTheme="minorEastAsia" w:eastAsiaTheme="minorEastAsia" w:cstheme="minorEastAsia"/>
          <w:sz w:val="24"/>
          <w:szCs w:val="24"/>
          <w:lang w:val="en-US" w:eastAsia="zh-CN"/>
        </w:rPr>
        <w:t>制备站</w:t>
      </w:r>
      <w:r>
        <w:rPr>
          <w:rFonts w:hint="eastAsia" w:asciiTheme="minorEastAsia" w:hAnsiTheme="minorEastAsia" w:eastAsiaTheme="minorEastAsia" w:cstheme="minorEastAsia"/>
          <w:sz w:val="24"/>
          <w:szCs w:val="24"/>
        </w:rPr>
        <w:t>，主要工作内容包括玻璃砖维修工程等内容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具体内容包括但不限于：已破损的玻璃砖采用玻璃胶填补后，外立面挂耐力板（透明），面积190㎡。选用耐力板厚度2mm，采用304不锈钢角钢（15mm*15mm*2mm）和不锈钢螺丝进行压边固定。</w:t>
      </w:r>
    </w:p>
    <w:p>
      <w:pPr>
        <w:spacing w:before="120" w:beforeLines="50" w:after="120" w:afterLines="50"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耐力板的主要成分是聚碳酸脂</w:t>
      </w:r>
      <w:r>
        <w:rPr>
          <w:rFonts w:hint="eastAsia" w:asciiTheme="minorEastAsia" w:hAnsiTheme="minorEastAsia" w:eastAsiaTheme="minorEastAsia" w:cstheme="minorEastAsia"/>
          <w:sz w:val="24"/>
          <w:szCs w:val="24"/>
          <w:lang w:val="en-US" w:eastAsia="zh-CN"/>
        </w:rPr>
        <w:t>。优点：1、</w:t>
      </w:r>
      <w:r>
        <w:rPr>
          <w:rFonts w:hint="default" w:asciiTheme="minorEastAsia" w:hAnsiTheme="minorEastAsia" w:eastAsiaTheme="minorEastAsia" w:cstheme="minorEastAsia"/>
          <w:sz w:val="24"/>
          <w:szCs w:val="24"/>
          <w:lang w:val="en-US" w:eastAsia="zh-CN"/>
        </w:rPr>
        <w:t>其强度远远高于旧式的强化玻璃和亚力克板材料</w:t>
      </w: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具有极强的可塑性能，便于加工</w:t>
      </w:r>
      <w:r>
        <w:rPr>
          <w:rFonts w:hint="eastAsia" w:asciiTheme="minorEastAsia" w:hAnsiTheme="minorEastAsia" w:eastAsia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防火性能良好</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自燃温度高达630℃</w:t>
      </w:r>
      <w:r>
        <w:rPr>
          <w:rFonts w:hint="eastAsia" w:asciiTheme="minorEastAsia" w:hAnsiTheme="minorEastAsia" w:eastAsiaTheme="minorEastAsia" w:cstheme="minorEastAsia"/>
          <w:sz w:val="24"/>
          <w:szCs w:val="24"/>
          <w:lang w:val="en-US" w:eastAsia="zh-CN"/>
        </w:rPr>
        <w:t>；4、</w:t>
      </w:r>
      <w:r>
        <w:rPr>
          <w:rFonts w:hint="default" w:asciiTheme="minorEastAsia" w:hAnsiTheme="minorEastAsia" w:eastAsiaTheme="minorEastAsia" w:cstheme="minorEastAsia"/>
          <w:sz w:val="24"/>
          <w:szCs w:val="24"/>
          <w:lang w:val="en-US" w:eastAsia="zh-CN"/>
        </w:rPr>
        <w:t>自重轻</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重量仅为与其厚度、面积相等的玻璃板的二分之一</w:t>
      </w:r>
      <w:r>
        <w:rPr>
          <w:rFonts w:hint="eastAsia" w:asciiTheme="minorEastAsia" w:hAnsiTheme="minorEastAsia" w:eastAsiaTheme="minorEastAsia" w:cstheme="minorEastAsia"/>
          <w:sz w:val="24"/>
          <w:szCs w:val="24"/>
          <w:lang w:val="en-US" w:eastAsia="zh-CN"/>
        </w:rPr>
        <w:t>；5、</w:t>
      </w:r>
      <w:r>
        <w:rPr>
          <w:rFonts w:hint="default" w:asciiTheme="minorEastAsia" w:hAnsiTheme="minorEastAsia" w:eastAsiaTheme="minorEastAsia" w:cstheme="minorEastAsia"/>
          <w:sz w:val="24"/>
          <w:szCs w:val="24"/>
          <w:lang w:val="en-US" w:eastAsia="zh-CN"/>
        </w:rPr>
        <w:t>抗腐蚀性强</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在常温情况下能够完美抵御各类有机酸等弱酸和各类弱碱及植物油、酒精等物质的腐蚀</w:t>
      </w:r>
      <w:r>
        <w:rPr>
          <w:rFonts w:hint="eastAsia" w:asciiTheme="minorEastAsia" w:hAnsiTheme="minorEastAsia" w:eastAsiaTheme="minorEastAsia" w:cstheme="minorEastAsia"/>
          <w:sz w:val="24"/>
          <w:szCs w:val="24"/>
          <w:lang w:val="en-US" w:eastAsia="zh-CN"/>
        </w:rPr>
        <w:t>；6、</w:t>
      </w:r>
      <w:r>
        <w:rPr>
          <w:rFonts w:hint="default" w:asciiTheme="minorEastAsia" w:hAnsiTheme="minorEastAsia" w:eastAsiaTheme="minorEastAsia" w:cstheme="minorEastAsia"/>
          <w:sz w:val="24"/>
          <w:szCs w:val="24"/>
          <w:lang w:val="en-US" w:eastAsia="zh-CN"/>
        </w:rPr>
        <w:t>耐候性强</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玻璃板材的问题之一就是长期暴露室外容易发生老化，而耐力板中有一个抗紫外线UV层</w:t>
      </w:r>
      <w:r>
        <w:rPr>
          <w:rFonts w:hint="eastAsia" w:asciiTheme="minorEastAsia" w:hAnsiTheme="minorEastAsia" w:eastAsiaTheme="minorEastAsia" w:cstheme="minorEastAsia"/>
          <w:sz w:val="24"/>
          <w:szCs w:val="24"/>
          <w:lang w:val="en-US" w:eastAsia="zh-CN"/>
        </w:rPr>
        <w:t>；7、</w:t>
      </w:r>
      <w:r>
        <w:rPr>
          <w:rFonts w:hint="default" w:asciiTheme="minorEastAsia" w:hAnsiTheme="minorEastAsia" w:eastAsiaTheme="minorEastAsia" w:cstheme="minorEastAsia"/>
          <w:sz w:val="24"/>
          <w:szCs w:val="24"/>
          <w:lang w:val="en-US" w:eastAsia="zh-CN"/>
        </w:rPr>
        <w:t>防结露：耐力板的热传导率仅是玻璃的四分之一，具有很好的保温性能。</w:t>
      </w:r>
      <w:r>
        <w:rPr>
          <w:rFonts w:hint="eastAsia" w:asciiTheme="minorEastAsia" w:hAnsiTheme="minorEastAsia" w:eastAsiaTheme="minorEastAsia" w:cstheme="minorEastAsia"/>
          <w:sz w:val="24"/>
          <w:szCs w:val="24"/>
          <w:lang w:val="en-US" w:eastAsia="zh-CN"/>
        </w:rPr>
        <w:t>8、耐用，</w:t>
      </w:r>
      <w:r>
        <w:rPr>
          <w:rFonts w:hint="default" w:asciiTheme="minorEastAsia" w:hAnsiTheme="minorEastAsia" w:eastAsiaTheme="minorEastAsia" w:cstheme="minorEastAsia"/>
          <w:sz w:val="24"/>
          <w:szCs w:val="24"/>
          <w:lang w:val="en-US" w:eastAsia="zh-CN"/>
        </w:rPr>
        <w:t>合格的耐力板使用年限可达十年以上。</w:t>
      </w:r>
    </w:p>
    <w:p>
      <w:pPr>
        <w:spacing w:line="360" w:lineRule="auto"/>
        <w:jc w:val="center"/>
      </w:pPr>
      <w:r>
        <w:drawing>
          <wp:inline distT="0" distB="0" distL="114300" distR="114300">
            <wp:extent cx="2607945" cy="2005330"/>
            <wp:effectExtent l="0" t="0" r="190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607945" cy="2005330"/>
                    </a:xfrm>
                    <a:prstGeom prst="rect">
                      <a:avLst/>
                    </a:prstGeom>
                    <a:noFill/>
                    <a:ln>
                      <a:noFill/>
                    </a:ln>
                  </pic:spPr>
                </pic:pic>
              </a:graphicData>
            </a:graphic>
          </wp:inline>
        </w:drawing>
      </w:r>
    </w:p>
    <w:p>
      <w:pPr>
        <w:spacing w:line="360" w:lineRule="auto"/>
        <w:ind w:firstLine="420" w:firstLineChars="200"/>
        <w:jc w:val="center"/>
        <w:rPr>
          <w:rFonts w:hint="eastAsia"/>
          <w:lang w:val="en-US" w:eastAsia="zh-CN"/>
        </w:rPr>
      </w:pPr>
      <w:r>
        <w:rPr>
          <w:rFonts w:hint="eastAsia"/>
          <w:lang w:val="en-US" w:eastAsia="zh-CN"/>
        </w:rPr>
        <w:t>耐力板图片参考（雨棚）</w:t>
      </w:r>
    </w:p>
    <w:p>
      <w:pPr>
        <w:tabs>
          <w:tab w:val="left" w:pos="2730"/>
        </w:tabs>
        <w:spacing w:line="360" w:lineRule="auto"/>
        <w:jc w:val="center"/>
      </w:pPr>
      <w:r>
        <w:drawing>
          <wp:inline distT="0" distB="0" distL="114300" distR="114300">
            <wp:extent cx="2237105" cy="2219960"/>
            <wp:effectExtent l="0" t="0" r="10795"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237105" cy="2219960"/>
                    </a:xfrm>
                    <a:prstGeom prst="rect">
                      <a:avLst/>
                    </a:prstGeom>
                    <a:noFill/>
                    <a:ln>
                      <a:noFill/>
                    </a:ln>
                  </pic:spPr>
                </pic:pic>
              </a:graphicData>
            </a:graphic>
          </wp:inline>
        </w:drawing>
      </w:r>
    </w:p>
    <w:p>
      <w:pPr>
        <w:tabs>
          <w:tab w:val="left" w:pos="2730"/>
        </w:tabs>
        <w:spacing w:line="360" w:lineRule="auto"/>
        <w:ind w:firstLine="420" w:firstLineChars="200"/>
        <w:jc w:val="center"/>
        <w:rPr>
          <w:rFonts w:hint="default"/>
          <w:lang w:val="en-US" w:eastAsia="zh-CN"/>
        </w:rPr>
      </w:pPr>
      <w:r>
        <w:rPr>
          <w:rFonts w:hint="eastAsia"/>
          <w:lang w:val="en-US" w:eastAsia="zh-CN"/>
        </w:rPr>
        <w:t>不锈钢角钢图片</w:t>
      </w:r>
    </w:p>
    <w:p>
      <w:pPr>
        <w:tabs>
          <w:tab w:val="left" w:pos="2730"/>
        </w:tabs>
        <w:spacing w:line="360" w:lineRule="auto"/>
        <w:ind w:firstLine="420" w:firstLineChars="200"/>
        <w:jc w:val="both"/>
        <w:rPr>
          <w:rFonts w:hint="default"/>
          <w:lang w:val="en-US" w:eastAsia="zh-CN"/>
        </w:rPr>
      </w:pPr>
      <w:r>
        <w:rPr>
          <w:rFonts w:hint="eastAsia"/>
          <w:lang w:val="en-US" w:eastAsia="zh-CN"/>
        </w:rPr>
        <w:t>其他修复</w:t>
      </w:r>
    </w:p>
    <w:p>
      <w:pPr>
        <w:numPr>
          <w:ilvl w:val="0"/>
          <w:numId w:val="0"/>
        </w:numPr>
        <w:tabs>
          <w:tab w:val="left" w:pos="2730"/>
        </w:tabs>
        <w:spacing w:line="240" w:lineRule="atLeast"/>
        <w:jc w:val="center"/>
      </w:pPr>
      <w:r>
        <w:rPr>
          <w:rFonts w:hint="eastAsia"/>
          <w:lang w:val="en-US" w:eastAsia="zh-CN"/>
        </w:rPr>
        <w:drawing>
          <wp:inline distT="0" distB="0" distL="114300" distR="114300">
            <wp:extent cx="2552065" cy="1914525"/>
            <wp:effectExtent l="0" t="0" r="635" b="9525"/>
            <wp:docPr id="4" name="图片 3" descr="17f81f36c0f4748850b8997023f0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7f81f36c0f4748850b8997023f07f6"/>
                    <pic:cNvPicPr>
                      <a:picLocks noChangeAspect="1"/>
                    </pic:cNvPicPr>
                  </pic:nvPicPr>
                  <pic:blipFill>
                    <a:blip r:embed="rId6"/>
                    <a:stretch>
                      <a:fillRect/>
                    </a:stretch>
                  </pic:blipFill>
                  <pic:spPr>
                    <a:xfrm>
                      <a:off x="0" y="0"/>
                      <a:ext cx="2552065" cy="1914525"/>
                    </a:xfrm>
                    <a:prstGeom prst="rect">
                      <a:avLst/>
                    </a:prstGeom>
                    <a:noFill/>
                    <a:ln>
                      <a:noFill/>
                    </a:ln>
                  </pic:spPr>
                </pic:pic>
              </a:graphicData>
            </a:graphic>
          </wp:inline>
        </w:drawing>
      </w:r>
      <w:r>
        <w:drawing>
          <wp:inline distT="0" distB="0" distL="114300" distR="114300">
            <wp:extent cx="1461770" cy="1943100"/>
            <wp:effectExtent l="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1461770" cy="1943100"/>
                    </a:xfrm>
                    <a:prstGeom prst="rect">
                      <a:avLst/>
                    </a:prstGeom>
                    <a:noFill/>
                    <a:ln>
                      <a:noFill/>
                    </a:ln>
                  </pic:spPr>
                </pic:pic>
              </a:graphicData>
            </a:graphic>
          </wp:inline>
        </w:drawing>
      </w:r>
    </w:p>
    <w:p>
      <w:pPr>
        <w:spacing w:line="360" w:lineRule="auto"/>
        <w:ind w:firstLine="478" w:firstLineChars="228"/>
        <w:jc w:val="center"/>
        <w:rPr>
          <w:rFonts w:hint="eastAsia" w:asciiTheme="minorEastAsia" w:hAnsiTheme="minorEastAsia" w:eastAsiaTheme="minorEastAsia" w:cstheme="minorEastAsia"/>
          <w:sz w:val="24"/>
          <w:szCs w:val="24"/>
        </w:rPr>
      </w:pPr>
      <w:r>
        <w:rPr>
          <w:rFonts w:hint="eastAsia"/>
          <w:lang w:val="en-US" w:eastAsia="zh-CN"/>
        </w:rPr>
        <w:t>上悬窗修复（玻璃胶+把手）</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工程量及材料说明</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以下工程量仅作参考，本项目由投标人包工包料，投标人</w:t>
      </w:r>
      <w:r>
        <w:rPr>
          <w:rFonts w:hint="eastAsia" w:ascii="宋体" w:hAnsi="宋体"/>
          <w:sz w:val="24"/>
          <w:highlight w:val="none"/>
          <w:lang w:val="en-US" w:eastAsia="zh-CN"/>
        </w:rPr>
        <w:t>应</w:t>
      </w:r>
      <w:r>
        <w:rPr>
          <w:rFonts w:hint="eastAsia" w:ascii="宋体" w:hAnsi="宋体"/>
          <w:sz w:val="24"/>
          <w:highlight w:val="none"/>
        </w:rPr>
        <w:t>勘踏现场后，应根据下表及结合现场实际情况综合考虑再进行报价。</w:t>
      </w:r>
    </w:p>
    <w:p>
      <w:pPr>
        <w:spacing w:before="120" w:beforeLines="50" w:after="120" w:afterLines="50" w:line="360" w:lineRule="auto"/>
        <w:jc w:val="center"/>
        <w:rPr>
          <w:rFonts w:hint="eastAsia" w:ascii="宋体" w:hAnsi="宋体"/>
          <w:b/>
          <w:sz w:val="28"/>
          <w:szCs w:val="28"/>
          <w:highlight w:val="none"/>
        </w:rPr>
      </w:pPr>
      <w:r>
        <w:rPr>
          <w:rFonts w:hint="eastAsia" w:ascii="宋体" w:hAnsi="宋体"/>
          <w:b/>
          <w:sz w:val="28"/>
          <w:szCs w:val="28"/>
          <w:highlight w:val="none"/>
        </w:rPr>
        <w:t>主要工程量清单</w:t>
      </w:r>
    </w:p>
    <w:tbl>
      <w:tblPr>
        <w:tblStyle w:val="23"/>
        <w:tblpPr w:leftFromText="180" w:rightFromText="180" w:vertAnchor="text" w:horzAnchor="page" w:tblpXSpec="center" w:tblpY="212"/>
        <w:tblOverlap w:val="never"/>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85"/>
        <w:gridCol w:w="3720"/>
        <w:gridCol w:w="1031"/>
        <w:gridCol w:w="7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1" w:type="dxa"/>
            <w:noWrap w:val="0"/>
            <w:vAlign w:val="center"/>
          </w:tcPr>
          <w:p>
            <w:pPr>
              <w:widowControl/>
              <w:spacing w:line="0" w:lineRule="atLeast"/>
              <w:jc w:val="left"/>
              <w:textAlignment w:val="center"/>
              <w:rPr>
                <w:rFonts w:hint="eastAsia" w:ascii="宋体" w:hAnsi="宋体" w:cs="宋体"/>
                <w:b/>
                <w:sz w:val="24"/>
                <w:szCs w:val="24"/>
              </w:rPr>
            </w:pPr>
            <w:r>
              <w:rPr>
                <w:rFonts w:hint="eastAsia" w:ascii="宋体" w:hAnsi="宋体" w:cs="宋体"/>
                <w:color w:val="000000"/>
                <w:kern w:val="0"/>
                <w:sz w:val="24"/>
                <w:szCs w:val="24"/>
                <w:lang w:bidi="ar"/>
              </w:rPr>
              <w:t>序号</w:t>
            </w:r>
          </w:p>
        </w:tc>
        <w:tc>
          <w:tcPr>
            <w:tcW w:w="1185" w:type="dxa"/>
            <w:noWrap w:val="0"/>
            <w:vAlign w:val="center"/>
          </w:tcPr>
          <w:p>
            <w:pPr>
              <w:widowControl/>
              <w:spacing w:line="0" w:lineRule="atLeast"/>
              <w:jc w:val="center"/>
              <w:textAlignment w:val="center"/>
              <w:rPr>
                <w:rFonts w:hint="eastAsia" w:ascii="宋体" w:hAnsi="宋体" w:cs="宋体"/>
                <w:b/>
                <w:sz w:val="24"/>
                <w:szCs w:val="24"/>
              </w:rPr>
            </w:pPr>
            <w:r>
              <w:rPr>
                <w:rFonts w:hint="eastAsia" w:ascii="宋体" w:hAnsi="宋体" w:cs="宋体"/>
                <w:color w:val="000000"/>
                <w:kern w:val="0"/>
                <w:sz w:val="24"/>
                <w:szCs w:val="24"/>
                <w:lang w:bidi="ar"/>
              </w:rPr>
              <w:t>项目名称</w:t>
            </w:r>
          </w:p>
        </w:tc>
        <w:tc>
          <w:tcPr>
            <w:tcW w:w="3720" w:type="dxa"/>
            <w:noWrap w:val="0"/>
            <w:vAlign w:val="center"/>
          </w:tcPr>
          <w:p>
            <w:pPr>
              <w:widowControl/>
              <w:spacing w:line="0" w:lineRule="atLeast"/>
              <w:jc w:val="center"/>
              <w:textAlignment w:val="center"/>
              <w:rPr>
                <w:rFonts w:hint="eastAsia" w:ascii="宋体" w:hAnsi="宋体" w:cs="宋体"/>
                <w:b/>
                <w:sz w:val="24"/>
                <w:szCs w:val="24"/>
              </w:rPr>
            </w:pPr>
            <w:r>
              <w:rPr>
                <w:rFonts w:hint="eastAsia" w:ascii="宋体" w:hAnsi="宋体" w:cs="宋体"/>
                <w:color w:val="000000"/>
                <w:kern w:val="0"/>
                <w:sz w:val="24"/>
                <w:szCs w:val="24"/>
                <w:lang w:bidi="ar"/>
              </w:rPr>
              <w:t>项目特征</w:t>
            </w:r>
          </w:p>
        </w:tc>
        <w:tc>
          <w:tcPr>
            <w:tcW w:w="1031" w:type="dxa"/>
            <w:noWrap w:val="0"/>
            <w:vAlign w:val="center"/>
          </w:tcPr>
          <w:p>
            <w:pPr>
              <w:widowControl/>
              <w:spacing w:line="0" w:lineRule="atLeas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计量单位</w:t>
            </w:r>
          </w:p>
        </w:tc>
        <w:tc>
          <w:tcPr>
            <w:tcW w:w="715" w:type="dxa"/>
            <w:noWrap w:val="0"/>
            <w:vAlign w:val="center"/>
          </w:tcPr>
          <w:p>
            <w:pPr>
              <w:widowControl/>
              <w:spacing w:line="0" w:lineRule="atLeast"/>
              <w:jc w:val="left"/>
              <w:textAlignment w:val="center"/>
              <w:rPr>
                <w:rFonts w:hint="eastAsia" w:ascii="宋体" w:hAnsi="宋体" w:cs="宋体"/>
                <w:b/>
                <w:sz w:val="24"/>
                <w:szCs w:val="24"/>
              </w:rPr>
            </w:pPr>
            <w:r>
              <w:rPr>
                <w:rFonts w:hint="eastAsia" w:ascii="宋体" w:hAnsi="宋体" w:cs="宋体"/>
                <w:color w:val="000000"/>
                <w:kern w:val="0"/>
                <w:sz w:val="24"/>
                <w:szCs w:val="24"/>
                <w:lang w:bidi="ar"/>
              </w:rPr>
              <w:t>工程量</w:t>
            </w:r>
          </w:p>
        </w:tc>
        <w:tc>
          <w:tcPr>
            <w:tcW w:w="1384" w:type="dxa"/>
            <w:noWrap w:val="0"/>
            <w:vAlign w:val="center"/>
          </w:tcPr>
          <w:p>
            <w:pPr>
              <w:widowControl/>
              <w:spacing w:line="0" w:lineRule="atLeas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1"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185" w:type="dxa"/>
            <w:noWrap w:val="0"/>
            <w:vAlign w:val="center"/>
          </w:tcPr>
          <w:p>
            <w:pPr>
              <w:spacing w:line="24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玻璃胶修补</w:t>
            </w:r>
          </w:p>
        </w:tc>
        <w:tc>
          <w:tcPr>
            <w:tcW w:w="3720" w:type="dxa"/>
            <w:noWrap w:val="0"/>
            <w:vAlign w:val="center"/>
          </w:tcPr>
          <w:p>
            <w:pPr>
              <w:numPr>
                <w:ilvl w:val="0"/>
                <w:numId w:val="4"/>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玻璃砖内外墙面清理，特别是已破损的玻璃砖内外灰尘</w:t>
            </w:r>
          </w:p>
          <w:p>
            <w:pPr>
              <w:numPr>
                <w:ilvl w:val="0"/>
                <w:numId w:val="4"/>
              </w:num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已破损的玻璃砖内部注满玻璃胶</w:t>
            </w:r>
          </w:p>
          <w:p>
            <w:pPr>
              <w:numPr>
                <w:ilvl w:val="0"/>
                <w:numId w:val="4"/>
              </w:num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表面平整、规则</w:t>
            </w:r>
          </w:p>
        </w:tc>
        <w:tc>
          <w:tcPr>
            <w:tcW w:w="1031"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p>
        </w:tc>
        <w:tc>
          <w:tcPr>
            <w:tcW w:w="715" w:type="dxa"/>
            <w:noWrap w:val="0"/>
            <w:vAlign w:val="center"/>
          </w:tcPr>
          <w:p>
            <w:pPr>
              <w:widowControl/>
              <w:spacing w:line="0" w:lineRule="atLeast"/>
              <w:jc w:val="center"/>
              <w:textAlignment w:val="center"/>
              <w:rPr>
                <w:rFonts w:hint="eastAsia" w:ascii="宋体" w:hAnsi="宋体" w:cs="宋体"/>
                <w:color w:val="FF0000"/>
                <w:kern w:val="0"/>
                <w:sz w:val="24"/>
                <w:szCs w:val="24"/>
                <w:lang w:val="en-US" w:eastAsia="zh-CN" w:bidi="ar"/>
              </w:rPr>
            </w:pPr>
            <w:r>
              <w:rPr>
                <w:rFonts w:hint="eastAsia" w:ascii="宋体" w:hAnsi="宋体" w:cs="宋体"/>
                <w:color w:val="000000"/>
                <w:kern w:val="0"/>
                <w:sz w:val="24"/>
                <w:szCs w:val="24"/>
                <w:lang w:val="en-US" w:eastAsia="zh-CN" w:bidi="ar"/>
              </w:rPr>
              <w:t>130</w:t>
            </w:r>
          </w:p>
        </w:tc>
        <w:tc>
          <w:tcPr>
            <w:tcW w:w="1384" w:type="dxa"/>
            <w:noWrap w:val="0"/>
            <w:vAlign w:val="center"/>
          </w:tcPr>
          <w:p>
            <w:pP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主要为二层电房、机房、值班室外墙玻璃，按实计量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1"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185" w:type="dxa"/>
            <w:noWrap w:val="0"/>
            <w:vAlign w:val="center"/>
          </w:tcPr>
          <w:p>
            <w:pPr>
              <w:spacing w:line="240" w:lineRule="atLeast"/>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耐力板安装</w:t>
            </w:r>
          </w:p>
        </w:tc>
        <w:tc>
          <w:tcPr>
            <w:tcW w:w="3720" w:type="dxa"/>
            <w:noWrap w:val="0"/>
            <w:vAlign w:val="center"/>
          </w:tcPr>
          <w:p>
            <w:pPr>
              <w:numPr>
                <w:ilvl w:val="0"/>
                <w:numId w:val="5"/>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耐力板厚度2mm，上下两边采用304不锈钢角钢（15mm*15mm*2mm）和不锈钢自攻螺丝进行压边固定在墙体上。</w:t>
            </w:r>
          </w:p>
          <w:p>
            <w:pPr>
              <w:numPr>
                <w:ilvl w:val="0"/>
                <w:numId w:val="5"/>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耐力板缝采用透明玻璃胶填缝。</w:t>
            </w:r>
          </w:p>
        </w:tc>
        <w:tc>
          <w:tcPr>
            <w:tcW w:w="1031"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p>
        </w:tc>
        <w:tc>
          <w:tcPr>
            <w:tcW w:w="715" w:type="dxa"/>
            <w:noWrap w:val="0"/>
            <w:vAlign w:val="center"/>
          </w:tcPr>
          <w:p>
            <w:pPr>
              <w:widowControl/>
              <w:spacing w:line="0" w:lineRule="atLeast"/>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190</w:t>
            </w:r>
          </w:p>
        </w:tc>
        <w:tc>
          <w:tcPr>
            <w:tcW w:w="1384" w:type="dxa"/>
            <w:noWrap w:val="0"/>
            <w:vAlign w:val="center"/>
          </w:tcPr>
          <w:p>
            <w:pP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按实计量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1"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1185" w:type="dxa"/>
            <w:noWrap w:val="0"/>
            <w:vAlign w:val="center"/>
          </w:tcPr>
          <w:p>
            <w:pPr>
              <w:spacing w:line="240" w:lineRule="atLeas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其他窗户修复</w:t>
            </w:r>
          </w:p>
        </w:tc>
        <w:tc>
          <w:tcPr>
            <w:tcW w:w="3720" w:type="dxa"/>
            <w:noWrap w:val="0"/>
            <w:vAlign w:val="center"/>
          </w:tcPr>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把手、螺丝、连杆、锁扣、窗框检查并修复，满足正常开关、正常使用，</w:t>
            </w:r>
          </w:p>
          <w:p>
            <w:pPr>
              <w:numPr>
                <w:ilvl w:val="0"/>
                <w:numId w:val="6"/>
              </w:num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窗框周边清洁、窗框与玻璃之间打胶</w:t>
            </w:r>
          </w:p>
        </w:tc>
        <w:tc>
          <w:tcPr>
            <w:tcW w:w="1031"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扇</w:t>
            </w:r>
          </w:p>
        </w:tc>
        <w:tc>
          <w:tcPr>
            <w:tcW w:w="715" w:type="dxa"/>
            <w:noWrap w:val="0"/>
            <w:vAlign w:val="center"/>
          </w:tcPr>
          <w:p>
            <w:pPr>
              <w:widowControl/>
              <w:spacing w:line="0" w:lineRule="atLeast"/>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50</w:t>
            </w:r>
          </w:p>
        </w:tc>
        <w:tc>
          <w:tcPr>
            <w:tcW w:w="1384" w:type="dxa"/>
            <w:noWrap w:val="0"/>
            <w:vAlign w:val="center"/>
          </w:tcPr>
          <w:p>
            <w:pPr>
              <w:rPr>
                <w:rFonts w:hint="eastAsia" w:ascii="宋体" w:hAnsi="宋体" w:cs="宋体"/>
                <w:kern w:val="2"/>
                <w:sz w:val="24"/>
                <w:szCs w:val="24"/>
                <w:lang w:val="en-US" w:eastAsia="zh-CN" w:bidi="ar-SA"/>
              </w:rPr>
            </w:pPr>
            <w:r>
              <w:rPr>
                <w:rFonts w:hint="eastAsia" w:ascii="宋体" w:hAnsi="宋体" w:cs="宋体"/>
                <w:sz w:val="24"/>
                <w:szCs w:val="24"/>
                <w:lang w:val="en-US" w:eastAsia="zh-CN"/>
              </w:rPr>
              <w:t>按实计量</w:t>
            </w:r>
          </w:p>
        </w:tc>
      </w:tr>
    </w:tbl>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szCs w:val="24"/>
          <w:highlight w:val="none"/>
        </w:rPr>
        <w:t>备注：</w:t>
      </w:r>
      <w:r>
        <w:rPr>
          <w:rFonts w:hint="eastAsia" w:ascii="宋体" w:hAnsi="宋体"/>
          <w:sz w:val="24"/>
          <w:szCs w:val="24"/>
        </w:rPr>
        <w:t>本项目材料、机械、器具等均由乙方提供，</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材料及施工要求说明</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本项目</w:t>
      </w:r>
      <w:r>
        <w:rPr>
          <w:rFonts w:hint="eastAsia" w:asciiTheme="minorEastAsia" w:hAnsiTheme="minorEastAsia" w:eastAsiaTheme="minorEastAsia" w:cstheme="minorEastAsia"/>
          <w:sz w:val="24"/>
          <w:szCs w:val="24"/>
          <w:highlight w:val="none"/>
          <w:lang w:val="en-US" w:eastAsia="zh-CN"/>
        </w:rPr>
        <w:t>如</w:t>
      </w:r>
      <w:r>
        <w:rPr>
          <w:rFonts w:hint="eastAsia" w:asciiTheme="minorEastAsia" w:hAnsiTheme="minorEastAsia" w:eastAsiaTheme="minorEastAsia" w:cstheme="minorEastAsia"/>
          <w:sz w:val="24"/>
          <w:szCs w:val="24"/>
          <w:highlight w:val="none"/>
        </w:rPr>
        <w:t>涉及特殊工种作业的均需提供上岗作业证，我司随时进行人、证检查。</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（二）本项目</w:t>
      </w:r>
      <w:r>
        <w:rPr>
          <w:rFonts w:hint="eastAsia" w:asciiTheme="minorEastAsia" w:hAnsiTheme="minorEastAsia" w:eastAsiaTheme="minorEastAsia" w:cstheme="minorEastAsia"/>
          <w:sz w:val="24"/>
          <w:szCs w:val="24"/>
          <w:highlight w:val="none"/>
        </w:rPr>
        <w:t>所需材料、设备及配件均由施工单位负责供货</w:t>
      </w:r>
      <w:r>
        <w:rPr>
          <w:rFonts w:hint="eastAsia" w:asciiTheme="minorEastAsia" w:hAnsiTheme="minorEastAsia" w:eastAsiaTheme="minorEastAsia" w:cstheme="minorEastAsia"/>
          <w:sz w:val="24"/>
          <w:szCs w:val="24"/>
          <w:highlight w:val="none"/>
          <w:lang w:eastAsia="zh-CN"/>
        </w:rPr>
        <w:t>。</w:t>
      </w:r>
    </w:p>
    <w:p>
      <w:pPr>
        <w:numPr>
          <w:ilvl w:val="0"/>
          <w:numId w:val="0"/>
        </w:numPr>
        <w:spacing w:before="120" w:beforeLines="50" w:after="120" w:afterLines="50" w:line="360" w:lineRule="auto"/>
        <w:ind w:left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bCs/>
          <w:sz w:val="24"/>
          <w:szCs w:val="24"/>
          <w:highlight w:val="none"/>
        </w:rPr>
        <w:t>施工现场产生的垃圾及余物必须外运，完工后场地及时清理。</w: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 施工要求及注意事项</w:t>
      </w:r>
    </w:p>
    <w:p>
      <w:pPr>
        <w:numPr>
          <w:ilvl w:val="0"/>
          <w:numId w:val="7"/>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安全第一，执行采购方的安全管理规章制度，办票作业，</w:t>
      </w:r>
      <w:r>
        <w:rPr>
          <w:rFonts w:hint="eastAsia" w:asciiTheme="minorEastAsia" w:hAnsiTheme="minorEastAsia" w:eastAsiaTheme="minorEastAsia" w:cstheme="minorEastAsia"/>
          <w:sz w:val="24"/>
          <w:szCs w:val="24"/>
          <w:highlight w:val="none"/>
        </w:rPr>
        <w:t>严格按施工方案进行施工，如改变施工方案须经我司批准后方可实施，雷雨大风天气禁止户外作业</w:t>
      </w:r>
      <w:r>
        <w:rPr>
          <w:rFonts w:hint="eastAsia" w:asciiTheme="minorEastAsia" w:hAnsiTheme="minorEastAsia" w:eastAsiaTheme="minorEastAsia" w:cstheme="minorEastAsia"/>
          <w:sz w:val="24"/>
          <w:szCs w:val="24"/>
          <w:highlight w:val="none"/>
          <w:lang w:val="en-US" w:eastAsia="zh-CN"/>
        </w:rPr>
        <w:t>。</w:t>
      </w:r>
    </w:p>
    <w:p>
      <w:pPr>
        <w:numPr>
          <w:ilvl w:val="0"/>
          <w:numId w:val="7"/>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施工方应充分察勘现场，对影响施工质量的潜在风险进行评估，施工时注意成品保护，必要时采取围护、覆盖等有效措施，施工方应充分考虑成品保护措施费。</w:t>
      </w:r>
    </w:p>
    <w:p>
      <w:pPr>
        <w:numPr>
          <w:ilvl w:val="0"/>
          <w:numId w:val="7"/>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包建筑垃圾外运，完工后场地清理。</w:t>
      </w:r>
    </w:p>
    <w:p>
      <w:pPr>
        <w:numPr>
          <w:ilvl w:val="0"/>
          <w:numId w:val="7"/>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指定专人为项目安全责任人，全面负责本项目安全生产管理工作，逐级落实安全生产责任制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项目经理或安全员到场管理，且人证合一。</w:t>
      </w:r>
    </w:p>
    <w:p>
      <w:pPr>
        <w:numPr>
          <w:ilvl w:val="0"/>
          <w:numId w:val="7"/>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施工单位要为工程项目安全管理配备充足的资源，包括作业人员的劳保用品、施工用的工器具等，如配电箱、焊接设备、安全带及起重机具等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并采取措施确保所有劳保用品、安全用具处于良好状态。</w:t>
      </w:r>
    </w:p>
    <w:p>
      <w:pPr>
        <w:numPr>
          <w:ilvl w:val="0"/>
          <w:numId w:val="7"/>
        </w:numPr>
        <w:spacing w:line="360" w:lineRule="auto"/>
        <w:ind w:left="0" w:leftChars="0" w:firstLine="42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在保证安全质量的前提下，采取可靠的登高作业防护措施。</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为30天，</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工程验收标准及方式</w:t>
      </w:r>
    </w:p>
    <w:p>
      <w:pPr>
        <w:numPr>
          <w:ilvl w:val="0"/>
          <w:numId w:val="9"/>
        </w:numPr>
        <w:spacing w:line="360" w:lineRule="auto"/>
        <w:ind w:left="0" w:leftChars="0" w:firstLine="40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工程质量要求</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项目验收满足最新《建筑装饰装修工程质量验收标准》（GB50210-2018）、《建筑工程施工质量验收统一标准》（GB50300-2013）要求</w:t>
      </w:r>
      <w:r>
        <w:rPr>
          <w:rFonts w:hint="eastAsia" w:asciiTheme="minorEastAsia" w:hAnsiTheme="minorEastAsia" w:eastAsiaTheme="minorEastAsia" w:cstheme="minorEastAsia"/>
          <w:bCs/>
          <w:kern w:val="0"/>
          <w:sz w:val="24"/>
          <w:szCs w:val="24"/>
          <w:highlight w:val="none"/>
          <w:lang w:val="en-US" w:eastAsia="zh-CN"/>
        </w:rPr>
        <w:t>及按</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9"/>
        </w:numPr>
        <w:spacing w:line="360" w:lineRule="auto"/>
        <w:ind w:left="0" w:leftChars="0" w:firstLine="40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工程验收方式</w:t>
      </w:r>
    </w:p>
    <w:p>
      <w:pPr>
        <w:numPr>
          <w:ilvl w:val="255"/>
          <w:numId w:val="0"/>
        </w:numPr>
        <w:spacing w:line="360" w:lineRule="auto"/>
        <w:ind w:firstLine="480" w:firstLineChars="200"/>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rPr>
        <w:t>材料验收：</w:t>
      </w:r>
      <w:r>
        <w:rPr>
          <w:rFonts w:hint="eastAsia" w:asciiTheme="minorEastAsia" w:hAnsiTheme="minorEastAsia" w:eastAsiaTheme="minorEastAsia" w:cstheme="minorEastAsia"/>
          <w:sz w:val="24"/>
          <w:szCs w:val="24"/>
          <w:highlight w:val="none"/>
          <w:lang w:bidi="ar"/>
        </w:rPr>
        <w:t>须提供厂家合格证等资料。</w:t>
      </w:r>
    </w:p>
    <w:p>
      <w:pPr>
        <w:numPr>
          <w:ilvl w:val="255"/>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竣工验收：经施工方负责人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rPr>
        <w:t>项目负责人现场确认方可验收。</w:t>
      </w:r>
    </w:p>
    <w:p>
      <w:pPr>
        <w:numPr>
          <w:ilvl w:val="0"/>
          <w:numId w:val="9"/>
        </w:numPr>
        <w:spacing w:line="360" w:lineRule="auto"/>
        <w:ind w:left="0" w:leftChars="0" w:firstLine="40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b w:val="0"/>
          <w:bCs w:val="0"/>
          <w:sz w:val="24"/>
          <w:szCs w:val="24"/>
        </w:rPr>
        <w:t>本工程质保期要求为</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lang w:bidi="ar"/>
        </w:rPr>
        <w:t>质保期从验收合格之日起计算，质保期内出现任何质量问题均由施工单位</w:t>
      </w:r>
      <w:r>
        <w:rPr>
          <w:rFonts w:hint="eastAsia" w:asciiTheme="minorEastAsia" w:hAnsiTheme="minorEastAsia" w:eastAsiaTheme="minorEastAsia" w:cstheme="minorEastAsia"/>
          <w:b w:val="0"/>
          <w:bCs w:val="0"/>
          <w:sz w:val="24"/>
          <w:szCs w:val="24"/>
          <w:lang w:val="en-US" w:eastAsia="zh-CN" w:bidi="ar"/>
        </w:rPr>
        <w:t>免费</w:t>
      </w:r>
      <w:r>
        <w:rPr>
          <w:rFonts w:hint="eastAsia" w:asciiTheme="minorEastAsia" w:hAnsiTheme="minorEastAsia" w:eastAsiaTheme="minorEastAsia" w:cstheme="minorEastAsia"/>
          <w:b w:val="0"/>
          <w:bCs w:val="0"/>
          <w:sz w:val="24"/>
          <w:szCs w:val="24"/>
          <w:lang w:bidi="ar"/>
        </w:rPr>
        <w:t>负责维修。</w:t>
      </w:r>
    </w:p>
    <w:p>
      <w:pPr>
        <w:numPr>
          <w:ilvl w:val="0"/>
          <w:numId w:val="8"/>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工程验收的方式</w:t>
      </w:r>
    </w:p>
    <w:p>
      <w:pPr>
        <w:numPr>
          <w:ilvl w:val="0"/>
          <w:numId w:val="10"/>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施工单位在完工后，须提前3天提交工程验收进度计划给采购人，以便采购人组织相关人员对项目进行验收。</w:t>
      </w:r>
    </w:p>
    <w:p>
      <w:pPr>
        <w:numPr>
          <w:ilvl w:val="0"/>
          <w:numId w:val="10"/>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经采购人组织相关人员进行验收合格后，签发验收合格证明文件。</w:t>
      </w:r>
    </w:p>
    <w:p>
      <w:pPr>
        <w:numPr>
          <w:ilvl w:val="0"/>
          <w:numId w:val="10"/>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sz w:val="24"/>
          <w:szCs w:val="24"/>
          <w:highlight w:val="none"/>
        </w:rPr>
        <w:t>施工单位必须将产品所有随机资料（包括但不限于设备及材料检验合格证书、3C认证证书等）提交业主，同时将与项目有关的竣工资料一式两份一起提交给</w:t>
      </w:r>
      <w:r>
        <w:rPr>
          <w:rFonts w:hint="eastAsia" w:asciiTheme="minorEastAsia" w:hAnsiTheme="minorEastAsia" w:eastAsiaTheme="minorEastAsia" w:cstheme="minorEastAsia"/>
          <w:b w:val="0"/>
          <w:bCs w:val="0"/>
          <w:sz w:val="24"/>
          <w:szCs w:val="24"/>
          <w:highlight w:val="none"/>
          <w:lang w:val="en-US" w:eastAsia="zh-CN"/>
        </w:rPr>
        <w:t>采购人</w:t>
      </w:r>
      <w:r>
        <w:rPr>
          <w:rFonts w:hint="eastAsia" w:asciiTheme="minorEastAsia" w:hAnsiTheme="minorEastAsia" w:eastAsiaTheme="minorEastAsia" w:cstheme="minorEastAsia"/>
          <w:b w:val="0"/>
          <w:bCs w:val="0"/>
          <w:kern w:val="0"/>
          <w:sz w:val="24"/>
          <w:szCs w:val="24"/>
          <w:highlight w:val="none"/>
        </w:rPr>
        <w:t>。</w:t>
      </w:r>
    </w:p>
    <w:p>
      <w:pPr>
        <w:numPr>
          <w:ilvl w:val="0"/>
          <w:numId w:val="10"/>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来料验收、过程验收及竣工验收。</w:t>
      </w:r>
    </w:p>
    <w:p>
      <w:pPr>
        <w:numPr>
          <w:ilvl w:val="0"/>
          <w:numId w:val="10"/>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 w:val="0"/>
          <w:bCs w:val="0"/>
          <w:color w:val="000000"/>
          <w:sz w:val="24"/>
          <w:szCs w:val="24"/>
          <w:highlight w:val="none"/>
        </w:rPr>
        <w:t>质保期为</w:t>
      </w:r>
      <w:r>
        <w:rPr>
          <w:rFonts w:hint="eastAsia" w:asciiTheme="minorEastAsia" w:hAnsiTheme="minorEastAsia" w:eastAsiaTheme="minorEastAsia" w:cstheme="minorEastAsia"/>
          <w:b w:val="0"/>
          <w:bCs w:val="0"/>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rPr>
        <w:t>年,质保期自工程验</w:t>
      </w:r>
      <w:r>
        <w:rPr>
          <w:rFonts w:hint="eastAsia" w:asciiTheme="minorEastAsia" w:hAnsiTheme="minorEastAsia" w:eastAsiaTheme="minorEastAsia" w:cstheme="minorEastAsia"/>
          <w:color w:val="000000"/>
          <w:sz w:val="24"/>
          <w:szCs w:val="24"/>
          <w:highlight w:val="none"/>
        </w:rPr>
        <w:t>收合格之日起计。</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项目竣工验收合格并按甲方要求完成合同结算手续后，甲方收到乙方请款资料后15个工作日内支付工程款至合同结算总造价的95%。</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13"/>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bookmarkStart w:id="3"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4"/>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3"/>
      <w:r>
        <w:rPr>
          <w:rFonts w:hint="eastAsia" w:ascii="宋体" w:hAnsi="宋体" w:cs="Arial"/>
          <w:color w:val="000000"/>
          <w:sz w:val="24"/>
          <w:highlight w:val="none"/>
        </w:rPr>
        <w:t>。</w:t>
      </w:r>
    </w:p>
    <w:p>
      <w:pPr>
        <w:numPr>
          <w:ilvl w:val="0"/>
          <w:numId w:val="13"/>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5"/>
        </w:numPr>
        <w:spacing w:before="120" w:beforeLines="50" w:after="120" w:afterLines="50" w:line="360" w:lineRule="auto"/>
        <w:ind w:left="0" w:firstLine="480" w:firstLineChars="200"/>
        <w:rPr>
          <w:rFonts w:ascii="宋体" w:hAnsi="宋体" w:cs="Arial"/>
          <w:color w:val="000000"/>
          <w:sz w:val="24"/>
          <w:highlight w:val="none"/>
        </w:rPr>
      </w:pPr>
      <w:bookmarkStart w:id="4"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5"/>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5"/>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5"/>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5"/>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5"/>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4"/>
      <w:r>
        <w:rPr>
          <w:rFonts w:hint="eastAsia" w:ascii="宋体" w:hAnsi="宋体" w:cs="Arial"/>
          <w:color w:val="000000"/>
          <w:sz w:val="24"/>
          <w:highlight w:val="none"/>
        </w:rPr>
        <w:t>。</w:t>
      </w:r>
    </w:p>
    <w:p>
      <w:pPr>
        <w:numPr>
          <w:ilvl w:val="0"/>
          <w:numId w:val="13"/>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6"/>
        </w:numPr>
        <w:spacing w:before="120" w:beforeLines="50" w:after="120" w:afterLines="50" w:line="360" w:lineRule="auto"/>
        <w:ind w:left="0" w:firstLine="480" w:firstLineChars="200"/>
        <w:rPr>
          <w:rFonts w:ascii="宋体" w:hAnsi="宋体" w:cs="Arial"/>
          <w:color w:val="000000"/>
          <w:sz w:val="24"/>
          <w:highlight w:val="none"/>
        </w:rPr>
      </w:pPr>
      <w:bookmarkStart w:id="5" w:name="_Hlk33472852"/>
      <w:r>
        <w:rPr>
          <w:rFonts w:hint="eastAsia" w:ascii="宋体" w:hAnsi="宋体" w:cs="Arial"/>
          <w:color w:val="000000"/>
          <w:sz w:val="24"/>
          <w:highlight w:val="none"/>
        </w:rPr>
        <w:t>报价一览表（格式见附件1）</w:t>
      </w:r>
    </w:p>
    <w:p>
      <w:pPr>
        <w:numPr>
          <w:ilvl w:val="0"/>
          <w:numId w:val="16"/>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6"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7"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sz w:val="24"/>
          <w:highlight w:val="none"/>
        </w:rPr>
        <w:t>。勘踏现场时间：</w:t>
      </w:r>
      <w:r>
        <w:rPr>
          <w:sz w:val="24"/>
          <w:highlight w:val="none"/>
        </w:rPr>
        <w:t>202</w:t>
      </w:r>
      <w:r>
        <w:rPr>
          <w:rFonts w:hint="eastAsia"/>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18</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周工</w:t>
      </w:r>
      <w:r>
        <w:rPr>
          <w:rFonts w:hint="eastAsia"/>
          <w:sz w:val="24"/>
          <w:highlight w:val="none"/>
        </w:rPr>
        <w:t>，联系电话：</w:t>
      </w:r>
      <w:r>
        <w:rPr>
          <w:rFonts w:hint="eastAsia"/>
          <w:sz w:val="24"/>
          <w:highlight w:val="none"/>
          <w:lang w:val="en-US" w:eastAsia="zh-CN"/>
        </w:rPr>
        <w:t>020-39302059</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8" w:name="_Hlk33473031"/>
      <w:r>
        <w:rPr>
          <w:rFonts w:hint="eastAsia" w:ascii="宋体" w:hAnsi="宋体"/>
          <w:b/>
          <w:sz w:val="24"/>
          <w:highlight w:val="none"/>
        </w:rPr>
        <w:t>递交投标文件</w:t>
      </w:r>
    </w:p>
    <w:p>
      <w:pPr>
        <w:numPr>
          <w:ilvl w:val="0"/>
          <w:numId w:val="17"/>
        </w:numPr>
        <w:spacing w:before="120" w:beforeLines="50" w:after="120" w:afterLines="50" w:line="360" w:lineRule="auto"/>
        <w:ind w:left="0" w:firstLine="480" w:firstLineChars="200"/>
        <w:rPr>
          <w:sz w:val="24"/>
          <w:highlight w:val="none"/>
        </w:rPr>
      </w:pPr>
      <w:bookmarkStart w:id="9" w:name="_Hlk33472917"/>
      <w:bookmarkStart w:id="10"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3</w:t>
      </w:r>
      <w:r>
        <w:rPr>
          <w:color w:val="FF0000"/>
          <w:sz w:val="24"/>
          <w:highlight w:val="none"/>
        </w:rPr>
        <w:t xml:space="preserve"> </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23</w:t>
      </w:r>
      <w:r>
        <w:rPr>
          <w:rFonts w:hint="eastAsia"/>
          <w:color w:val="FF0000"/>
          <w:sz w:val="24"/>
          <w:highlight w:val="none"/>
        </w:rPr>
        <w:t>日</w:t>
      </w:r>
      <w:r>
        <w:rPr>
          <w:rFonts w:hint="eastAsia"/>
          <w:sz w:val="24"/>
          <w:highlight w:val="none"/>
        </w:rPr>
        <w:t>北京时间15时</w:t>
      </w:r>
      <w:r>
        <w:rPr>
          <w:rFonts w:hint="eastAsia"/>
          <w:sz w:val="24"/>
          <w:highlight w:val="none"/>
          <w:lang w:val="en-US" w:eastAsia="zh-CN"/>
        </w:rPr>
        <w:t>30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热水制备站玻璃砖维修工程</w:t>
      </w:r>
      <w:r>
        <w:rPr>
          <w:rFonts w:hint="eastAsia"/>
          <w:sz w:val="24"/>
          <w:highlight w:val="none"/>
        </w:rPr>
        <w:t>”字样。投标人递交投标文件后，请联系采购人确认。</w:t>
      </w:r>
    </w:p>
    <w:p>
      <w:pPr>
        <w:numPr>
          <w:ilvl w:val="0"/>
          <w:numId w:val="17"/>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9"/>
      <w:r>
        <w:rPr>
          <w:sz w:val="24"/>
          <w:highlight w:val="none"/>
        </w:rPr>
        <w:t>。</w:t>
      </w:r>
    </w:p>
    <w:bookmarkEnd w:id="10"/>
    <w:p>
      <w:pPr>
        <w:numPr>
          <w:ilvl w:val="0"/>
          <w:numId w:val="1"/>
        </w:numPr>
        <w:spacing w:before="120" w:beforeLines="50" w:after="120" w:afterLines="50" w:line="360" w:lineRule="auto"/>
        <w:ind w:left="0" w:firstLine="482" w:firstLineChars="200"/>
        <w:rPr>
          <w:rFonts w:ascii="宋体" w:hAnsi="宋体"/>
          <w:b/>
          <w:sz w:val="24"/>
          <w:highlight w:val="none"/>
        </w:rPr>
      </w:pPr>
      <w:bookmarkStart w:id="11" w:name="_Hlk33473147"/>
      <w:bookmarkStart w:id="12"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w:t>
      </w:r>
      <w:r>
        <w:rPr>
          <w:rFonts w:hint="eastAsia"/>
          <w:sz w:val="24"/>
          <w:highlight w:val="none"/>
          <w:lang w:val="en-US" w:eastAsia="zh-CN"/>
        </w:rPr>
        <w:t>城投综合能源投资经营管理</w:t>
      </w:r>
      <w:r>
        <w:rPr>
          <w:rFonts w:hint="eastAsia"/>
          <w:sz w:val="24"/>
          <w:highlight w:val="none"/>
          <w:lang w:eastAsia="zh-CN"/>
        </w:rPr>
        <w:t>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广州大学城能源发展有限公司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3"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附件6：投标文件有效性审查表</w:t>
      </w:r>
    </w:p>
    <w:p>
      <w:pPr>
        <w:pStyle w:val="7"/>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广州大学城能源发展有限公司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w:t>
      </w:r>
      <w:bookmarkEnd w:id="8"/>
    </w:p>
    <w:bookmarkEnd w:id="12"/>
    <w:bookmarkEnd w:id="13"/>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bookmarkStart w:id="18" w:name="_GoBack"/>
      <w:bookmarkEnd w:id="18"/>
      <w:r>
        <w:rPr>
          <w:rFonts w:hint="eastAsia" w:ascii="宋体" w:hAnsi="宋体" w:cs="Arial"/>
          <w:color w:val="000000"/>
          <w:sz w:val="30"/>
          <w:szCs w:val="30"/>
          <w:highlight w:val="none"/>
        </w:rPr>
        <w:t>附件1</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热水制备站玻璃砖维修工程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4"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4"/>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5"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热水制备站玻璃砖维修工程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5"/>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6"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3</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6"/>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7"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3</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7"/>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热水制备站玻璃砖维修工程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具</w:t>
            </w:r>
            <w:r>
              <w:rPr>
                <w:rFonts w:hint="eastAsia" w:ascii="宋体" w:hAnsi="宋体" w:cs="宋体"/>
                <w:szCs w:val="21"/>
                <w:highlight w:val="none"/>
                <w:lang w:val="en-US" w:eastAsia="zh-CN"/>
              </w:rPr>
              <w:t>有建筑工程</w:t>
            </w:r>
            <w:r>
              <w:rPr>
                <w:rFonts w:hint="eastAsia" w:ascii="宋体" w:hAnsi="宋体" w:cs="宋体"/>
                <w:szCs w:val="21"/>
                <w:highlight w:val="none"/>
              </w:rPr>
              <w:t>施工总承包叁级及以上资质</w:t>
            </w:r>
            <w:r>
              <w:rPr>
                <w:rFonts w:hint="eastAsia" w:ascii="宋体" w:hAnsi="宋体" w:cs="宋体"/>
                <w:szCs w:val="21"/>
                <w:highlight w:val="none"/>
                <w:lang w:eastAsia="zh-CN"/>
              </w:rPr>
              <w:t>；</w:t>
            </w:r>
            <w:r>
              <w:rPr>
                <w:rFonts w:hint="eastAsia" w:ascii="宋体" w:hAnsi="宋体" w:cs="宋体"/>
                <w:szCs w:val="21"/>
                <w:highlight w:val="none"/>
                <w:lang w:val="en-US" w:eastAsia="zh-CN"/>
              </w:rPr>
              <w:t>或具有建筑装修装饰</w:t>
            </w:r>
            <w:r>
              <w:rPr>
                <w:rFonts w:hint="eastAsia" w:ascii="宋体" w:hAnsi="宋体" w:cs="宋体"/>
                <w:szCs w:val="21"/>
                <w:highlight w:val="none"/>
              </w:rPr>
              <w:t>工程专业承包</w:t>
            </w:r>
            <w:r>
              <w:rPr>
                <w:rFonts w:hint="eastAsia"/>
                <w:sz w:val="24"/>
                <w:highlight w:val="none"/>
                <w:lang w:val="en-US" w:eastAsia="zh-CN"/>
              </w:rPr>
              <w:t>贰</w:t>
            </w:r>
            <w:r>
              <w:rPr>
                <w:rFonts w:hint="eastAsia" w:ascii="宋体" w:hAnsi="宋体" w:cs="宋体"/>
                <w:szCs w:val="21"/>
                <w:highlight w:val="none"/>
              </w:rPr>
              <w:t>级</w:t>
            </w:r>
            <w:r>
              <w:rPr>
                <w:rFonts w:hint="eastAsia" w:ascii="宋体" w:hAnsi="宋体" w:cs="宋体"/>
                <w:szCs w:val="21"/>
                <w:highlight w:val="none"/>
                <w:lang w:val="en-US" w:eastAsia="zh-CN"/>
              </w:rPr>
              <w:t>及</w:t>
            </w:r>
            <w:r>
              <w:rPr>
                <w:rFonts w:hint="eastAsia" w:ascii="宋体" w:hAnsi="宋体" w:cs="宋体"/>
                <w:szCs w:val="21"/>
                <w:highlight w:val="none"/>
              </w:rPr>
              <w:t>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20</w:t>
            </w:r>
            <w:r>
              <w:rPr>
                <w:rFonts w:hint="eastAsia" w:ascii="宋体" w:hAnsi="宋体" w:cs="宋体"/>
                <w:szCs w:val="21"/>
                <w:highlight w:val="none"/>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8"/>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热水制备站玻璃砖维修工程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410"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9</w:t>
            </w:r>
          </w:p>
        </w:tc>
        <w:tc>
          <w:tcPr>
            <w:tcW w:w="6410"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9"/>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9"/>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9"/>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9"/>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0B6A7"/>
    <w:multiLevelType w:val="singleLevel"/>
    <w:tmpl w:val="8090B6A7"/>
    <w:lvl w:ilvl="0" w:tentative="0">
      <w:start w:val="1"/>
      <w:numFmt w:val="decimal"/>
      <w:suff w:val="nothing"/>
      <w:lvlText w:val="%1、"/>
      <w:lvlJc w:val="left"/>
    </w:lvl>
  </w:abstractNum>
  <w:abstractNum w:abstractNumId="1">
    <w:nsid w:val="99982F0A"/>
    <w:multiLevelType w:val="singleLevel"/>
    <w:tmpl w:val="99982F0A"/>
    <w:lvl w:ilvl="0" w:tentative="0">
      <w:start w:val="1"/>
      <w:numFmt w:val="chineseCounting"/>
      <w:suff w:val="nothing"/>
      <w:lvlText w:val="（%1）"/>
      <w:lvlJc w:val="left"/>
      <w:pPr>
        <w:ind w:left="0" w:firstLine="420"/>
      </w:pPr>
      <w:rPr>
        <w:rFonts w:hint="eastAsia"/>
      </w:rPr>
    </w:lvl>
  </w:abstractNum>
  <w:abstractNum w:abstractNumId="2">
    <w:nsid w:val="ED300105"/>
    <w:multiLevelType w:val="singleLevel"/>
    <w:tmpl w:val="ED300105"/>
    <w:lvl w:ilvl="0" w:tentative="0">
      <w:start w:val="1"/>
      <w:numFmt w:val="decimal"/>
      <w:suff w:val="nothing"/>
      <w:lvlText w:val="%1、"/>
      <w:lvlJc w:val="left"/>
    </w:lvl>
  </w:abstractNum>
  <w:abstractNum w:abstractNumId="3">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BCBDD18"/>
    <w:multiLevelType w:val="singleLevel"/>
    <w:tmpl w:val="1BCBDD18"/>
    <w:lvl w:ilvl="0" w:tentative="0">
      <w:start w:val="1"/>
      <w:numFmt w:val="decimal"/>
      <w:suff w:val="nothing"/>
      <w:lvlText w:val="%1、"/>
      <w:lvlJc w:val="left"/>
    </w:lvl>
  </w:abstractNum>
  <w:abstractNum w:abstractNumId="8">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2DE5B4"/>
    <w:multiLevelType w:val="singleLevel"/>
    <w:tmpl w:val="572DE5B4"/>
    <w:lvl w:ilvl="0" w:tentative="0">
      <w:start w:val="1"/>
      <w:numFmt w:val="decimal"/>
      <w:suff w:val="nothing"/>
      <w:lvlText w:val="%1."/>
      <w:lvlJc w:val="left"/>
    </w:lvl>
  </w:abstractNum>
  <w:abstractNum w:abstractNumId="15">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432DEA"/>
    <w:multiLevelType w:val="singleLevel"/>
    <w:tmpl w:val="64432DEA"/>
    <w:lvl w:ilvl="0" w:tentative="0">
      <w:start w:val="1"/>
      <w:numFmt w:val="decimal"/>
      <w:suff w:val="nothing"/>
      <w:lvlText w:val="%1．"/>
      <w:lvlJc w:val="left"/>
      <w:pPr>
        <w:ind w:left="0" w:firstLine="400"/>
      </w:pPr>
      <w:rPr>
        <w:rFonts w:hint="default"/>
      </w:rPr>
    </w:lvl>
  </w:abstractNum>
  <w:abstractNum w:abstractNumId="17">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CE70E6D"/>
    <w:multiLevelType w:val="singleLevel"/>
    <w:tmpl w:val="7CE70E6D"/>
    <w:lvl w:ilvl="0" w:tentative="0">
      <w:start w:val="1"/>
      <w:numFmt w:val="decimal"/>
      <w:suff w:val="nothing"/>
      <w:lvlText w:val="%1."/>
      <w:lvlJc w:val="left"/>
    </w:lvl>
  </w:abstractNum>
  <w:num w:numId="1">
    <w:abstractNumId w:val="3"/>
  </w:num>
  <w:num w:numId="2">
    <w:abstractNumId w:val="8"/>
  </w:num>
  <w:num w:numId="3">
    <w:abstractNumId w:val="15"/>
  </w:num>
  <w:num w:numId="4">
    <w:abstractNumId w:val="7"/>
  </w:num>
  <w:num w:numId="5">
    <w:abstractNumId w:val="0"/>
  </w:num>
  <w:num w:numId="6">
    <w:abstractNumId w:val="2"/>
  </w:num>
  <w:num w:numId="7">
    <w:abstractNumId w:val="1"/>
  </w:num>
  <w:num w:numId="8">
    <w:abstractNumId w:val="5"/>
  </w:num>
  <w:num w:numId="9">
    <w:abstractNumId w:val="16"/>
  </w:num>
  <w:num w:numId="10">
    <w:abstractNumId w:val="17"/>
  </w:num>
  <w:num w:numId="11">
    <w:abstractNumId w:val="12"/>
  </w:num>
  <w:num w:numId="12">
    <w:abstractNumId w:val="6"/>
  </w:num>
  <w:num w:numId="13">
    <w:abstractNumId w:val="13"/>
  </w:num>
  <w:num w:numId="14">
    <w:abstractNumId w:val="4"/>
  </w:num>
  <w:num w:numId="15">
    <w:abstractNumId w:val="11"/>
  </w:num>
  <w:num w:numId="16">
    <w:abstractNumId w:val="10"/>
  </w:num>
  <w:num w:numId="17">
    <w:abstractNumId w:val="9"/>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170E2A"/>
    <w:rsid w:val="05F33E19"/>
    <w:rsid w:val="08A607DC"/>
    <w:rsid w:val="0CA3463F"/>
    <w:rsid w:val="0FF11DF9"/>
    <w:rsid w:val="0FFF5BD0"/>
    <w:rsid w:val="12342DAB"/>
    <w:rsid w:val="13033C28"/>
    <w:rsid w:val="13B94E90"/>
    <w:rsid w:val="16FA62BC"/>
    <w:rsid w:val="19367B17"/>
    <w:rsid w:val="1B85573B"/>
    <w:rsid w:val="20674731"/>
    <w:rsid w:val="214926E0"/>
    <w:rsid w:val="242A1E4E"/>
    <w:rsid w:val="24874F28"/>
    <w:rsid w:val="24ED39A1"/>
    <w:rsid w:val="26176E88"/>
    <w:rsid w:val="37DA1FFD"/>
    <w:rsid w:val="3C823756"/>
    <w:rsid w:val="3C9B5EFD"/>
    <w:rsid w:val="3E13186C"/>
    <w:rsid w:val="42310B31"/>
    <w:rsid w:val="4F0E00F7"/>
    <w:rsid w:val="50055DC9"/>
    <w:rsid w:val="524B628E"/>
    <w:rsid w:val="5598176B"/>
    <w:rsid w:val="5FA63A90"/>
    <w:rsid w:val="656F3231"/>
    <w:rsid w:val="65C636CA"/>
    <w:rsid w:val="691A5ECD"/>
    <w:rsid w:val="691B6ACA"/>
    <w:rsid w:val="691F79C3"/>
    <w:rsid w:val="697F115B"/>
    <w:rsid w:val="6AB5708C"/>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character" w:customStyle="1" w:styleId="48">
    <w:name w:val="font51"/>
    <w:basedOn w:val="17"/>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7</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2023-05-16T08:24:28Z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