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lang w:val="en-US" w:eastAsia="zh-CN"/>
        </w:rPr>
        <w:t>广州市超算分布式能源投资有限公司</w:t>
      </w:r>
    </w:p>
    <w:p>
      <w:pPr>
        <w:jc w:val="center"/>
        <w:rPr>
          <w:b/>
          <w:sz w:val="28"/>
          <w:highlight w:val="none"/>
        </w:rPr>
      </w:pPr>
      <w:r>
        <w:rPr>
          <w:rFonts w:hint="eastAsia"/>
          <w:b/>
          <w:sz w:val="28"/>
          <w:highlight w:val="none"/>
          <w:lang w:val="en-US" w:eastAsia="zh-CN"/>
        </w:rPr>
        <w:t>超算能源站燃机易耗品采购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超算能源站燃机易耗品采购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包组一燃机备件类限价21万元，包组二防腐蚀添加剂限价5.5万元，包组三燃机润滑油限价11万元。</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包组一燃机备件材料，包组二防腐蚀添加剂，包组三燃机润滑油</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近3年内(2020年1月1日至今)完成过质量合格的类似项目业绩（需提供合同等相关证明材料复印件</w:t>
      </w:r>
      <w:r>
        <w:rPr>
          <w:rFonts w:hint="eastAsia" w:ascii="宋体" w:hAnsi="宋体"/>
          <w:sz w:val="24"/>
          <w:highlight w:val="none"/>
          <w:lang w:eastAsia="zh-CN"/>
        </w:rPr>
        <w:t>）；</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6"/>
        <w:numPr>
          <w:ilvl w:val="0"/>
          <w:numId w:val="4"/>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6"/>
        <w:numPr>
          <w:ilvl w:val="0"/>
          <w:numId w:val="4"/>
        </w:numPr>
        <w:tabs>
          <w:tab w:val="left" w:pos="420"/>
        </w:tabs>
        <w:spacing w:line="360" w:lineRule="auto"/>
        <w:ind w:left="0" w:leftChars="0" w:firstLine="420" w:firstLineChars="175"/>
        <w:rPr>
          <w:rFonts w:hint="eastAsia" w:ascii="宋体" w:hAnsi="宋体"/>
          <w:sz w:val="24"/>
          <w:highlight w:val="none"/>
        </w:rPr>
      </w:pPr>
      <w:r>
        <w:rPr>
          <w:rFonts w:hint="eastAsia" w:ascii="宋体" w:hAnsi="宋体"/>
          <w:sz w:val="24"/>
          <w:highlight w:val="none"/>
        </w:rPr>
        <w:t>送货地点：</w:t>
      </w:r>
    </w:p>
    <w:p>
      <w:pPr>
        <w:pStyle w:val="6"/>
        <w:numPr>
          <w:ilvl w:val="0"/>
          <w:numId w:val="5"/>
        </w:numPr>
        <w:tabs>
          <w:tab w:val="left" w:pos="420"/>
        </w:tabs>
        <w:spacing w:line="360" w:lineRule="auto"/>
        <w:ind w:leftChars="175"/>
        <w:rPr>
          <w:rFonts w:hint="eastAsia" w:ascii="宋体" w:hAnsi="宋体"/>
          <w:color w:val="auto"/>
          <w:sz w:val="24"/>
          <w:highlight w:val="none"/>
          <w:lang w:eastAsia="zh-CN"/>
        </w:rPr>
      </w:pPr>
      <w:r>
        <w:rPr>
          <w:rFonts w:hint="eastAsia" w:ascii="宋体" w:hAnsi="宋体"/>
          <w:color w:val="auto"/>
          <w:sz w:val="24"/>
          <w:highlight w:val="none"/>
          <w:lang w:val="en-US" w:eastAsia="zh-CN"/>
        </w:rPr>
        <w:t>包组一材料送至</w:t>
      </w:r>
      <w:r>
        <w:rPr>
          <w:rFonts w:hint="eastAsia" w:ascii="宋体" w:hAnsi="宋体"/>
          <w:color w:val="auto"/>
          <w:sz w:val="24"/>
          <w:highlight w:val="none"/>
        </w:rPr>
        <w:t>大学城外环东路137号超算分布式能源站</w:t>
      </w:r>
      <w:r>
        <w:rPr>
          <w:rFonts w:hint="eastAsia" w:ascii="宋体" w:hAnsi="宋体"/>
          <w:color w:val="auto"/>
          <w:sz w:val="24"/>
          <w:highlight w:val="none"/>
          <w:lang w:eastAsia="zh-CN"/>
        </w:rPr>
        <w:t>；</w:t>
      </w:r>
    </w:p>
    <w:p>
      <w:pPr>
        <w:pStyle w:val="6"/>
        <w:numPr>
          <w:ilvl w:val="0"/>
          <w:numId w:val="5"/>
        </w:numPr>
        <w:tabs>
          <w:tab w:val="left" w:pos="420"/>
        </w:tabs>
        <w:spacing w:line="360" w:lineRule="auto"/>
        <w:ind w:leftChars="175"/>
        <w:rPr>
          <w:rFonts w:ascii="宋体" w:hAnsi="宋体"/>
          <w:color w:val="auto"/>
          <w:sz w:val="24"/>
          <w:highlight w:val="none"/>
        </w:rPr>
      </w:pPr>
      <w:r>
        <w:rPr>
          <w:rFonts w:hint="eastAsia" w:ascii="宋体" w:hAnsi="宋体"/>
          <w:color w:val="auto"/>
          <w:sz w:val="24"/>
          <w:highlight w:val="none"/>
          <w:lang w:val="en-US" w:eastAsia="zh-CN"/>
        </w:rPr>
        <w:t>包组二材料</w:t>
      </w:r>
      <w:r>
        <w:rPr>
          <w:rFonts w:hint="eastAsia" w:ascii="宋体" w:hAnsi="宋体"/>
          <w:color w:val="auto"/>
          <w:sz w:val="24"/>
          <w:highlight w:val="none"/>
        </w:rPr>
        <w:t>送至大学城外环东路137号超算分布式能源站负一层指定位置；</w:t>
      </w:r>
    </w:p>
    <w:p>
      <w:pPr>
        <w:pStyle w:val="6"/>
        <w:numPr>
          <w:ilvl w:val="0"/>
          <w:numId w:val="5"/>
        </w:numPr>
        <w:tabs>
          <w:tab w:val="left" w:pos="420"/>
        </w:tabs>
        <w:spacing w:line="360" w:lineRule="auto"/>
        <w:ind w:leftChars="175"/>
        <w:rPr>
          <w:rFonts w:ascii="宋体" w:hAnsi="宋体"/>
          <w:color w:val="auto"/>
          <w:sz w:val="24"/>
          <w:highlight w:val="none"/>
        </w:rPr>
      </w:pPr>
      <w:r>
        <w:rPr>
          <w:rFonts w:hint="eastAsia" w:ascii="宋体" w:hAnsi="宋体"/>
          <w:color w:val="auto"/>
          <w:sz w:val="24"/>
          <w:highlight w:val="none"/>
          <w:lang w:val="en-US" w:eastAsia="zh-CN"/>
        </w:rPr>
        <w:t>包组三材料</w:t>
      </w:r>
      <w:r>
        <w:rPr>
          <w:rFonts w:hint="eastAsia" w:ascii="宋体" w:hAnsi="宋体"/>
          <w:color w:val="auto"/>
          <w:sz w:val="24"/>
          <w:highlight w:val="none"/>
        </w:rPr>
        <w:t>卸装</w:t>
      </w:r>
      <w:r>
        <w:rPr>
          <w:rFonts w:hint="eastAsia" w:ascii="宋体" w:hAnsi="宋体"/>
          <w:color w:val="auto"/>
          <w:sz w:val="24"/>
          <w:highlight w:val="none"/>
          <w:lang w:val="en-US" w:eastAsia="zh-CN"/>
        </w:rPr>
        <w:t>至</w:t>
      </w:r>
      <w:r>
        <w:rPr>
          <w:rFonts w:hint="eastAsia" w:ascii="宋体" w:hAnsi="宋体"/>
          <w:color w:val="auto"/>
          <w:sz w:val="24"/>
          <w:highlight w:val="none"/>
        </w:rPr>
        <w:t>大学城外环东路137号超算分布式能源站负一层润滑油储油罐内。</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6"/>
        <w:numPr>
          <w:ilvl w:val="0"/>
          <w:numId w:val="9"/>
        </w:numPr>
        <w:spacing w:line="360" w:lineRule="auto"/>
        <w:ind w:left="0" w:firstLine="480"/>
        <w:rPr>
          <w:rFonts w:hint="eastAsia" w:ascii="宋体" w:hAnsi="宋体"/>
          <w:sz w:val="24"/>
          <w:highlight w:val="none"/>
        </w:rPr>
      </w:pPr>
      <w:r>
        <w:rPr>
          <w:rFonts w:hint="eastAsia" w:ascii="宋体" w:hAnsi="宋体"/>
          <w:sz w:val="24"/>
          <w:highlight w:val="none"/>
        </w:rPr>
        <w:t>2020年1月1日至今完成过</w:t>
      </w:r>
      <w:r>
        <w:rPr>
          <w:rFonts w:hint="eastAsia" w:ascii="宋体" w:hAnsi="宋体"/>
          <w:sz w:val="24"/>
          <w:highlight w:val="none"/>
          <w:lang w:val="en-US" w:eastAsia="zh-CN"/>
        </w:rPr>
        <w:t>质量合格的</w:t>
      </w:r>
      <w:r>
        <w:rPr>
          <w:rFonts w:hint="eastAsia" w:ascii="宋体" w:hAnsi="宋体"/>
          <w:sz w:val="24"/>
          <w:highlight w:val="none"/>
        </w:rPr>
        <w:t>类似项目业绩（需提供合同等相关证明材料复印件</w:t>
      </w:r>
      <w:r>
        <w:rPr>
          <w:rFonts w:hint="eastAsia" w:ascii="宋体" w:hAnsi="宋体"/>
          <w:sz w:val="24"/>
          <w:highlight w:val="none"/>
          <w:lang w:eastAsia="zh-CN"/>
        </w:rPr>
        <w:t>）</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超算能源站燃机易耗品采购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10"/>
        </w:numPr>
        <w:spacing w:line="360" w:lineRule="auto"/>
        <w:ind w:firstLineChars="0"/>
        <w:rPr>
          <w:rFonts w:ascii="宋体" w:hAnsi="宋体"/>
          <w:sz w:val="24"/>
          <w:highlight w:val="none"/>
        </w:rPr>
      </w:pPr>
      <w:r>
        <w:rPr>
          <w:rFonts w:hint="eastAsia" w:ascii="宋体" w:hAnsi="宋体"/>
          <w:sz w:val="24"/>
          <w:highlight w:val="none"/>
        </w:rPr>
        <w:t>采购单位：</w:t>
      </w:r>
      <w:r>
        <w:rPr>
          <w:rFonts w:hint="eastAsia" w:ascii="宋体" w:hAnsi="宋体"/>
          <w:sz w:val="24"/>
          <w:highlight w:val="none"/>
          <w:lang w:val="en-US" w:eastAsia="zh-CN"/>
        </w:rPr>
        <w:t>广州市超算分布式能源投资有限公司</w:t>
      </w:r>
    </w:p>
    <w:p>
      <w:pPr>
        <w:pStyle w:val="7"/>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bookmarkStart w:id="0" w:name="_GoBack"/>
      <w:bookmarkEnd w:id="0"/>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sz w:val="24"/>
          <w:highlight w:val="none"/>
          <w:lang w:val="en-US" w:eastAsia="zh-CN"/>
        </w:rPr>
        <w:t>广州市超算分布式能源投资有限公司</w:t>
      </w:r>
    </w:p>
    <w:p>
      <w:pPr>
        <w:pStyle w:val="6"/>
        <w:spacing w:line="360" w:lineRule="auto"/>
        <w:ind w:right="960" w:firstLine="5460" w:firstLineChars="22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2"/>
        </w:numPr>
        <w:tabs>
          <w:tab w:val="left" w:pos="420"/>
        </w:tabs>
        <w:spacing w:line="360" w:lineRule="auto"/>
        <w:rPr>
          <w:sz w:val="24"/>
          <w:highlight w:val="none"/>
        </w:rPr>
      </w:pPr>
      <w:r>
        <w:rPr>
          <w:rFonts w:hint="eastAsia" w:ascii="宋体" w:hAnsi="宋体"/>
          <w:b w:val="0"/>
          <w:sz w:val="24"/>
          <w:highlight w:val="none"/>
          <w:lang w:val="en-US" w:eastAsia="zh-CN"/>
        </w:rPr>
        <w:t>超算能源站燃机易耗品采购--</w:t>
      </w:r>
      <w:r>
        <w:rPr>
          <w:rFonts w:hint="eastAsia" w:ascii="宋体" w:hAnsi="宋体"/>
          <w:sz w:val="24"/>
          <w:highlight w:val="none"/>
          <w:lang w:val="en-US" w:eastAsia="zh-CN"/>
        </w:rPr>
        <w:t>包组一燃机备件类</w:t>
      </w:r>
      <w:r>
        <w:rPr>
          <w:rFonts w:hint="eastAsia" w:ascii="宋体" w:hAnsi="宋体"/>
          <w:b w:val="0"/>
          <w:sz w:val="24"/>
          <w:highlight w:val="none"/>
          <w:lang w:val="en-US" w:eastAsia="zh-CN"/>
        </w:rPr>
        <w:t>采购</w:t>
      </w:r>
      <w:r>
        <w:rPr>
          <w:rFonts w:hint="eastAsia" w:ascii="宋体" w:hAnsi="宋体"/>
          <w:sz w:val="24"/>
          <w:highlight w:val="none"/>
        </w:rPr>
        <w:t>清单</w:t>
      </w:r>
    </w:p>
    <w:tbl>
      <w:tblPr>
        <w:tblStyle w:val="3"/>
        <w:tblW w:w="8720" w:type="dxa"/>
        <w:tblInd w:w="0" w:type="dxa"/>
        <w:tblLayout w:type="fixed"/>
        <w:tblCellMar>
          <w:top w:w="0" w:type="dxa"/>
          <w:left w:w="108" w:type="dxa"/>
          <w:bottom w:w="0" w:type="dxa"/>
          <w:right w:w="108" w:type="dxa"/>
        </w:tblCellMar>
      </w:tblPr>
      <w:tblGrid>
        <w:gridCol w:w="692"/>
        <w:gridCol w:w="1882"/>
        <w:gridCol w:w="3195"/>
        <w:gridCol w:w="690"/>
        <w:gridCol w:w="705"/>
        <w:gridCol w:w="1556"/>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8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1</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火花塞</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ab/>
            </w:r>
            <w:r>
              <w:rPr>
                <w:rFonts w:hint="eastAsia"/>
                <w:sz w:val="20"/>
                <w:szCs w:val="22"/>
                <w:lang w:eastAsia="zh-CN"/>
              </w:rPr>
              <w:t>材料编号：1228 2839</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16</w:t>
            </w:r>
          </w:p>
        </w:tc>
        <w:tc>
          <w:tcPr>
            <w:tcW w:w="1556"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步进电机行程开关</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val="en-US"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材料编号：1214 9554</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w:t>
            </w:r>
          </w:p>
        </w:tc>
        <w:tc>
          <w:tcPr>
            <w:tcW w:w="1556"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大飞轮转速传感器</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材料编号：1232 2054</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w:t>
            </w:r>
          </w:p>
        </w:tc>
        <w:tc>
          <w:tcPr>
            <w:tcW w:w="1556"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缸套水连接件</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 xml:space="preserve">材料编号：1228 0470 </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缸套水圆密封环</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材料编号：0118 2617</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32</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缸盖罩密封胶圈</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材料编号：0115 3892</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32</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精滤盖密封圈</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tabs>
                <w:tab w:val="center" w:pos="1362"/>
              </w:tabs>
              <w:ind w:left="0" w:leftChars="0" w:firstLine="0" w:firstLineChars="0"/>
              <w:jc w:val="left"/>
              <w:textAlignment w:val="center"/>
              <w:rPr>
                <w:rFonts w:hint="eastAsia"/>
                <w:sz w:val="20"/>
                <w:szCs w:val="22"/>
                <w:lang w:eastAsia="zh-CN"/>
              </w:rPr>
            </w:pPr>
            <w:r>
              <w:rPr>
                <w:rFonts w:hint="eastAsia"/>
                <w:sz w:val="20"/>
                <w:szCs w:val="22"/>
                <w:lang w:eastAsia="zh-CN"/>
              </w:rPr>
              <w:t>曼海姆</w:t>
            </w:r>
            <w:r>
              <w:rPr>
                <w:rFonts w:hint="eastAsia"/>
                <w:sz w:val="20"/>
                <w:szCs w:val="22"/>
                <w:lang w:val="en-US" w:eastAsia="zh-CN"/>
              </w:rPr>
              <w:t xml:space="preserve"> </w:t>
            </w:r>
            <w:r>
              <w:rPr>
                <w:rFonts w:hint="eastAsia"/>
                <w:sz w:val="20"/>
                <w:szCs w:val="22"/>
                <w:lang w:eastAsia="zh-CN"/>
              </w:rPr>
              <w:t>材料编号：1221</w:t>
            </w:r>
            <w:r>
              <w:rPr>
                <w:rFonts w:hint="eastAsia"/>
                <w:sz w:val="20"/>
                <w:szCs w:val="22"/>
                <w:lang w:val="en-US" w:eastAsia="zh-CN"/>
              </w:rPr>
              <w:t xml:space="preserve"> </w:t>
            </w:r>
            <w:r>
              <w:rPr>
                <w:rFonts w:hint="eastAsia"/>
                <w:sz w:val="20"/>
                <w:szCs w:val="22"/>
                <w:lang w:eastAsia="zh-CN"/>
              </w:rPr>
              <w:t>7383</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20"/>
                <w:szCs w:val="20"/>
                <w:u w:val="none"/>
                <w:lang w:val="en-US" w:eastAsia="zh-CN" w:bidi="ar"/>
              </w:rPr>
              <w:t>4</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w:t>
      </w:r>
      <w:r>
        <w:rPr>
          <w:rFonts w:hint="eastAsia" w:ascii="宋体" w:hAnsi="宋体"/>
          <w:color w:val="auto"/>
          <w:sz w:val="24"/>
          <w:highlight w:val="none"/>
        </w:rPr>
        <w:t>大学城外环东路137号超算分布式能源站</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eastAsia="zh-CN"/>
        </w:rPr>
        <w:t>，</w:t>
      </w:r>
      <w:r>
        <w:rPr>
          <w:rFonts w:hint="eastAsia" w:ascii="宋体" w:hAnsi="宋体"/>
          <w:sz w:val="24"/>
          <w:highlight w:val="none"/>
          <w:lang w:val="en-US" w:eastAsia="zh-CN"/>
        </w:rPr>
        <w:t>货期要求30天内</w:t>
      </w:r>
      <w:r>
        <w:rPr>
          <w:rFonts w:hint="eastAsia" w:ascii="宋体" w:hAnsi="宋体"/>
          <w:sz w:val="24"/>
          <w:highlight w:val="none"/>
        </w:rPr>
        <w:t>。</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pStyle w:val="6"/>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val="en-US" w:eastAsia="zh-CN"/>
        </w:rPr>
        <w:t>一、</w:t>
      </w: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二、</w:t>
      </w: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三、</w:t>
      </w:r>
      <w:r>
        <w:rPr>
          <w:rFonts w:hint="eastAsia" w:ascii="宋体" w:hAnsi="宋体"/>
          <w:sz w:val="24"/>
          <w:highlight w:val="none"/>
        </w:rPr>
        <w:t>需求内容</w:t>
      </w:r>
    </w:p>
    <w:p>
      <w:pPr>
        <w:numPr>
          <w:ilvl w:val="0"/>
          <w:numId w:val="0"/>
        </w:numPr>
        <w:tabs>
          <w:tab w:val="left" w:pos="420"/>
        </w:tabs>
        <w:spacing w:line="360" w:lineRule="auto"/>
        <w:ind w:left="284" w:leftChars="0" w:firstLine="240" w:firstLineChars="100"/>
        <w:rPr>
          <w:sz w:val="24"/>
          <w:highlight w:val="none"/>
        </w:rPr>
      </w:pPr>
      <w:r>
        <w:rPr>
          <w:rFonts w:hint="eastAsia" w:ascii="宋体" w:hAnsi="宋体"/>
          <w:sz w:val="24"/>
          <w:highlight w:val="none"/>
          <w:lang w:val="en-US" w:eastAsia="zh-CN"/>
        </w:rPr>
        <w:t>（一）</w:t>
      </w:r>
      <w:r>
        <w:rPr>
          <w:rFonts w:hint="eastAsia" w:ascii="宋体" w:hAnsi="宋体"/>
          <w:b w:val="0"/>
          <w:sz w:val="24"/>
          <w:highlight w:val="none"/>
          <w:lang w:val="en-US" w:eastAsia="zh-CN"/>
        </w:rPr>
        <w:t>超算能源站燃机易耗品采购</w:t>
      </w:r>
      <w:r>
        <w:rPr>
          <w:rFonts w:hint="eastAsia" w:ascii="宋体" w:hAnsi="宋体" w:eastAsia="宋体" w:cs="宋体"/>
          <w:sz w:val="24"/>
          <w:highlight w:val="none"/>
          <w:lang w:val="en-US" w:eastAsia="zh-CN"/>
        </w:rPr>
        <w:t>--</w:t>
      </w:r>
      <w:r>
        <w:rPr>
          <w:rFonts w:hint="eastAsia" w:ascii="宋体" w:hAnsi="宋体"/>
          <w:sz w:val="24"/>
          <w:highlight w:val="none"/>
          <w:lang w:val="en-US" w:eastAsia="zh-CN"/>
        </w:rPr>
        <w:t>包组二防腐蚀添加剂</w:t>
      </w:r>
      <w:r>
        <w:rPr>
          <w:rFonts w:hint="eastAsia" w:ascii="宋体" w:hAnsi="宋体"/>
          <w:sz w:val="24"/>
          <w:highlight w:val="none"/>
        </w:rPr>
        <w:t>清单</w:t>
      </w:r>
    </w:p>
    <w:tbl>
      <w:tblPr>
        <w:tblStyle w:val="3"/>
        <w:tblW w:w="8522" w:type="dxa"/>
        <w:tblInd w:w="0" w:type="dxa"/>
        <w:tblLayout w:type="fixed"/>
        <w:tblCellMar>
          <w:top w:w="0" w:type="dxa"/>
          <w:left w:w="108" w:type="dxa"/>
          <w:bottom w:w="0" w:type="dxa"/>
          <w:right w:w="108" w:type="dxa"/>
        </w:tblCellMar>
      </w:tblPr>
      <w:tblGrid>
        <w:gridCol w:w="816"/>
        <w:gridCol w:w="2148"/>
        <w:gridCol w:w="2557"/>
        <w:gridCol w:w="780"/>
        <w:gridCol w:w="840"/>
        <w:gridCol w:w="1381"/>
      </w:tblGrid>
      <w:tr>
        <w:tblPrEx>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14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55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21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缸套水防腐蚀添加剂</w:t>
            </w:r>
          </w:p>
        </w:tc>
        <w:tc>
          <w:tcPr>
            <w:tcW w:w="255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ind w:firstLine="540" w:firstLineChars="300"/>
              <w:jc w:val="left"/>
              <w:textAlignment w:val="center"/>
              <w:rPr>
                <w:rFonts w:hint="default" w:ascii="宋体" w:hAnsi="宋体" w:eastAsia="宋体" w:cs="宋体"/>
                <w:sz w:val="13"/>
                <w:szCs w:val="13"/>
                <w:highlight w:val="none"/>
                <w:lang w:val="en-US"/>
              </w:rPr>
            </w:pPr>
            <w:r>
              <w:rPr>
                <w:rFonts w:hint="eastAsia" w:ascii="宋体" w:hAnsi="宋体" w:eastAsia="宋体" w:cs="宋体"/>
                <w:i w:val="0"/>
                <w:color w:val="000000"/>
                <w:kern w:val="0"/>
                <w:sz w:val="18"/>
                <w:szCs w:val="18"/>
                <w:u w:val="none"/>
                <w:lang w:val="en-US" w:eastAsia="zh-CN" w:bidi="ar"/>
              </w:rPr>
              <w:t>加德士DELO  18升/桶</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桶</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3"/>
                <w:szCs w:val="13"/>
                <w:highlight w:val="none"/>
                <w:lang w:val="en-US"/>
              </w:rPr>
            </w:pPr>
            <w:r>
              <w:rPr>
                <w:rFonts w:hint="eastAsia" w:ascii="宋体" w:hAnsi="宋体" w:eastAsia="宋体" w:cs="宋体"/>
                <w:i w:val="0"/>
                <w:color w:val="000000"/>
                <w:kern w:val="0"/>
                <w:sz w:val="18"/>
                <w:szCs w:val="18"/>
                <w:u w:val="none"/>
                <w:lang w:val="en-US" w:eastAsia="zh-CN" w:bidi="ar"/>
              </w:rPr>
              <w:t>20</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bl>
    <w:p>
      <w:pPr>
        <w:spacing w:line="360" w:lineRule="auto"/>
        <w:rPr>
          <w:sz w:val="24"/>
          <w:highlight w:val="none"/>
        </w:rPr>
      </w:pPr>
    </w:p>
    <w:p>
      <w:pPr>
        <w:numPr>
          <w:ilvl w:val="0"/>
          <w:numId w:val="0"/>
        </w:numPr>
        <w:tabs>
          <w:tab w:val="left" w:pos="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报价有效期不低于30天。</w:t>
      </w:r>
    </w:p>
    <w:p>
      <w:pPr>
        <w:numPr>
          <w:ilvl w:val="0"/>
          <w:numId w:val="0"/>
        </w:numPr>
        <w:tabs>
          <w:tab w:val="left" w:pos="420"/>
        </w:tabs>
        <w:spacing w:line="360" w:lineRule="auto"/>
        <w:ind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pPr>
        <w:numPr>
          <w:ilvl w:val="0"/>
          <w:numId w:val="0"/>
        </w:num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供应商报价时须按分项报单价、总价，注明所报产品的品牌、货期、产品质保期等详细信息。</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供应商对“采购清单”中的所有货物都应报齐，不允许缺漏项。如有缺漏项的，按废标处理。</w:t>
      </w:r>
    </w:p>
    <w:p>
      <w:pPr>
        <w:numPr>
          <w:ilvl w:val="0"/>
          <w:numId w:val="0"/>
        </w:numPr>
        <w:tabs>
          <w:tab w:val="left" w:pos="420"/>
        </w:tabs>
        <w:spacing w:line="360" w:lineRule="auto"/>
        <w:ind w:firstLine="240" w:firstLineChars="10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sz w:val="24"/>
          <w:highlight w:val="none"/>
        </w:rPr>
        <w:t>1.需送货至指定地点：</w:t>
      </w:r>
      <w:r>
        <w:rPr>
          <w:rFonts w:hint="eastAsia" w:ascii="宋体" w:hAnsi="宋体"/>
          <w:color w:val="auto"/>
          <w:sz w:val="24"/>
          <w:highlight w:val="none"/>
        </w:rPr>
        <w:t>大学城外环东路137号超算分布式能源站负一层指定位置</w:t>
      </w:r>
      <w:r>
        <w:rPr>
          <w:rFonts w:hint="eastAsia" w:ascii="宋体" w:hAnsi="宋体"/>
          <w:color w:val="auto"/>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r>
        <w:rPr>
          <w:rFonts w:hint="eastAsia" w:ascii="宋体" w:hAnsi="宋体"/>
          <w:sz w:val="24"/>
          <w:highlight w:val="none"/>
          <w:lang w:eastAsia="zh-CN"/>
        </w:rPr>
        <w:t>，</w:t>
      </w:r>
      <w:r>
        <w:rPr>
          <w:rFonts w:hint="eastAsia" w:ascii="宋体" w:hAnsi="宋体"/>
          <w:sz w:val="24"/>
          <w:highlight w:val="none"/>
          <w:lang w:val="en-US" w:eastAsia="zh-CN"/>
        </w:rPr>
        <w:t>货期要求30天内</w:t>
      </w:r>
      <w:r>
        <w:rPr>
          <w:rFonts w:hint="eastAsia" w:ascii="宋体" w:hAnsi="宋体"/>
          <w:sz w:val="24"/>
          <w:highlight w:val="none"/>
        </w:rPr>
        <w:t>。</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包装和装运</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包装费、运费（包吊卸、搬运等）、保险费及卸货费等其他相关费用已包含在中标价内。</w:t>
      </w:r>
    </w:p>
    <w:p>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一次合格率大于</w:t>
      </w:r>
      <w:r>
        <w:rPr>
          <w:rFonts w:ascii="宋体" w:hAnsi="宋体"/>
          <w:sz w:val="24"/>
          <w:highlight w:val="none"/>
        </w:rPr>
        <w:t>98%。</w:t>
      </w:r>
    </w:p>
    <w:p>
      <w:pPr>
        <w:numPr>
          <w:ilvl w:val="0"/>
          <w:numId w:val="0"/>
        </w:numPr>
        <w:tabs>
          <w:tab w:val="left" w:pos="420"/>
        </w:tabs>
        <w:spacing w:line="360" w:lineRule="auto"/>
        <w:ind w:firstLine="480" w:firstLineChars="20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如出现严重质量问题或产品厂商推诿质量、服务责任时，供应商应承担责任并提供质量和服务保障。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★供应商在投标文件中承诺提供的服务须能提供制造商的服务热线（如400电话等）查证。</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商务要求</w:t>
      </w:r>
    </w:p>
    <w:p>
      <w:pPr>
        <w:pStyle w:val="6"/>
        <w:tabs>
          <w:tab w:val="left" w:pos="420"/>
        </w:tabs>
        <w:spacing w:line="360"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违约责任</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val="en-US" w:eastAsia="zh-CN"/>
        </w:rPr>
        <w:t>一、</w:t>
      </w: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二、</w:t>
      </w: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三、</w:t>
      </w:r>
      <w:r>
        <w:rPr>
          <w:rFonts w:hint="eastAsia" w:ascii="宋体" w:hAnsi="宋体"/>
          <w:sz w:val="24"/>
          <w:highlight w:val="none"/>
        </w:rPr>
        <w:t>需求内容</w:t>
      </w:r>
    </w:p>
    <w:p>
      <w:pPr>
        <w:numPr>
          <w:ilvl w:val="0"/>
          <w:numId w:val="0"/>
        </w:numPr>
        <w:tabs>
          <w:tab w:val="left" w:pos="420"/>
        </w:tabs>
        <w:spacing w:line="360" w:lineRule="auto"/>
        <w:ind w:left="284" w:leftChars="0" w:firstLine="240" w:firstLineChars="100"/>
        <w:rPr>
          <w:sz w:val="24"/>
          <w:highlight w:val="none"/>
        </w:rPr>
      </w:pPr>
      <w:r>
        <w:rPr>
          <w:rFonts w:hint="eastAsia" w:ascii="宋体" w:hAnsi="宋体"/>
          <w:sz w:val="24"/>
          <w:highlight w:val="none"/>
          <w:lang w:val="en-US" w:eastAsia="zh-CN"/>
        </w:rPr>
        <w:t>（一）</w:t>
      </w:r>
      <w:r>
        <w:rPr>
          <w:rFonts w:hint="eastAsia" w:ascii="宋体" w:hAnsi="宋体"/>
          <w:b w:val="0"/>
          <w:sz w:val="24"/>
          <w:highlight w:val="none"/>
          <w:lang w:val="en-US" w:eastAsia="zh-CN"/>
        </w:rPr>
        <w:t>超算能源站燃机易耗品采购</w:t>
      </w:r>
      <w:r>
        <w:rPr>
          <w:rFonts w:hint="eastAsia" w:ascii="宋体" w:hAnsi="宋体" w:eastAsia="宋体" w:cs="宋体"/>
          <w:sz w:val="24"/>
          <w:highlight w:val="none"/>
          <w:lang w:val="en-US" w:eastAsia="zh-CN"/>
        </w:rPr>
        <w:t>--</w:t>
      </w:r>
      <w:r>
        <w:rPr>
          <w:rFonts w:hint="eastAsia" w:ascii="宋体" w:hAnsi="宋体"/>
          <w:sz w:val="24"/>
          <w:highlight w:val="none"/>
          <w:lang w:val="en-US" w:eastAsia="zh-CN"/>
        </w:rPr>
        <w:t>包组三燃机润滑油</w:t>
      </w:r>
      <w:r>
        <w:rPr>
          <w:rFonts w:hint="eastAsia" w:ascii="宋体" w:hAnsi="宋体"/>
          <w:sz w:val="24"/>
          <w:highlight w:val="none"/>
        </w:rPr>
        <w:t>清单</w:t>
      </w:r>
    </w:p>
    <w:tbl>
      <w:tblPr>
        <w:tblStyle w:val="3"/>
        <w:tblW w:w="8522" w:type="dxa"/>
        <w:tblInd w:w="0" w:type="dxa"/>
        <w:tblLayout w:type="fixed"/>
        <w:tblCellMar>
          <w:top w:w="0" w:type="dxa"/>
          <w:left w:w="108" w:type="dxa"/>
          <w:bottom w:w="0" w:type="dxa"/>
          <w:right w:w="108" w:type="dxa"/>
        </w:tblCellMar>
      </w:tblPr>
      <w:tblGrid>
        <w:gridCol w:w="816"/>
        <w:gridCol w:w="1533"/>
        <w:gridCol w:w="2565"/>
        <w:gridCol w:w="1050"/>
        <w:gridCol w:w="1177"/>
        <w:gridCol w:w="1381"/>
      </w:tblGrid>
      <w:tr>
        <w:tblPrEx>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3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5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117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燃机润滑油</w:t>
            </w:r>
          </w:p>
        </w:tc>
        <w:tc>
          <w:tcPr>
            <w:tcW w:w="25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3"/>
                <w:szCs w:val="13"/>
                <w:highlight w:val="none"/>
                <w:lang w:val="en-US"/>
              </w:rPr>
            </w:pPr>
            <w:r>
              <w:rPr>
                <w:rFonts w:hint="eastAsia" w:ascii="宋体" w:hAnsi="宋体" w:eastAsia="宋体" w:cs="宋体"/>
                <w:i w:val="0"/>
                <w:color w:val="000000"/>
                <w:kern w:val="0"/>
                <w:sz w:val="18"/>
                <w:szCs w:val="18"/>
                <w:u w:val="none"/>
                <w:lang w:val="en-US" w:eastAsia="zh-CN" w:bidi="ar"/>
              </w:rPr>
              <w:t>美孚飞马805 208升/桶</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桶</w:t>
            </w:r>
          </w:p>
        </w:tc>
        <w:tc>
          <w:tcPr>
            <w:tcW w:w="117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18</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bl>
    <w:p>
      <w:pPr>
        <w:spacing w:line="360" w:lineRule="auto"/>
        <w:rPr>
          <w:sz w:val="24"/>
          <w:highlight w:val="none"/>
        </w:rPr>
      </w:pPr>
    </w:p>
    <w:p>
      <w:pPr>
        <w:numPr>
          <w:ilvl w:val="0"/>
          <w:numId w:val="0"/>
        </w:numPr>
        <w:tabs>
          <w:tab w:val="left" w:pos="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★本项目采用综合单价包干，以实际采购数量进行结算。</w:t>
      </w:r>
      <w:r>
        <w:rPr>
          <w:rFonts w:hint="eastAsia" w:ascii="宋体" w:hAnsi="宋体"/>
          <w:sz w:val="24"/>
          <w:highlight w:val="none"/>
          <w:lang w:eastAsia="zh-CN"/>
        </w:rPr>
        <w:t>、</w:t>
      </w:r>
      <w:r>
        <w:rPr>
          <w:rFonts w:hint="eastAsia" w:ascii="宋体" w:hAnsi="宋体"/>
          <w:sz w:val="24"/>
          <w:highlight w:val="none"/>
        </w:rPr>
        <w:t>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报价有效期不低于30天。</w:t>
      </w:r>
    </w:p>
    <w:p>
      <w:pPr>
        <w:numPr>
          <w:ilvl w:val="0"/>
          <w:numId w:val="0"/>
        </w:numPr>
        <w:tabs>
          <w:tab w:val="left" w:pos="420"/>
        </w:tabs>
        <w:spacing w:line="360" w:lineRule="auto"/>
        <w:ind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pPr>
        <w:numPr>
          <w:ilvl w:val="0"/>
          <w:numId w:val="0"/>
        </w:num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供应商报价时须按分项报单价、总价，注明所报产品的品牌、货期、产品质保期等详细信息。</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供应商对“采购清单”中的所有货物都应报齐，不允许缺漏项。如有缺漏项的，按废标处理。</w:t>
      </w:r>
    </w:p>
    <w:p>
      <w:pPr>
        <w:numPr>
          <w:ilvl w:val="0"/>
          <w:numId w:val="0"/>
        </w:numPr>
        <w:tabs>
          <w:tab w:val="left" w:pos="420"/>
        </w:tabs>
        <w:spacing w:line="360" w:lineRule="auto"/>
        <w:ind w:firstLine="240" w:firstLineChars="10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auto"/>
          <w:sz w:val="24"/>
          <w:highlight w:val="none"/>
          <w:lang w:eastAsia="zh-CN"/>
        </w:rPr>
      </w:pPr>
      <w:r>
        <w:rPr>
          <w:rFonts w:hint="eastAsia" w:ascii="宋体" w:hAnsi="宋体"/>
          <w:sz w:val="24"/>
          <w:highlight w:val="none"/>
        </w:rPr>
        <w:t>1.需送货至指定地点：</w:t>
      </w:r>
      <w:r>
        <w:rPr>
          <w:rFonts w:hint="eastAsia" w:ascii="宋体" w:hAnsi="宋体"/>
          <w:color w:val="auto"/>
          <w:sz w:val="24"/>
          <w:highlight w:val="none"/>
        </w:rPr>
        <w:t>卸装</w:t>
      </w:r>
      <w:r>
        <w:rPr>
          <w:rFonts w:hint="eastAsia" w:ascii="宋体" w:hAnsi="宋体"/>
          <w:color w:val="auto"/>
          <w:sz w:val="24"/>
          <w:highlight w:val="none"/>
          <w:lang w:val="en-US" w:eastAsia="zh-CN"/>
        </w:rPr>
        <w:t>至</w:t>
      </w:r>
      <w:r>
        <w:rPr>
          <w:rFonts w:hint="eastAsia" w:ascii="宋体" w:hAnsi="宋体"/>
          <w:color w:val="auto"/>
          <w:sz w:val="24"/>
          <w:highlight w:val="none"/>
        </w:rPr>
        <w:t>大学城外环东路137号超算分布式能源站负一层润滑油储油罐内</w:t>
      </w:r>
      <w:r>
        <w:rPr>
          <w:rFonts w:hint="eastAsia" w:ascii="宋体" w:hAnsi="宋体"/>
          <w:color w:val="auto"/>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r>
        <w:rPr>
          <w:rFonts w:hint="eastAsia" w:ascii="宋体" w:hAnsi="宋体"/>
          <w:sz w:val="24"/>
          <w:highlight w:val="none"/>
          <w:lang w:eastAsia="zh-CN"/>
        </w:rPr>
        <w:t>，</w:t>
      </w:r>
      <w:r>
        <w:rPr>
          <w:rFonts w:hint="eastAsia" w:ascii="宋体" w:hAnsi="宋体"/>
          <w:sz w:val="24"/>
          <w:highlight w:val="none"/>
          <w:lang w:val="en-US" w:eastAsia="zh-CN"/>
        </w:rPr>
        <w:t>货期要求7天内</w:t>
      </w:r>
      <w:r>
        <w:rPr>
          <w:rFonts w:hint="eastAsia" w:ascii="宋体" w:hAnsi="宋体"/>
          <w:sz w:val="24"/>
          <w:highlight w:val="none"/>
        </w:rPr>
        <w:t>。</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包装和装运</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包装费、运费（包吊卸、搬运等）、保险费及卸货费等其他相关费用已包含在中标价内。</w:t>
      </w:r>
    </w:p>
    <w:p>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一次合格率大于</w:t>
      </w:r>
      <w:r>
        <w:rPr>
          <w:rFonts w:ascii="宋体" w:hAnsi="宋体"/>
          <w:sz w:val="24"/>
          <w:highlight w:val="none"/>
        </w:rPr>
        <w:t>98%。</w:t>
      </w:r>
    </w:p>
    <w:p>
      <w:pPr>
        <w:numPr>
          <w:ilvl w:val="0"/>
          <w:numId w:val="0"/>
        </w:numPr>
        <w:tabs>
          <w:tab w:val="left" w:pos="420"/>
        </w:tabs>
        <w:spacing w:line="360" w:lineRule="auto"/>
        <w:ind w:firstLine="480" w:firstLineChars="20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如出现严重质量问题或产品厂商推诿质量、服务责任时，供应商应承担责任并提供质量和服务保障。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★供应商在投标文件中承诺提供的服务须能提供制造商的服务热线（如400电话等）查证。</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商务要求</w:t>
      </w:r>
    </w:p>
    <w:p>
      <w:pPr>
        <w:pStyle w:val="6"/>
        <w:tabs>
          <w:tab w:val="left" w:pos="420"/>
        </w:tabs>
        <w:spacing w:line="360"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违约责任</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r>
        <w:rPr>
          <w:rFonts w:hint="eastAsia" w:ascii="宋体" w:hAnsi="宋体"/>
          <w:sz w:val="24"/>
          <w:highlight w:val="none"/>
          <w:lang w:val="en-US" w:eastAsia="zh-CN"/>
        </w:rPr>
        <w:t>包组一燃机备件类</w:t>
      </w:r>
      <w:r>
        <w:rPr>
          <w:rFonts w:hint="eastAsia" w:ascii="宋体" w:hAnsi="宋体"/>
          <w:b w:val="0"/>
          <w:sz w:val="24"/>
          <w:highlight w:val="none"/>
          <w:lang w:val="en-US" w:eastAsia="zh-CN"/>
        </w:rPr>
        <w:t>采购</w:t>
      </w:r>
      <w:r>
        <w:rPr>
          <w:rFonts w:hint="eastAsia" w:ascii="宋体" w:hAnsi="宋体"/>
          <w:sz w:val="24"/>
          <w:highlight w:val="none"/>
        </w:rPr>
        <w:t>清单</w:t>
      </w:r>
    </w:p>
    <w:tbl>
      <w:tblPr>
        <w:tblStyle w:val="3"/>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r>
        <w:rPr>
          <w:rFonts w:hint="eastAsia" w:ascii="宋体" w:hAnsi="宋体"/>
          <w:sz w:val="24"/>
          <w:highlight w:val="none"/>
          <w:lang w:val="en-US" w:eastAsia="zh-CN"/>
        </w:rPr>
        <w:t>包组二防腐蚀添加剂</w:t>
      </w:r>
      <w:r>
        <w:rPr>
          <w:rFonts w:hint="eastAsia" w:ascii="宋体" w:hAnsi="宋体"/>
          <w:sz w:val="24"/>
          <w:highlight w:val="none"/>
        </w:rPr>
        <w:t>清单</w:t>
      </w:r>
    </w:p>
    <w:tbl>
      <w:tblPr>
        <w:tblStyle w:val="3"/>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21"/>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r>
        <w:rPr>
          <w:rFonts w:hint="eastAsia" w:ascii="宋体" w:hAnsi="宋体"/>
          <w:sz w:val="24"/>
          <w:highlight w:val="none"/>
          <w:lang w:val="en-US" w:eastAsia="zh-CN"/>
        </w:rPr>
        <w:t>包组三燃机润滑油</w:t>
      </w:r>
      <w:r>
        <w:rPr>
          <w:rFonts w:hint="eastAsia" w:ascii="宋体" w:hAnsi="宋体"/>
          <w:sz w:val="24"/>
          <w:highlight w:val="none"/>
        </w:rPr>
        <w:t>清单</w:t>
      </w:r>
    </w:p>
    <w:tbl>
      <w:tblPr>
        <w:tblStyle w:val="3"/>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22"/>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2"/>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2"/>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2"/>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p>
    <w:tbl>
      <w:tblPr>
        <w:tblStyle w:val="3"/>
        <w:tblW w:w="10080" w:type="dxa"/>
        <w:tblInd w:w="-792" w:type="dxa"/>
        <w:tblLayout w:type="fixed"/>
        <w:tblCellMar>
          <w:top w:w="0" w:type="dxa"/>
          <w:left w:w="108" w:type="dxa"/>
          <w:bottom w:w="0" w:type="dxa"/>
          <w:right w:w="108" w:type="dxa"/>
        </w:tblCellMar>
      </w:tblPr>
      <w:tblGrid>
        <w:gridCol w:w="1551"/>
        <w:gridCol w:w="689"/>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7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7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9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5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r>
        <w:rPr>
          <w:rFonts w:hint="eastAsia" w:ascii="宋体" w:hAnsi="宋体"/>
          <w:sz w:val="24"/>
          <w:highlight w:val="none"/>
          <w:lang w:val="en-US" w:eastAsia="zh-CN"/>
        </w:rPr>
        <w:t>包组一燃机备件类</w:t>
      </w:r>
      <w:r>
        <w:rPr>
          <w:rFonts w:hint="eastAsia" w:ascii="宋体" w:hAnsi="宋体"/>
          <w:b w:val="0"/>
          <w:sz w:val="24"/>
          <w:highlight w:val="none"/>
          <w:lang w:val="en-US" w:eastAsia="zh-CN"/>
        </w:rPr>
        <w:t>采购</w:t>
      </w:r>
      <w:r>
        <w:rPr>
          <w:rFonts w:hint="eastAsia" w:ascii="宋体" w:hAnsi="宋体"/>
          <w:sz w:val="24"/>
          <w:highlight w:val="none"/>
        </w:rPr>
        <w:t>清单</w:t>
      </w:r>
    </w:p>
    <w:tbl>
      <w:tblPr>
        <w:tblStyle w:val="3"/>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757"/>
        <w:gridCol w:w="201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7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1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bidi w:val="0"/>
              <w:spacing w:line="240" w:lineRule="auto"/>
              <w:rPr>
                <w:rFonts w:ascii="宋体" w:hAnsi="宋体"/>
                <w:szCs w:val="18"/>
                <w:highlight w:val="none"/>
              </w:rPr>
            </w:pPr>
            <w:r>
              <w:rPr>
                <w:rFonts w:hint="eastAsia" w:ascii="宋体" w:hAnsi="宋体"/>
                <w:sz w:val="18"/>
                <w:szCs w:val="18"/>
                <w:highlight w:val="none"/>
                <w:lang w:val="en-US" w:eastAsia="zh-CN"/>
              </w:rPr>
              <w:t>采购需求 五、商务要求（一）★付款方式：</w:t>
            </w:r>
            <w:r>
              <w:rPr>
                <w:rFonts w:hint="eastAsia" w:ascii="宋体" w:hAnsi="宋体"/>
                <w:sz w:val="18"/>
                <w:szCs w:val="18"/>
                <w:highlight w:val="none"/>
              </w:rPr>
              <w:t>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hint="eastAsia" w:ascii="宋体" w:hAnsi="宋体"/>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r>
        <w:rPr>
          <w:rFonts w:hint="eastAsia" w:ascii="宋体" w:hAnsi="宋体"/>
          <w:sz w:val="24"/>
          <w:highlight w:val="none"/>
          <w:lang w:val="en-US" w:eastAsia="zh-CN"/>
        </w:rPr>
        <w:t>包组二防腐蚀添加剂</w:t>
      </w:r>
      <w:r>
        <w:rPr>
          <w:rFonts w:hint="eastAsia" w:ascii="宋体" w:hAnsi="宋体"/>
          <w:sz w:val="24"/>
          <w:highlight w:val="none"/>
        </w:rPr>
        <w:t>清单</w:t>
      </w:r>
    </w:p>
    <w:tbl>
      <w:tblPr>
        <w:tblStyle w:val="3"/>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757"/>
        <w:gridCol w:w="201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7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1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bidi w:val="0"/>
              <w:spacing w:line="240" w:lineRule="auto"/>
              <w:rPr>
                <w:rFonts w:ascii="宋体" w:hAnsi="宋体"/>
                <w:szCs w:val="18"/>
                <w:highlight w:val="none"/>
              </w:rPr>
            </w:pPr>
            <w:r>
              <w:rPr>
                <w:rFonts w:hint="eastAsia" w:ascii="宋体" w:hAnsi="宋体"/>
                <w:sz w:val="18"/>
                <w:szCs w:val="18"/>
                <w:highlight w:val="none"/>
                <w:lang w:val="en-US" w:eastAsia="zh-CN"/>
              </w:rPr>
              <w:t>采购需求 五、商务要求（一）★付款方式：</w:t>
            </w:r>
            <w:r>
              <w:rPr>
                <w:rFonts w:hint="eastAsia" w:ascii="宋体" w:hAnsi="宋体"/>
                <w:sz w:val="18"/>
                <w:szCs w:val="18"/>
                <w:highlight w:val="none"/>
              </w:rPr>
              <w:t>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hint="eastAsia" w:ascii="宋体" w:hAnsi="宋体"/>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r>
        <w:rPr>
          <w:rFonts w:hint="eastAsia" w:ascii="宋体" w:hAnsi="宋体"/>
          <w:sz w:val="24"/>
          <w:highlight w:val="none"/>
          <w:lang w:val="en-US" w:eastAsia="zh-CN"/>
        </w:rPr>
        <w:t>包组三燃机润滑油</w:t>
      </w:r>
      <w:r>
        <w:rPr>
          <w:rFonts w:hint="eastAsia" w:ascii="宋体" w:hAnsi="宋体"/>
          <w:sz w:val="24"/>
          <w:highlight w:val="none"/>
        </w:rPr>
        <w:t>清单</w:t>
      </w:r>
    </w:p>
    <w:tbl>
      <w:tblPr>
        <w:tblStyle w:val="3"/>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665"/>
        <w:gridCol w:w="1905"/>
        <w:gridCol w:w="1131"/>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66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0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31"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66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66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66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66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665" w:type="dxa"/>
            <w:tcBorders>
              <w:top w:val="single" w:color="auto" w:sz="2" w:space="0"/>
              <w:left w:val="single" w:color="auto" w:sz="2" w:space="0"/>
              <w:bottom w:val="single" w:color="auto" w:sz="2" w:space="0"/>
              <w:right w:val="single" w:color="auto" w:sz="2" w:space="0"/>
              <w:tl2br w:val="nil"/>
              <w:tr2bl w:val="nil"/>
            </w:tcBorders>
            <w:vAlign w:val="center"/>
          </w:tcPr>
          <w:p>
            <w:pPr>
              <w:bidi w:val="0"/>
              <w:spacing w:line="240" w:lineRule="auto"/>
              <w:rPr>
                <w:rFonts w:ascii="宋体" w:hAnsi="宋体"/>
                <w:szCs w:val="18"/>
                <w:highlight w:val="none"/>
              </w:rPr>
            </w:pPr>
            <w:r>
              <w:rPr>
                <w:rFonts w:hint="eastAsia" w:ascii="宋体" w:hAnsi="宋体"/>
                <w:sz w:val="18"/>
                <w:szCs w:val="18"/>
                <w:highlight w:val="none"/>
                <w:lang w:val="en-US" w:eastAsia="zh-CN"/>
              </w:rPr>
              <w:t>采购需求 五、商务要求（一）★付款方式：</w:t>
            </w:r>
            <w:r>
              <w:rPr>
                <w:rFonts w:hint="eastAsia" w:ascii="宋体" w:hAnsi="宋体"/>
                <w:sz w:val="18"/>
                <w:szCs w:val="18"/>
                <w:highlight w:val="none"/>
              </w:rPr>
              <w:t>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hint="eastAsia" w:ascii="宋体" w:hAnsi="宋体"/>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240" w:lineRule="auto"/>
        <w:ind w:left="0" w:leftChars="0" w:firstLine="210" w:firstLineChars="100"/>
        <w:rPr>
          <w:rFonts w:ascii="宋体" w:hAnsi="宋体"/>
          <w:highlight w:val="none"/>
        </w:rPr>
      </w:pPr>
      <w:r>
        <w:rPr>
          <w:rFonts w:hint="eastAsia" w:ascii="宋体" w:hAnsi="宋体"/>
          <w:highlight w:val="none"/>
        </w:rPr>
        <w:t>项目名称：</w:t>
      </w:r>
      <w:r>
        <w:rPr>
          <w:rFonts w:hint="eastAsia" w:ascii="宋体" w:hAnsi="宋体"/>
          <w:sz w:val="24"/>
          <w:szCs w:val="32"/>
          <w:highlight w:val="none"/>
          <w:lang w:val="en-US" w:eastAsia="zh-CN"/>
        </w:rPr>
        <w:t>超算</w:t>
      </w:r>
      <w:r>
        <w:rPr>
          <w:rFonts w:hint="eastAsia" w:ascii="宋体" w:hAnsi="宋体"/>
          <w:b w:val="0"/>
          <w:sz w:val="24"/>
          <w:highlight w:val="none"/>
          <w:lang w:val="en-US" w:eastAsia="zh-CN"/>
        </w:rPr>
        <w:t>能源站燃机易耗品采购</w:t>
      </w:r>
    </w:p>
    <w:tbl>
      <w:tblPr>
        <w:tblStyle w:val="3"/>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3"/>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3"/>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3"/>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3"/>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95BC6"/>
    <w:multiLevelType w:val="singleLevel"/>
    <w:tmpl w:val="ADD95BC6"/>
    <w:lvl w:ilvl="0" w:tentative="0">
      <w:start w:val="1"/>
      <w:numFmt w:val="decimal"/>
      <w:suff w:val="nothing"/>
      <w:lvlText w:val="%1、"/>
      <w:lvlJc w:val="left"/>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1DD6D4CF"/>
    <w:multiLevelType w:val="multilevel"/>
    <w:tmpl w:val="1DD6D4CF"/>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9">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0">
    <w:nsid w:val="34A2CF05"/>
    <w:multiLevelType w:val="multilevel"/>
    <w:tmpl w:val="34A2CF05"/>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2">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3">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5">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7">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8">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9">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0">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1">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2">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7"/>
  </w:num>
  <w:num w:numId="2">
    <w:abstractNumId w:val="14"/>
  </w:num>
  <w:num w:numId="3">
    <w:abstractNumId w:val="5"/>
  </w:num>
  <w:num w:numId="4">
    <w:abstractNumId w:val="1"/>
  </w:num>
  <w:num w:numId="5">
    <w:abstractNumId w:val="0"/>
  </w:num>
  <w:num w:numId="6">
    <w:abstractNumId w:val="19"/>
  </w:num>
  <w:num w:numId="7">
    <w:abstractNumId w:val="9"/>
  </w:num>
  <w:num w:numId="8">
    <w:abstractNumId w:val="4"/>
  </w:num>
  <w:num w:numId="9">
    <w:abstractNumId w:val="8"/>
  </w:num>
  <w:num w:numId="10">
    <w:abstractNumId w:val="6"/>
  </w:num>
  <w:num w:numId="11">
    <w:abstractNumId w:val="21"/>
  </w:num>
  <w:num w:numId="12">
    <w:abstractNumId w:val="20"/>
  </w:num>
  <w:num w:numId="13">
    <w:abstractNumId w:val="22"/>
  </w:num>
  <w:num w:numId="14">
    <w:abstractNumId w:val="3"/>
  </w:num>
  <w:num w:numId="15">
    <w:abstractNumId w:val="16"/>
  </w:num>
  <w:num w:numId="16">
    <w:abstractNumId w:val="18"/>
  </w:num>
  <w:num w:numId="17">
    <w:abstractNumId w:val="12"/>
  </w:num>
  <w:num w:numId="18">
    <w:abstractNumId w:val="11"/>
  </w:num>
  <w:num w:numId="19">
    <w:abstractNumId w:val="2"/>
  </w:num>
  <w:num w:numId="20">
    <w:abstractNumId w:val="15"/>
  </w:num>
  <w:num w:numId="21">
    <w:abstractNumId w:val="7"/>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105F7BEE"/>
    <w:rsid w:val="18221867"/>
    <w:rsid w:val="1C055E22"/>
    <w:rsid w:val="1C326EE2"/>
    <w:rsid w:val="219C5AD0"/>
    <w:rsid w:val="21EF441B"/>
    <w:rsid w:val="261B75D1"/>
    <w:rsid w:val="2AC216B9"/>
    <w:rsid w:val="315670E0"/>
    <w:rsid w:val="338220BD"/>
    <w:rsid w:val="3592207D"/>
    <w:rsid w:val="36A7666B"/>
    <w:rsid w:val="37A72DCA"/>
    <w:rsid w:val="530629DF"/>
    <w:rsid w:val="5349618D"/>
    <w:rsid w:val="53DC470C"/>
    <w:rsid w:val="55C8186D"/>
    <w:rsid w:val="5AE50C98"/>
    <w:rsid w:val="605F149E"/>
    <w:rsid w:val="61345013"/>
    <w:rsid w:val="6370437E"/>
    <w:rsid w:val="66D143C5"/>
    <w:rsid w:val="69A35E39"/>
    <w:rsid w:val="69E05BFA"/>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5">
    <w:name w:val="Hyperlink"/>
    <w:basedOn w:val="4"/>
    <w:unhideWhenUsed/>
    <w:qFormat/>
    <w:uiPriority w:val="99"/>
    <w:rPr>
      <w:color w:val="0000FF"/>
      <w:u w:val="single"/>
    </w:rPr>
  </w:style>
  <w:style w:type="paragraph" w:customStyle="1" w:styleId="6">
    <w:name w:val="列出段落1"/>
    <w:basedOn w:val="1"/>
    <w:unhideWhenUsed/>
    <w:qFormat/>
    <w:uiPriority w:val="0"/>
    <w:pPr>
      <w:ind w:firstLine="420" w:firstLineChars="200"/>
    </w:pPr>
  </w:style>
  <w:style w:type="paragraph" w:styleId="7">
    <w:name w:val="List Paragraph"/>
    <w:basedOn w:val="1"/>
    <w:unhideWhenUsed/>
    <w:qFormat/>
    <w:uiPriority w:val="34"/>
    <w:pPr>
      <w:ind w:firstLine="420" w:firstLineChars="200"/>
    </w:pPr>
  </w:style>
  <w:style w:type="character" w:customStyle="1" w:styleId="8">
    <w:name w:val="font11"/>
    <w:basedOn w:val="4"/>
    <w:qFormat/>
    <w:uiPriority w:val="0"/>
    <w:rPr>
      <w:rFonts w:hint="eastAsia" w:ascii="宋体" w:hAnsi="宋体" w:eastAsia="宋体" w:cs="宋体"/>
      <w:color w:val="000000"/>
      <w:sz w:val="22"/>
      <w:szCs w:val="22"/>
      <w:u w:val="none"/>
    </w:rPr>
  </w:style>
  <w:style w:type="character" w:customStyle="1" w:styleId="9">
    <w:name w:val="font01"/>
    <w:basedOn w:val="4"/>
    <w:qFormat/>
    <w:uiPriority w:val="0"/>
    <w:rPr>
      <w:rFonts w:hint="eastAsia" w:ascii="宋体" w:hAnsi="宋体" w:eastAsia="宋体" w:cs="宋体"/>
      <w:color w:val="FF0000"/>
      <w:sz w:val="22"/>
      <w:szCs w:val="22"/>
      <w:u w:val="none"/>
    </w:rPr>
  </w:style>
  <w:style w:type="character" w:customStyle="1" w:styleId="10">
    <w:name w:val="font21"/>
    <w:basedOn w:val="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13717</Words>
  <Characters>14014</Characters>
  <Lines>0</Lines>
  <Paragraphs>0</Paragraphs>
  <TotalTime>2</TotalTime>
  <ScaleCrop>false</ScaleCrop>
  <LinksUpToDate>false</LinksUpToDate>
  <CharactersWithSpaces>14510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2023-05-29T01:21:28Z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B2031EBAB10F438A90C5E142C677658C_12</vt:lpwstr>
  </property>
</Properties>
</file>