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jc w:val="center"/>
        <w:rPr>
          <w:b/>
          <w:sz w:val="36"/>
          <w:szCs w:val="36"/>
        </w:rPr>
      </w:pPr>
      <w:r>
        <w:rPr>
          <w:rFonts w:hint="eastAsia"/>
          <w:b/>
          <w:sz w:val="36"/>
          <w:szCs w:val="36"/>
        </w:rPr>
        <w:t>广州城投综合能源投资经营管理有限公司</w:t>
      </w:r>
    </w:p>
    <w:p>
      <w:pPr>
        <w:tabs>
          <w:tab w:val="left" w:pos="720"/>
        </w:tabs>
        <w:spacing w:line="560" w:lineRule="exact"/>
        <w:jc w:val="center"/>
        <w:rPr>
          <w:b/>
          <w:sz w:val="36"/>
          <w:szCs w:val="36"/>
        </w:rPr>
      </w:pPr>
      <w:r>
        <w:rPr>
          <w:rFonts w:hint="eastAsia"/>
          <w:b/>
          <w:sz w:val="36"/>
          <w:szCs w:val="36"/>
        </w:rPr>
        <w:t>番禺区计算科学与大数据产业园配套供冷供热项目（地块一、四板换间）施工总承包项目监理采购</w:t>
      </w:r>
    </w:p>
    <w:p>
      <w:pPr>
        <w:tabs>
          <w:tab w:val="left" w:pos="720"/>
        </w:tabs>
        <w:spacing w:line="560" w:lineRule="exact"/>
        <w:jc w:val="center"/>
        <w:rPr>
          <w:b/>
          <w:sz w:val="36"/>
          <w:szCs w:val="36"/>
        </w:rPr>
      </w:pPr>
      <w:r>
        <w:rPr>
          <w:rFonts w:hint="eastAsia"/>
          <w:b/>
          <w:sz w:val="36"/>
          <w:szCs w:val="36"/>
        </w:rPr>
        <w:t>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60" w:lineRule="exact"/>
        <w:ind w:firstLine="562" w:firstLineChars="200"/>
        <w:rPr>
          <w:b/>
          <w:sz w:val="28"/>
          <w:szCs w:val="28"/>
        </w:rPr>
      </w:pPr>
      <w:r>
        <w:rPr>
          <w:rFonts w:hint="eastAsia"/>
          <w:b/>
          <w:sz w:val="28"/>
          <w:szCs w:val="28"/>
        </w:rPr>
        <w:t>一、项目基本情况</w:t>
      </w:r>
    </w:p>
    <w:p>
      <w:pPr>
        <w:spacing w:line="560" w:lineRule="exact"/>
        <w:ind w:firstLine="560" w:firstLineChars="200"/>
        <w:rPr>
          <w:sz w:val="28"/>
          <w:szCs w:val="28"/>
        </w:rPr>
      </w:pPr>
      <w:r>
        <w:rPr>
          <w:rFonts w:hint="eastAsia"/>
          <w:sz w:val="28"/>
          <w:szCs w:val="28"/>
        </w:rPr>
        <w:t>（一）项目名称：番禺区计算科学与大数据产业园配套供冷供热项目（地块一、四板换间）施工总承包项目监理采购</w:t>
      </w:r>
    </w:p>
    <w:p>
      <w:pPr>
        <w:spacing w:line="560" w:lineRule="exact"/>
        <w:ind w:firstLine="560" w:firstLineChars="200"/>
        <w:rPr>
          <w:sz w:val="28"/>
          <w:szCs w:val="28"/>
        </w:rPr>
      </w:pPr>
      <w:r>
        <w:rPr>
          <w:rFonts w:hint="eastAsia"/>
          <w:sz w:val="28"/>
          <w:szCs w:val="28"/>
        </w:rPr>
        <w:t>（二）项目地点：广州大学城</w:t>
      </w:r>
    </w:p>
    <w:p>
      <w:pPr>
        <w:spacing w:line="560" w:lineRule="exact"/>
        <w:ind w:firstLine="560" w:firstLineChars="200"/>
        <w:rPr>
          <w:sz w:val="28"/>
          <w:szCs w:val="28"/>
        </w:rPr>
      </w:pPr>
      <w:r>
        <w:rPr>
          <w:rFonts w:hint="eastAsia"/>
          <w:sz w:val="28"/>
          <w:szCs w:val="28"/>
        </w:rPr>
        <w:t>（三）采购限价：9.1万元</w:t>
      </w:r>
    </w:p>
    <w:p>
      <w:pPr>
        <w:spacing w:line="560" w:lineRule="exact"/>
        <w:ind w:firstLine="560" w:firstLineChars="200"/>
        <w:rPr>
          <w:sz w:val="28"/>
          <w:szCs w:val="28"/>
        </w:rPr>
      </w:pPr>
      <w:r>
        <w:rPr>
          <w:rFonts w:hint="eastAsia"/>
          <w:sz w:val="28"/>
          <w:szCs w:val="28"/>
        </w:rPr>
        <w:t>（四）项目概况</w:t>
      </w:r>
    </w:p>
    <w:p>
      <w:pPr>
        <w:widowControl/>
        <w:adjustRightInd w:val="0"/>
        <w:snapToGrid w:val="0"/>
        <w:spacing w:line="360" w:lineRule="auto"/>
        <w:ind w:firstLine="495" w:firstLineChars="177"/>
        <w:jc w:val="left"/>
        <w:rPr>
          <w:rFonts w:ascii="宋体" w:hAnsi="宋体" w:cs="宋体"/>
          <w:kern w:val="0"/>
          <w:sz w:val="28"/>
          <w:szCs w:val="28"/>
        </w:rPr>
      </w:pPr>
      <w:r>
        <w:rPr>
          <w:rFonts w:hint="eastAsia" w:ascii="宋体" w:hAnsi="宋体" w:cs="宋体"/>
          <w:kern w:val="0"/>
          <w:sz w:val="28"/>
          <w:szCs w:val="28"/>
        </w:rPr>
        <w:t>1、番禺区计算科学与大数据产业园配套供冷供热项目位于大学城中轴线北段，紧邻大学城北站。主要为番禺区计算科学与大数据产业园4个地块用户提供空调冷源和生活热水热源。。</w:t>
      </w:r>
    </w:p>
    <w:p>
      <w:pPr>
        <w:pStyle w:val="27"/>
        <w:spacing w:line="360" w:lineRule="auto"/>
        <w:ind w:firstLine="560"/>
        <w:jc w:val="left"/>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4"/>
        </w:rPr>
        <w:t>本项目主要施工内容为地块一、地块四板换间设备管道等机电设施安装以及新建室外空调冷水管网等，具体内容包括但不限于：安装水泵、分集水器、管道、阀门、电控柜、电缆、线槽等机电设施等（具体以招标人提供的招标图纸及工程量清单为准）</w:t>
      </w:r>
      <w:r>
        <w:rPr>
          <w:rFonts w:hint="eastAsia" w:ascii="宋体" w:hAnsi="宋体" w:cs="宋体"/>
          <w:kern w:val="0"/>
          <w:sz w:val="28"/>
          <w:szCs w:val="28"/>
        </w:rPr>
        <w:t>。</w:t>
      </w:r>
    </w:p>
    <w:p>
      <w:pPr>
        <w:pStyle w:val="27"/>
        <w:spacing w:line="360" w:lineRule="auto"/>
        <w:ind w:firstLine="560"/>
        <w:jc w:val="left"/>
        <w:rPr>
          <w:rFonts w:ascii="宋体" w:hAnsi="宋体" w:cs="宋体"/>
          <w:kern w:val="0"/>
          <w:sz w:val="28"/>
          <w:szCs w:val="28"/>
        </w:rPr>
      </w:pPr>
      <w:r>
        <w:rPr>
          <w:rFonts w:hint="eastAsia" w:ascii="宋体" w:hAnsi="宋体" w:cs="宋体"/>
          <w:kern w:val="0"/>
          <w:sz w:val="28"/>
          <w:szCs w:val="28"/>
        </w:rPr>
        <w:t>3、本项目有甲供设备如下：地块一板换间2套现场拼装换热量为6500（kW）的水-水板式换热器和地块四板换间2套现场拼装换热量为7500（kW）的水-水板式换热器。水-水板式换热器的供货商服务包括但不限于：设备的设计、制造、供货、包装运输至安装现场（含保险）、吊装、散件现场拼装（如需）、就位调平固定、开箱检验、随机附件（专用工器具和消耗件）、技术资料及图纸的提供、调试服务、性能测试、试运行、竣工验收服务、技术服务及培训、质保期内的全包维修保养及设备零部件更换等相关服务、售后服务等。</w:t>
      </w:r>
    </w:p>
    <w:p>
      <w:pPr>
        <w:widowControl/>
        <w:tabs>
          <w:tab w:val="left" w:pos="0"/>
          <w:tab w:val="left" w:pos="720"/>
        </w:tabs>
        <w:spacing w:line="560" w:lineRule="exact"/>
        <w:ind w:firstLine="560" w:firstLineChars="200"/>
        <w:jc w:val="left"/>
        <w:rPr>
          <w:sz w:val="28"/>
          <w:szCs w:val="28"/>
        </w:rPr>
      </w:pPr>
      <w:r>
        <w:rPr>
          <w:rFonts w:hint="eastAsia" w:ascii="宋体" w:hAnsi="宋体" w:cs="宋体"/>
          <w:kern w:val="0"/>
          <w:sz w:val="28"/>
          <w:szCs w:val="28"/>
        </w:rPr>
        <w:t>4、本工程施工划分为1个标段，施工招标控制价格为464.64万元，目前正处于招标流程中。</w:t>
      </w:r>
    </w:p>
    <w:p>
      <w:pPr>
        <w:widowControl/>
        <w:tabs>
          <w:tab w:val="left" w:pos="0"/>
          <w:tab w:val="left" w:pos="720"/>
        </w:tabs>
        <w:spacing w:line="560" w:lineRule="exact"/>
        <w:ind w:firstLine="560" w:firstLineChars="200"/>
        <w:jc w:val="left"/>
        <w:rPr>
          <w:b/>
          <w:sz w:val="28"/>
          <w:szCs w:val="28"/>
        </w:rPr>
      </w:pPr>
      <w:r>
        <w:rPr>
          <w:rFonts w:hint="eastAsia"/>
          <w:sz w:val="28"/>
          <w:szCs w:val="28"/>
        </w:rPr>
        <w:t>5、施工计划：预计2023年9月1日进场施工，2023年12月30日前竣工验收。</w:t>
      </w:r>
    </w:p>
    <w:p>
      <w:pPr>
        <w:tabs>
          <w:tab w:val="left" w:pos="0"/>
          <w:tab w:val="left" w:pos="720"/>
        </w:tabs>
        <w:spacing w:line="560" w:lineRule="exact"/>
        <w:ind w:firstLine="562" w:firstLineChars="200"/>
        <w:rPr>
          <w:b/>
          <w:sz w:val="28"/>
          <w:szCs w:val="28"/>
        </w:rPr>
      </w:pPr>
      <w:r>
        <w:rPr>
          <w:rFonts w:hint="eastAsia"/>
          <w:b/>
          <w:sz w:val="28"/>
          <w:szCs w:val="28"/>
        </w:rPr>
        <w:t>二、合格投标人资格要求</w:t>
      </w:r>
    </w:p>
    <w:p>
      <w:pPr>
        <w:tabs>
          <w:tab w:val="left" w:pos="0"/>
          <w:tab w:val="left" w:pos="720"/>
        </w:tabs>
        <w:spacing w:line="56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6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60" w:lineRule="exact"/>
        <w:ind w:firstLine="560" w:firstLineChars="200"/>
        <w:rPr>
          <w:sz w:val="28"/>
          <w:szCs w:val="28"/>
        </w:rPr>
      </w:pPr>
      <w:r>
        <w:rPr>
          <w:rFonts w:hint="eastAsia"/>
          <w:sz w:val="28"/>
          <w:szCs w:val="28"/>
        </w:rPr>
        <w:t>（三）具备工程监理综合资质或机电安装工程监理乙级或以上资质；</w:t>
      </w:r>
    </w:p>
    <w:p>
      <w:pPr>
        <w:tabs>
          <w:tab w:val="left" w:pos="0"/>
          <w:tab w:val="left" w:pos="720"/>
        </w:tabs>
        <w:spacing w:line="560" w:lineRule="exact"/>
        <w:ind w:firstLine="560" w:firstLineChars="200"/>
        <w:rPr>
          <w:sz w:val="28"/>
          <w:szCs w:val="28"/>
        </w:rPr>
      </w:pPr>
      <w:r>
        <w:rPr>
          <w:rFonts w:hint="eastAsia"/>
          <w:sz w:val="28"/>
          <w:szCs w:val="28"/>
        </w:rPr>
        <w:t>（四）已办理合法税务登记，具有开具相应增值税专用发票资格；</w:t>
      </w:r>
    </w:p>
    <w:p>
      <w:pPr>
        <w:tabs>
          <w:tab w:val="left" w:pos="0"/>
          <w:tab w:val="left" w:pos="720"/>
        </w:tabs>
        <w:spacing w:line="560" w:lineRule="exact"/>
        <w:ind w:firstLine="560" w:firstLineChars="200"/>
        <w:rPr>
          <w:sz w:val="28"/>
          <w:szCs w:val="28"/>
        </w:rPr>
      </w:pPr>
      <w:r>
        <w:rPr>
          <w:rFonts w:hint="eastAsia"/>
          <w:sz w:val="28"/>
          <w:szCs w:val="28"/>
        </w:rPr>
        <w:t>（五）投标人近3年内(2020年1月1日至今)完成过质量合格的类似机电安装工程监理项目业绩（需提供合同等相关证明材料复印件）；</w:t>
      </w:r>
    </w:p>
    <w:p>
      <w:pPr>
        <w:tabs>
          <w:tab w:val="left" w:pos="0"/>
          <w:tab w:val="left" w:pos="720"/>
        </w:tabs>
        <w:spacing w:line="560" w:lineRule="exact"/>
        <w:ind w:firstLine="560" w:firstLineChars="200"/>
        <w:rPr>
          <w:sz w:val="28"/>
          <w:szCs w:val="28"/>
        </w:rPr>
      </w:pPr>
      <w:r>
        <w:rPr>
          <w:rFonts w:hint="eastAsia"/>
          <w:sz w:val="28"/>
          <w:szCs w:val="28"/>
        </w:rPr>
        <w:t>（六）不接受联合体报价。</w:t>
      </w:r>
    </w:p>
    <w:p>
      <w:pPr>
        <w:tabs>
          <w:tab w:val="left" w:pos="0"/>
          <w:tab w:val="left" w:pos="720"/>
        </w:tabs>
        <w:spacing w:line="560" w:lineRule="exact"/>
        <w:ind w:firstLine="562" w:firstLineChars="200"/>
        <w:rPr>
          <w:rFonts w:ascii="宋体" w:hAnsi="宋体"/>
          <w:b/>
          <w:sz w:val="28"/>
          <w:szCs w:val="28"/>
        </w:rPr>
      </w:pPr>
      <w:r>
        <w:rPr>
          <w:rFonts w:hint="eastAsia" w:ascii="宋体" w:hAnsi="宋体"/>
          <w:b/>
          <w:sz w:val="28"/>
          <w:szCs w:val="28"/>
        </w:rPr>
        <w:t>三、监理工作内容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1、须建立项目监理工作组，工作组成员应包括总监理工程师、专业监理工程师和监理员，派驻到项目现场的监理人必须有5年以上机电专业监理经验，且必须常驻现场；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2、必须保证参与本项目的监理人员的稳定性，所有监理人资料需报业主审核后方能进场，未征得业主同意不可随意撤换人员；</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3、编制监理规划及监理细则；</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4、熟悉合同文件，了解施工现场并组织项目监理机构人员进驻场地；</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5、监理工程师每周主持召开工地例会；</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6、审核施工单位授权的常驻现场代表的资格，以及其他派驻到现场的主要技术、管理人员资格；</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7、建立项目监理组的抽样送检、检查检测工作体系，按照规定的频率独立开展送检、平行检测工作；</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8、审批施工标中标单位及设备标中标单位实施本工程的施工方案及主要施工方法或工艺，对甲供设备组织检验交接；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9、审批施工标中标单位及设备标中标单位提交的总体进度计划，检查和督促施工单位实施进度计划，核批施工单位的修正计划；</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10、要求中标单位按照合同约定、技术规范和监理程序进行工程施工，通过旁站、巡视、检测、试验等手段，检查和控制工程质量和安全；</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11、调查、处理施工单位建设、安装质量缺陷和事故；</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12、对已完工的工程进行初步计量和计价，出具完整的初步计量和计价意见；</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13、编制监理工作周报和月报；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14、督促、检查中标单位按工程管理部门和业主的要求编制竣工文件；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15、编制监理方面的竣工文件；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16、审核工程结算，出具监理结算审核意见书（附审核计算书）；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17、提出工程质量评估报告；</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18、配合业主的竣工验收、工程实物及资料移交等工作；</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19、提交监理工作总结；</w:t>
      </w:r>
    </w:p>
    <w:p>
      <w:pPr>
        <w:spacing w:line="56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20、对项目的质量、施工进度、工程投资等各方面进行高质控管；对安全监督、安全文明生产管理的服务活动、工程合同、信息资料等进行高效管理。</w:t>
      </w:r>
    </w:p>
    <w:p>
      <w:pPr>
        <w:spacing w:line="560" w:lineRule="exact"/>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w:t>
      </w:r>
      <w:r>
        <w:rPr>
          <w:rFonts w:hint="eastAsia" w:asciiTheme="minorEastAsia" w:hAnsiTheme="minorEastAsia" w:eastAsiaTheme="minorEastAsia"/>
          <w:b/>
          <w:sz w:val="28"/>
          <w:szCs w:val="28"/>
        </w:rPr>
        <w:t>、监理目标</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1、投资控制目标：所监理项目结算的建安工程费不超过本项目审批概算对应的建安工程费；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2、进度控制目标：严格按照施工时间节点控制工程进度，确保项目按时完工；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3、质量控制目标：按照施工图的设计要求及国家现行规范、行业标准、工程所在地地方标准等相关要求，验收达到合格标准；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4、安全文明控制目标：确保工程无重大安全事故，确保现场达到省级文明工地标准。</w:t>
      </w:r>
    </w:p>
    <w:p>
      <w:pPr>
        <w:spacing w:line="560" w:lineRule="exact"/>
        <w:ind w:firstLine="562" w:firstLineChars="200"/>
        <w:rPr>
          <w:b/>
          <w:sz w:val="28"/>
          <w:szCs w:val="28"/>
        </w:rPr>
      </w:pPr>
      <w:r>
        <w:rPr>
          <w:rFonts w:hint="eastAsia"/>
          <w:b/>
          <w:sz w:val="28"/>
          <w:szCs w:val="28"/>
        </w:rPr>
        <w:t>五、工程费用及支付方式</w:t>
      </w:r>
    </w:p>
    <w:p>
      <w:pPr>
        <w:spacing w:line="560" w:lineRule="exact"/>
        <w:ind w:firstLine="562" w:firstLineChars="200"/>
        <w:rPr>
          <w:b/>
          <w:sz w:val="28"/>
          <w:szCs w:val="28"/>
        </w:rPr>
      </w:pPr>
      <w:r>
        <w:rPr>
          <w:rFonts w:hint="eastAsia"/>
          <w:b/>
          <w:sz w:val="28"/>
          <w:szCs w:val="28"/>
        </w:rPr>
        <w:t>（一）本项目采用总价包干。</w:t>
      </w:r>
    </w:p>
    <w:p>
      <w:pPr>
        <w:pStyle w:val="27"/>
        <w:tabs>
          <w:tab w:val="left" w:pos="420"/>
        </w:tabs>
        <w:spacing w:line="360" w:lineRule="auto"/>
        <w:ind w:firstLine="560"/>
        <w:rPr>
          <w:sz w:val="28"/>
          <w:szCs w:val="28"/>
        </w:rPr>
      </w:pPr>
      <w:r>
        <w:rPr>
          <w:rFonts w:hint="eastAsia"/>
          <w:sz w:val="28"/>
          <w:szCs w:val="28"/>
        </w:rPr>
        <w:t>（二）监理报价方式：投标单位依据工程及自身实际情况自行报价，并按报价计算投标费率（投标费率=投标报价/施工招标控制价×100%）。（小数点后保留二位小数，第三位小数四舍五入）。监理费报价按项目招标控制价464.64万元为计算基数，监理合同结算时以本工程施工合同总价为计算基数进行监理费结算。</w:t>
      </w:r>
    </w:p>
    <w:p>
      <w:pPr>
        <w:pStyle w:val="27"/>
        <w:tabs>
          <w:tab w:val="left" w:pos="420"/>
        </w:tabs>
        <w:spacing w:line="360" w:lineRule="auto"/>
        <w:ind w:firstLine="560"/>
        <w:rPr>
          <w:sz w:val="28"/>
          <w:szCs w:val="28"/>
        </w:rPr>
      </w:pPr>
      <w:r>
        <w:rPr>
          <w:rFonts w:hint="eastAsia"/>
          <w:sz w:val="28"/>
          <w:szCs w:val="28"/>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pPr>
        <w:spacing w:line="560" w:lineRule="exact"/>
        <w:ind w:firstLine="560" w:firstLineChars="200"/>
        <w:rPr>
          <w:sz w:val="28"/>
          <w:szCs w:val="28"/>
        </w:rPr>
      </w:pPr>
      <w:r>
        <w:rPr>
          <w:rFonts w:hint="eastAsia"/>
          <w:sz w:val="28"/>
          <w:szCs w:val="28"/>
        </w:rPr>
        <w:t>（三）付款方式</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监理合同签订，监理人提供经委托人审批的监理规划、监理实施细则，项目监理人员组织机构经委托人审核备案，在施工单位进场后10日内，委托人支付监理人</w:t>
      </w:r>
      <w:r>
        <w:rPr>
          <w:rFonts w:ascii="宋体" w:hAnsi="宋体" w:cs="Arial"/>
          <w:color w:val="000000"/>
          <w:sz w:val="28"/>
          <w:szCs w:val="28"/>
        </w:rPr>
        <w:t>监理合同价</w:t>
      </w:r>
      <w:r>
        <w:rPr>
          <w:rFonts w:hint="eastAsia" w:ascii="宋体" w:hAnsi="宋体" w:cs="Arial"/>
          <w:color w:val="000000"/>
          <w:sz w:val="28"/>
          <w:szCs w:val="28"/>
        </w:rPr>
        <w:t>的10%作首期监理费。</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施工单位进场开工完成经确认的施工合同总工程量50%时，累计支付至合同监理费总价的35%（含预付款）；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工程竣工验收后，累计支付至监理合同价的85%。</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sz w:val="28"/>
          <w:szCs w:val="28"/>
        </w:rPr>
        <w:t>施工合同结算经第三方审定且监理费结算手续办理完</w:t>
      </w:r>
      <w:r>
        <w:rPr>
          <w:rFonts w:hint="eastAsia" w:ascii="宋体" w:hAnsi="宋体" w:cs="Arial"/>
          <w:color w:val="000000"/>
          <w:sz w:val="28"/>
          <w:szCs w:val="28"/>
        </w:rPr>
        <w:t>毕后，累计支付监理费至监理费结算价的95%。</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如监理人有违约罚金，需缴清违约金后方可支付或直接扣减。</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工程质量缺陷责任期满，监理人协助委托人完成工程竣工档案备案后，委托人支付监理结算价余款。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ascii="宋体" w:hAnsi="宋体" w:cs="Arial"/>
          <w:color w:val="000000"/>
          <w:sz w:val="28"/>
          <w:szCs w:val="28"/>
        </w:rPr>
        <w:t>本合同所述的支付是指委托人在收到监理人的请款申请后，在规定的时间内开始办理集中支付手续，而非款项划入</w:t>
      </w:r>
      <w:r>
        <w:rPr>
          <w:rFonts w:hint="eastAsia" w:ascii="宋体" w:hAnsi="宋体" w:cs="Arial"/>
          <w:color w:val="000000"/>
          <w:sz w:val="28"/>
          <w:szCs w:val="28"/>
        </w:rPr>
        <w:t>监理人</w:t>
      </w:r>
      <w:r>
        <w:rPr>
          <w:rFonts w:ascii="宋体" w:hAnsi="宋体" w:cs="Arial"/>
          <w:color w:val="000000"/>
          <w:sz w:val="28"/>
          <w:szCs w:val="28"/>
        </w:rPr>
        <w:t>账户。在委托人完成各项支付手续报审批时，审批导致支付时间延长时，不属委托人违约。</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每次付款前，乙方向甲方提供合格有效的增值税专用发票。</w:t>
      </w:r>
    </w:p>
    <w:p>
      <w:pPr>
        <w:spacing w:line="560" w:lineRule="exact"/>
        <w:ind w:firstLine="562" w:firstLineChars="200"/>
        <w:rPr>
          <w:b/>
          <w:sz w:val="28"/>
          <w:szCs w:val="28"/>
        </w:rPr>
      </w:pPr>
      <w:r>
        <w:rPr>
          <w:rFonts w:hint="eastAsia"/>
          <w:b/>
          <w:sz w:val="28"/>
          <w:szCs w:val="28"/>
        </w:rPr>
        <w:t>六、投标文件</w:t>
      </w:r>
    </w:p>
    <w:p>
      <w:pPr>
        <w:spacing w:line="560" w:lineRule="exact"/>
        <w:ind w:firstLine="560" w:firstLineChars="200"/>
        <w:rPr>
          <w:sz w:val="28"/>
          <w:szCs w:val="28"/>
        </w:rPr>
      </w:pPr>
      <w:r>
        <w:rPr>
          <w:rFonts w:hint="eastAsia"/>
          <w:sz w:val="28"/>
          <w:szCs w:val="28"/>
        </w:rPr>
        <w:t>根据甲方要求的投标文件格式，进行密封报价（盖章）。投标文件应包含以下内容：</w:t>
      </w:r>
    </w:p>
    <w:p>
      <w:pPr>
        <w:spacing w:line="560" w:lineRule="exact"/>
        <w:ind w:firstLine="560" w:firstLineChars="200"/>
        <w:rPr>
          <w:sz w:val="28"/>
          <w:szCs w:val="28"/>
        </w:rPr>
      </w:pPr>
      <w:r>
        <w:rPr>
          <w:rFonts w:hint="eastAsia"/>
          <w:sz w:val="28"/>
          <w:szCs w:val="28"/>
        </w:rPr>
        <w:t>（一）商务部分（提供复印件，并加盖公章）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2"/>
        </w:numPr>
        <w:spacing w:line="560" w:lineRule="exact"/>
        <w:ind w:left="0" w:firstLine="560" w:firstLineChars="200"/>
        <w:rPr>
          <w:rFonts w:ascii="宋体" w:hAnsi="宋体"/>
          <w:sz w:val="28"/>
          <w:szCs w:val="28"/>
        </w:rPr>
      </w:pPr>
      <w:r>
        <w:rPr>
          <w:rFonts w:ascii="宋体" w:hAnsi="宋体"/>
          <w:sz w:val="28"/>
          <w:szCs w:val="28"/>
        </w:rPr>
        <w:t>有效的资质证书</w:t>
      </w:r>
      <w:r>
        <w:rPr>
          <w:rFonts w:hint="eastAsia" w:ascii="宋体" w:hAnsi="宋体"/>
          <w:sz w:val="28"/>
          <w:szCs w:val="28"/>
        </w:rPr>
        <w:t>（复印件盖章）；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提供本项目拟任总监理工程师的《总监理工程师简历表》（包括姓名、部门和职务、获得认证资质证书及复印件、主要资历、经验及承担过的项目）和注册执业证书；</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投标人近3年内(2020年1月1日至今)完成过质量合格的类似</w:t>
      </w:r>
      <w:r>
        <w:rPr>
          <w:rFonts w:hint="eastAsia"/>
          <w:sz w:val="28"/>
          <w:szCs w:val="28"/>
        </w:rPr>
        <w:t>机电安装</w:t>
      </w:r>
      <w:r>
        <w:rPr>
          <w:rFonts w:hint="eastAsia" w:ascii="宋体" w:hAnsi="宋体"/>
          <w:sz w:val="28"/>
          <w:szCs w:val="28"/>
        </w:rPr>
        <w:t>工程监理项目业绩（需提供监理合同等相关证明材料复印件）</w:t>
      </w:r>
      <w:r>
        <w:rPr>
          <w:rFonts w:hint="eastAsia"/>
          <w:sz w:val="28"/>
          <w:szCs w:val="28"/>
        </w:rPr>
        <w:t>；</w:t>
      </w:r>
    </w:p>
    <w:p>
      <w:pPr>
        <w:numPr>
          <w:ilvl w:val="0"/>
          <w:numId w:val="2"/>
        </w:numPr>
        <w:spacing w:line="560" w:lineRule="exact"/>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spacing w:line="560" w:lineRule="exact"/>
        <w:ind w:firstLine="560" w:firstLineChars="200"/>
        <w:rPr>
          <w:sz w:val="28"/>
          <w:szCs w:val="28"/>
        </w:rPr>
      </w:pPr>
      <w:r>
        <w:rPr>
          <w:rFonts w:hint="eastAsia"/>
          <w:sz w:val="28"/>
          <w:szCs w:val="28"/>
        </w:rPr>
        <w:t>（二）技术部分（格式自定，加盖公章）</w:t>
      </w:r>
    </w:p>
    <w:p>
      <w:pPr>
        <w:spacing w:line="360" w:lineRule="auto"/>
        <w:ind w:firstLine="708" w:firstLineChars="253"/>
        <w:rPr>
          <w:rFonts w:ascii="宋体" w:hAnsi="宋体"/>
          <w:sz w:val="28"/>
          <w:szCs w:val="28"/>
        </w:rPr>
      </w:pPr>
      <w:r>
        <w:rPr>
          <w:rFonts w:hint="eastAsia" w:ascii="宋体" w:hAnsi="宋体"/>
          <w:sz w:val="28"/>
          <w:szCs w:val="28"/>
        </w:rPr>
        <w:t>监理方案：</w:t>
      </w:r>
      <w:r>
        <w:rPr>
          <w:rFonts w:hint="eastAsia" w:ascii="宋体" w:hAnsi="宋体"/>
          <w:b/>
          <w:sz w:val="28"/>
          <w:szCs w:val="28"/>
        </w:rPr>
        <w:t>监理单位应充分了解现场条件，并针对本项目制定切实可行的</w:t>
      </w:r>
      <w:r>
        <w:rPr>
          <w:rFonts w:hint="eastAsia" w:ascii="宋体" w:hAnsi="宋体"/>
          <w:b/>
          <w:sz w:val="28"/>
          <w:szCs w:val="28"/>
          <w:u w:val="double"/>
        </w:rPr>
        <w:t>监理方案</w:t>
      </w:r>
      <w:r>
        <w:rPr>
          <w:rFonts w:hint="eastAsia" w:ascii="宋体" w:hAnsi="宋体"/>
          <w:sz w:val="28"/>
          <w:szCs w:val="28"/>
        </w:rPr>
        <w:t>，包括但不限于：</w:t>
      </w:r>
    </w:p>
    <w:p>
      <w:pPr>
        <w:spacing w:line="360" w:lineRule="auto"/>
        <w:ind w:firstLine="560"/>
        <w:rPr>
          <w:rFonts w:ascii="宋体" w:hAnsi="宋体"/>
          <w:sz w:val="28"/>
          <w:szCs w:val="28"/>
        </w:rPr>
      </w:pPr>
      <w:r>
        <w:rPr>
          <w:rFonts w:hint="eastAsia" w:ascii="宋体" w:hAnsi="宋体"/>
          <w:sz w:val="28"/>
          <w:szCs w:val="28"/>
        </w:rPr>
        <w:t>1、工程概况；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2、监理</w:t>
      </w:r>
      <w:r>
        <w:rPr>
          <w:rFonts w:asciiTheme="minorEastAsia" w:hAnsiTheme="minorEastAsia" w:eastAsiaTheme="minorEastAsia"/>
          <w:sz w:val="28"/>
          <w:szCs w:val="28"/>
        </w:rPr>
        <w:t>依据</w:t>
      </w:r>
      <w:r>
        <w:rPr>
          <w:rFonts w:hint="eastAsia" w:asciiTheme="minorEastAsia" w:hAnsiTheme="minorEastAsia" w:eastAsiaTheme="minorEastAsia"/>
          <w:sz w:val="28"/>
          <w:szCs w:val="28"/>
        </w:rPr>
        <w:t>（应包括经审定的施工组织设计或施工方案、施工方法等）；</w:t>
      </w:r>
    </w:p>
    <w:p>
      <w:pPr>
        <w:spacing w:line="360" w:lineRule="auto"/>
        <w:ind w:firstLine="560" w:firstLineChars="200"/>
        <w:rPr>
          <w:rFonts w:ascii="宋体" w:hAnsi="宋体"/>
          <w:sz w:val="28"/>
          <w:szCs w:val="28"/>
        </w:rPr>
      </w:pPr>
      <w:r>
        <w:rPr>
          <w:rFonts w:hint="eastAsia" w:ascii="宋体" w:hAnsi="宋体"/>
          <w:sz w:val="28"/>
          <w:szCs w:val="28"/>
        </w:rPr>
        <w:t>3、监理目标的分解；</w:t>
      </w:r>
    </w:p>
    <w:p>
      <w:pPr>
        <w:spacing w:line="360" w:lineRule="auto"/>
        <w:ind w:firstLine="560" w:firstLineChars="200"/>
        <w:rPr>
          <w:rFonts w:ascii="宋体" w:hAnsi="宋体"/>
          <w:sz w:val="28"/>
          <w:szCs w:val="28"/>
        </w:rPr>
      </w:pPr>
      <w:r>
        <w:rPr>
          <w:rFonts w:hint="eastAsia" w:ascii="宋体" w:hAnsi="宋体"/>
          <w:sz w:val="28"/>
          <w:szCs w:val="28"/>
        </w:rPr>
        <w:t>4、监理人员职责的分工及作业计划；</w:t>
      </w:r>
    </w:p>
    <w:p>
      <w:pPr>
        <w:spacing w:line="360" w:lineRule="auto"/>
        <w:ind w:firstLine="560" w:firstLineChars="200"/>
        <w:rPr>
          <w:rFonts w:ascii="宋体" w:hAnsi="宋体"/>
          <w:sz w:val="28"/>
          <w:szCs w:val="28"/>
        </w:rPr>
      </w:pPr>
      <w:r>
        <w:rPr>
          <w:rFonts w:hint="eastAsia" w:ascii="宋体" w:hAnsi="宋体"/>
          <w:sz w:val="28"/>
          <w:szCs w:val="28"/>
        </w:rPr>
        <w:t>5、质量、投资、进度事前事中事后控制及措施；</w:t>
      </w:r>
    </w:p>
    <w:p>
      <w:pPr>
        <w:spacing w:line="360" w:lineRule="auto"/>
        <w:ind w:firstLine="560" w:firstLineChars="200"/>
        <w:rPr>
          <w:rFonts w:ascii="宋体" w:hAnsi="宋体"/>
          <w:sz w:val="28"/>
          <w:szCs w:val="28"/>
        </w:rPr>
      </w:pPr>
      <w:r>
        <w:rPr>
          <w:rFonts w:hint="eastAsia" w:ascii="宋体" w:hAnsi="宋体"/>
          <w:sz w:val="28"/>
          <w:szCs w:val="28"/>
        </w:rPr>
        <w:t>6、重点部位、关键控制点的监理针对措施及隐患控制；</w:t>
      </w:r>
    </w:p>
    <w:p>
      <w:pPr>
        <w:spacing w:line="360" w:lineRule="auto"/>
        <w:ind w:firstLine="560" w:firstLineChars="200"/>
        <w:rPr>
          <w:rFonts w:ascii="宋体" w:hAnsi="宋体"/>
          <w:sz w:val="28"/>
          <w:szCs w:val="28"/>
        </w:rPr>
      </w:pPr>
      <w:r>
        <w:rPr>
          <w:rFonts w:hint="eastAsia" w:ascii="宋体" w:hAnsi="宋体"/>
          <w:sz w:val="28"/>
          <w:szCs w:val="28"/>
        </w:rPr>
        <w:t>7、组织协调及合同，信息管理控制重点及实施细则；</w:t>
      </w:r>
    </w:p>
    <w:p>
      <w:pPr>
        <w:widowControl/>
        <w:spacing w:line="560" w:lineRule="exact"/>
        <w:ind w:firstLine="560" w:firstLineChars="200"/>
        <w:rPr>
          <w:sz w:val="28"/>
          <w:szCs w:val="28"/>
        </w:rPr>
      </w:pPr>
      <w:r>
        <w:rPr>
          <w:rFonts w:hint="eastAsia" w:ascii="宋体" w:hAnsi="宋体"/>
          <w:sz w:val="28"/>
          <w:szCs w:val="28"/>
        </w:rPr>
        <w:t>8、投标人认为其它需要说明的文字。</w:t>
      </w:r>
    </w:p>
    <w:p>
      <w:pPr>
        <w:spacing w:line="560" w:lineRule="exact"/>
        <w:ind w:firstLine="560" w:firstLineChars="200"/>
        <w:rPr>
          <w:sz w:val="28"/>
          <w:szCs w:val="28"/>
        </w:rPr>
      </w:pPr>
      <w:r>
        <w:rPr>
          <w:rFonts w:hint="eastAsia"/>
          <w:sz w:val="28"/>
          <w:szCs w:val="28"/>
        </w:rPr>
        <w:t>（三）价格文件（加盖公章）</w:t>
      </w:r>
    </w:p>
    <w:p>
      <w:pPr>
        <w:numPr>
          <w:ilvl w:val="0"/>
          <w:numId w:val="3"/>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spacing w:line="560" w:lineRule="exact"/>
        <w:ind w:firstLine="562" w:firstLineChars="200"/>
        <w:rPr>
          <w:b/>
          <w:sz w:val="28"/>
          <w:szCs w:val="28"/>
        </w:rPr>
      </w:pPr>
      <w:r>
        <w:rPr>
          <w:rFonts w:hint="eastAsia"/>
          <w:b/>
          <w:sz w:val="28"/>
          <w:szCs w:val="28"/>
        </w:rPr>
        <w:t>七、评标方法</w:t>
      </w:r>
    </w:p>
    <w:p>
      <w:pPr>
        <w:spacing w:line="560" w:lineRule="exact"/>
        <w:ind w:firstLine="480" w:firstLineChars="200"/>
        <w:rPr>
          <w:sz w:val="28"/>
          <w:szCs w:val="28"/>
        </w:rPr>
      </w:pPr>
      <w:r>
        <w:rPr>
          <w:rFonts w:hint="eastAsia" w:ascii="宋体" w:hAnsi="宋体"/>
          <w:sz w:val="24"/>
        </w:rPr>
        <w:t>本项目采用综合评估法，对投标人进行价格、商务、技术和信用评审，其中价格评审部分占60%，商务评审部分占20%（其中供应商诚信部分占2%），技术评审占20%，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八、勘踏现场</w:t>
      </w:r>
    </w:p>
    <w:p>
      <w:pPr>
        <w:spacing w:line="56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u w:val="single"/>
        </w:rPr>
        <w:t>20</w:t>
      </w:r>
      <w:r>
        <w:rPr>
          <w:color w:val="FF0000"/>
          <w:sz w:val="28"/>
          <w:szCs w:val="28"/>
          <w:u w:val="single"/>
        </w:rPr>
        <w:t>2</w:t>
      </w:r>
      <w:r>
        <w:rPr>
          <w:rFonts w:hint="eastAsia"/>
          <w:color w:val="FF0000"/>
          <w:sz w:val="28"/>
          <w:szCs w:val="28"/>
          <w:u w:val="single"/>
        </w:rPr>
        <w:t>3年</w:t>
      </w:r>
      <w:r>
        <w:rPr>
          <w:rFonts w:hint="eastAsia"/>
          <w:color w:val="FF0000"/>
          <w:sz w:val="28"/>
          <w:szCs w:val="28"/>
          <w:u w:val="single"/>
          <w:lang w:val="en-US" w:eastAsia="zh-CN"/>
        </w:rPr>
        <w:t>8</w:t>
      </w:r>
      <w:r>
        <w:rPr>
          <w:rFonts w:hint="eastAsia"/>
          <w:color w:val="FF0000"/>
          <w:sz w:val="28"/>
          <w:szCs w:val="28"/>
          <w:u w:val="single"/>
        </w:rPr>
        <w:t>月</w:t>
      </w:r>
      <w:r>
        <w:rPr>
          <w:rFonts w:hint="eastAsia"/>
          <w:color w:val="FF0000"/>
          <w:sz w:val="28"/>
          <w:szCs w:val="28"/>
          <w:u w:val="single"/>
          <w:lang w:val="en-US" w:eastAsia="zh-CN"/>
        </w:rPr>
        <w:t>2</w:t>
      </w:r>
      <w:bookmarkStart w:id="1" w:name="_GoBack"/>
      <w:bookmarkEnd w:id="1"/>
      <w:r>
        <w:rPr>
          <w:rFonts w:hint="eastAsia"/>
          <w:color w:val="FF0000"/>
          <w:sz w:val="28"/>
          <w:szCs w:val="28"/>
          <w:u w:val="single"/>
        </w:rPr>
        <w:t>日10:00时</w:t>
      </w:r>
      <w:r>
        <w:rPr>
          <w:rFonts w:hint="eastAsia"/>
          <w:sz w:val="28"/>
          <w:szCs w:val="28"/>
        </w:rPr>
        <w:t>，集中地点：广州市番禺区大学城明志街1号信息枢纽楼一楼西门。勘踏现场联系人郑工，联系电话：</w:t>
      </w:r>
      <w:r>
        <w:rPr>
          <w:sz w:val="28"/>
          <w:szCs w:val="28"/>
        </w:rPr>
        <w:t>020-393020</w:t>
      </w:r>
      <w:r>
        <w:rPr>
          <w:rFonts w:hint="eastAsia"/>
          <w:sz w:val="28"/>
          <w:szCs w:val="28"/>
        </w:rPr>
        <w:t>54。投标人未在规定时间勘踏现场的，甲方不再另行组织，由投标人自行前往勘踏。</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九、递交投标文件</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（一）投标文件纸质文件一式一份，盖章扫描件电子版一份。纸质文件递交截止时间：</w:t>
      </w:r>
      <w:r>
        <w:rPr>
          <w:rFonts w:hint="eastAsia" w:ascii="宋体" w:hAnsi="宋体" w:cs="Arial"/>
          <w:color w:val="FF0000"/>
          <w:sz w:val="28"/>
          <w:szCs w:val="28"/>
          <w:u w:val="single"/>
        </w:rPr>
        <w:t>2023年</w:t>
      </w:r>
      <w:r>
        <w:rPr>
          <w:rFonts w:hint="eastAsia" w:ascii="宋体" w:hAnsi="宋体" w:cs="Arial"/>
          <w:color w:val="FF0000"/>
          <w:sz w:val="28"/>
          <w:szCs w:val="28"/>
          <w:u w:val="single"/>
          <w:lang w:val="en-US" w:eastAsia="zh-CN"/>
        </w:rPr>
        <w:t>8</w:t>
      </w:r>
      <w:r>
        <w:rPr>
          <w:rFonts w:hint="eastAsia" w:ascii="宋体" w:hAnsi="宋体" w:cs="Arial"/>
          <w:color w:val="FF0000"/>
          <w:sz w:val="28"/>
          <w:szCs w:val="28"/>
          <w:u w:val="single"/>
        </w:rPr>
        <w:t>月</w:t>
      </w:r>
      <w:r>
        <w:rPr>
          <w:rFonts w:hint="eastAsia" w:ascii="宋体" w:hAnsi="宋体" w:cs="Arial"/>
          <w:color w:val="FF0000"/>
          <w:sz w:val="28"/>
          <w:szCs w:val="28"/>
          <w:u w:val="single"/>
          <w:lang w:val="en-US" w:eastAsia="zh-CN"/>
        </w:rPr>
        <w:t>7</w:t>
      </w:r>
      <w:r>
        <w:rPr>
          <w:rFonts w:hint="eastAsia" w:ascii="宋体" w:hAnsi="宋体" w:cs="Arial"/>
          <w:color w:val="FF0000"/>
          <w:sz w:val="28"/>
          <w:szCs w:val="28"/>
          <w:u w:val="single"/>
        </w:rPr>
        <w:t>日</w:t>
      </w:r>
      <w:r>
        <w:rPr>
          <w:rFonts w:hint="eastAsia" w:ascii="宋体" w:hAnsi="宋体" w:cs="Arial"/>
          <w:color w:val="FF0000"/>
          <w:sz w:val="28"/>
          <w:szCs w:val="28"/>
        </w:rPr>
        <w:t>15时00分</w:t>
      </w:r>
      <w:r>
        <w:rPr>
          <w:rFonts w:hint="eastAsia" w:ascii="宋体" w:hAnsi="宋体" w:cs="Arial"/>
          <w:color w:val="000000"/>
          <w:sz w:val="28"/>
          <w:szCs w:val="28"/>
        </w:rPr>
        <w:t>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番禺区计算科学与大数据产业园配套供冷供热项目（地块一、四板换间）施工总承包项目监理采购”字样。电子版可随纸质文件一同投递，或在截标后24小时内以电子邮件方式投递到邮箱：</w:t>
      </w:r>
      <w:r>
        <w:fldChar w:fldCharType="begin"/>
      </w:r>
      <w:r>
        <w:instrText xml:space="preserve"> HYPERLINK "mailto:328062345@qq.com。投标供应商递交投标文件后，请联系采购人确认。" </w:instrText>
      </w:r>
      <w:r>
        <w:fldChar w:fldCharType="separate"/>
      </w:r>
      <w:r>
        <w:rPr>
          <w:rFonts w:hint="eastAsia" w:ascii="宋体" w:hAnsi="宋体" w:cs="Arial"/>
          <w:color w:val="000000"/>
          <w:sz w:val="28"/>
          <w:szCs w:val="28"/>
        </w:rPr>
        <w:t>328062345@qq.com。投标供应商递交投标文件后，请联系采购人确认。</w:t>
      </w:r>
      <w:r>
        <w:rPr>
          <w:rFonts w:hint="eastAsia" w:ascii="宋体" w:hAnsi="宋体" w:cs="Arial"/>
          <w:color w:val="000000"/>
          <w:sz w:val="28"/>
          <w:szCs w:val="28"/>
        </w:rPr>
        <w:fldChar w:fldCharType="end"/>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（二）投标文件逾期递交、未送达指定地点的、或未按要求密封的，采购人有权不予受理。</w:t>
      </w:r>
    </w:p>
    <w:p>
      <w:pPr>
        <w:spacing w:line="560" w:lineRule="exact"/>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w:t>
      </w:r>
      <w:r>
        <w:rPr>
          <w:rFonts w:hint="eastAsia" w:ascii="宋体" w:hAnsi="宋体" w:cs="Arial"/>
          <w:color w:val="000000"/>
          <w:sz w:val="28"/>
          <w:szCs w:val="28"/>
        </w:rPr>
        <w:t>本竞选文件在广州城投综合能源投资经营管理有限公司网站（网址：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w:t>
      </w:r>
      <w:r>
        <w:rPr>
          <w:rFonts w:hint="eastAsia" w:cs="宋体" w:asciiTheme="minorEastAsia" w:hAnsiTheme="minorEastAsia"/>
          <w:color w:val="000000"/>
          <w:sz w:val="28"/>
          <w:szCs w:val="28"/>
        </w:rPr>
        <w:t>、</w:t>
      </w:r>
      <w:r>
        <w:rPr>
          <w:rFonts w:hint="eastAsia" w:ascii="宋体" w:hAnsi="宋体" w:cs="Arial"/>
          <w:color w:val="000000"/>
          <w:sz w:val="28"/>
          <w:szCs w:val="28"/>
        </w:rPr>
        <w:t>广州国企阳光采购服务平台（http://ygcg.gzggzy.cn）同时发布。本竞选文件在各媒体发布的文本如有不同之处，以在广州城投综合能源投资经营管理有限公司网站发布的文本为准。</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十一、采购人地址和联系方式</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采购人：广州城投综合能源投资经营管理有限公司</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联系人：詹工</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w:t>
      </w:r>
      <w:r>
        <w:rPr>
          <w:rFonts w:hint="eastAsia" w:ascii="宋体" w:hAnsi="宋体" w:cs="Arial"/>
          <w:color w:val="000000"/>
          <w:sz w:val="28"/>
          <w:szCs w:val="28"/>
        </w:rPr>
        <w:t>7</w:t>
      </w:r>
    </w:p>
    <w:p>
      <w:pPr>
        <w:spacing w:line="560" w:lineRule="exact"/>
        <w:rPr>
          <w:rFonts w:ascii="宋体" w:hAnsi="宋体" w:cs="Arial"/>
          <w:color w:val="000000"/>
          <w:sz w:val="28"/>
          <w:szCs w:val="28"/>
        </w:rPr>
      </w:pPr>
      <w:r>
        <w:rPr>
          <w:rFonts w:hint="eastAsia" w:ascii="宋体" w:hAnsi="宋体" w:cs="Arial"/>
          <w:color w:val="000000"/>
          <w:sz w:val="28"/>
          <w:szCs w:val="28"/>
        </w:rPr>
        <w:t>附件：1、报价一览表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7、评分细则</w:t>
      </w:r>
    </w:p>
    <w:p>
      <w:pPr>
        <w:pStyle w:val="5"/>
        <w:spacing w:line="560" w:lineRule="exact"/>
        <w:ind w:left="0" w:leftChars="0" w:right="1120"/>
        <w:jc w:val="right"/>
        <w:rPr>
          <w:sz w:val="28"/>
          <w:szCs w:val="28"/>
        </w:rPr>
      </w:pPr>
      <w:r>
        <w:rPr>
          <w:rFonts w:hint="eastAsia"/>
          <w:sz w:val="28"/>
          <w:szCs w:val="28"/>
        </w:rPr>
        <w:t>采购人：广州城投综合能源投资经营管理有限公司</w:t>
      </w:r>
    </w:p>
    <w:p>
      <w:pPr>
        <w:spacing w:line="560" w:lineRule="exact"/>
        <w:ind w:firstLine="4760" w:firstLineChars="1700"/>
        <w:rPr>
          <w:sz w:val="28"/>
          <w:szCs w:val="28"/>
        </w:rPr>
      </w:pPr>
      <w:r>
        <w:rPr>
          <w:rFonts w:hint="eastAsia"/>
          <w:sz w:val="28"/>
          <w:szCs w:val="28"/>
        </w:rPr>
        <w:t>20</w:t>
      </w:r>
      <w:r>
        <w:rPr>
          <w:sz w:val="28"/>
          <w:szCs w:val="28"/>
        </w:rPr>
        <w:t>2</w:t>
      </w:r>
      <w:r>
        <w:rPr>
          <w:rFonts w:hint="eastAsia"/>
          <w:sz w:val="28"/>
          <w:szCs w:val="28"/>
        </w:rPr>
        <w:t>3年7月</w:t>
      </w:r>
      <w:r>
        <w:rPr>
          <w:rFonts w:hint="eastAsia"/>
          <w:sz w:val="28"/>
          <w:szCs w:val="28"/>
          <w:lang w:val="en-US" w:eastAsia="zh-CN"/>
        </w:rPr>
        <w:t>31</w:t>
      </w:r>
      <w:r>
        <w:rPr>
          <w:rFonts w:hint="eastAsia"/>
          <w:sz w:val="28"/>
          <w:szCs w:val="28"/>
        </w:rPr>
        <w:t>日</w:t>
      </w: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Ansi="宋体"/>
          <w:szCs w:val="21"/>
        </w:rPr>
      </w:pPr>
      <w:r>
        <w:rPr>
          <w:rFonts w:hint="eastAsia" w:hAnsi="宋体"/>
          <w:szCs w:val="21"/>
        </w:rPr>
        <w:t>项目名称：番禺区计算科学与大数据产业园配套供冷供热项目（地块一、四板换间）施工总承包项目监理采购</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投标费率</w:t>
            </w:r>
          </w:p>
          <w:p>
            <w:pPr>
              <w:rPr>
                <w:rFonts w:hAnsi="宋体"/>
                <w:sz w:val="24"/>
              </w:rPr>
            </w:pPr>
            <w:r>
              <w:rPr>
                <w:rFonts w:hint="eastAsia" w:ascii="宋体" w:hAnsi="宋体"/>
                <w:sz w:val="24"/>
              </w:rPr>
              <w:t>（投标费率=投标报价/项目招标控制价×100%）</w:t>
            </w:r>
          </w:p>
        </w:tc>
        <w:tc>
          <w:tcPr>
            <w:tcW w:w="5996" w:type="dxa"/>
            <w:gridSpan w:val="2"/>
            <w:vAlign w:val="center"/>
          </w:tcPr>
          <w:p>
            <w:pPr>
              <w:rPr>
                <w:rFonts w:hAnsi="宋体"/>
                <w:sz w:val="24"/>
              </w:rPr>
            </w:pPr>
            <w:r>
              <w:rPr>
                <w:rFonts w:hint="eastAsia" w:asciiTheme="minorEastAsia" w:hAnsiTheme="minorEastAsia"/>
                <w:sz w:val="24"/>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（2）投标总价应包括投标人完成本项目（如果中标）所必须的所有成本费用和投标人应承担的一切税费，包括但不限于全部人工费、材料、成果资料制作、交通、差旅费、利润</w:t>
      </w:r>
      <w:r>
        <w:rPr>
          <w:rFonts w:hAnsi="宋体"/>
        </w:rPr>
        <w:t>及税费</w:t>
      </w:r>
      <w:r>
        <w:rPr>
          <w:rFonts w:hint="eastAsia" w:hAnsi="宋体"/>
        </w:rPr>
        <w:t>等完成项目内容所需的全部费用。投标人认为需要发生的其他相关服务等等。</w:t>
      </w:r>
    </w:p>
    <w:p>
      <w:pPr>
        <w:spacing w:line="360" w:lineRule="auto"/>
        <w:ind w:firstLine="420" w:firstLineChars="200"/>
        <w:rPr>
          <w:rFonts w:hAnsi="宋体"/>
        </w:rPr>
      </w:pPr>
      <w:r>
        <w:rPr>
          <w:rFonts w:hint="eastAsia" w:hAnsi="宋体"/>
        </w:rPr>
        <w:t>（3）若用小写表示的金额和用大写表示的金额不一致，以大写表示的金额为准。</w:t>
      </w:r>
    </w:p>
    <w:p>
      <w:pPr>
        <w:spacing w:line="360" w:lineRule="auto"/>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 xml:space="preserve">日期：2023年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项目名称：番禺区计算科学与大数据产业园配套供冷供热项目（地块一、四板换间）施工总承包项目监理采购</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日期：2023年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Ansi="宋体" w:cs="宋体"/>
          <w:sz w:val="28"/>
          <w:szCs w:val="28"/>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广州城投综合能源投资经营管理有限公司</w:t>
      </w:r>
      <w:r>
        <w:rPr>
          <w:rFonts w:hint="eastAsia" w:hAnsi="宋体"/>
          <w:sz w:val="24"/>
          <w:szCs w:val="24"/>
        </w:rPr>
        <w:t>组织的“</w:t>
      </w:r>
      <w:r>
        <w:rPr>
          <w:rFonts w:hint="eastAsia" w:hAnsi="宋体"/>
          <w:sz w:val="24"/>
          <w:szCs w:val="24"/>
          <w:u w:val="single"/>
        </w:rPr>
        <w:t>番禺区计算科学与大数据产业园配套供冷供热项目（地块一、四板换间）施工总承包项目监理采购</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宋体" w:hAnsi="宋体" w:cs="宋体"/>
          <w:kern w:val="0"/>
          <w:szCs w:val="21"/>
        </w:rPr>
        <w:t>番禺区计算科学与大数据产业园配套供冷供热项目（地块一、四板换间）施工总承包项目监理采购</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szCs w:val="21"/>
              </w:rPr>
              <w:t>具备工程监理综合资质或机电安装工程监理乙级或以上资质（复印件盖章）</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4</w:t>
            </w:r>
          </w:p>
        </w:tc>
        <w:tc>
          <w:tcPr>
            <w:tcW w:w="6509" w:type="dxa"/>
            <w:vAlign w:val="center"/>
          </w:tcPr>
          <w:p>
            <w:pPr>
              <w:rPr>
                <w:rFonts w:ascii="宋体" w:hAnsi="宋体" w:cs="宋体"/>
                <w:szCs w:val="21"/>
              </w:rPr>
            </w:pPr>
            <w:r>
              <w:rPr>
                <w:rFonts w:hint="eastAsia" w:ascii="宋体" w:hAnsi="宋体" w:cs="宋体"/>
                <w:szCs w:val="21"/>
              </w:rPr>
              <w:t>投标人近3年内(2020年1月1日至今)完成过质量合格的类似机电安装工程监理项目业绩，需提供合同等相关证明材料复印件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rPr>
        <w:t>3年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ascii="宋体" w:hAnsi="宋体"/>
          <w:bCs/>
          <w:szCs w:val="21"/>
        </w:rPr>
      </w:pPr>
      <w:r>
        <w:rPr>
          <w:rFonts w:hint="eastAsia" w:ascii="宋体" w:hAnsi="宋体"/>
          <w:bCs/>
          <w:szCs w:val="21"/>
        </w:rPr>
        <w:t>项目名称：番禺区计算科学与大数据产业园配套供冷供热项目（地块一、四板换间）施工总承包项目监理采购</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spacing w:line="360" w:lineRule="auto"/>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spacing w:line="360" w:lineRule="auto"/>
              <w:rPr>
                <w:szCs w:val="21"/>
              </w:rPr>
            </w:pPr>
            <w:r>
              <w:rPr>
                <w:rFonts w:hint="eastAsia" w:ascii="宋体" w:hAnsi="宋体" w:cs="宋体"/>
                <w:szCs w:val="21"/>
              </w:rPr>
              <w:t>方案未响应竞选文件中已明确必须要作实质性响应的内容；</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spacing w:line="360" w:lineRule="auto"/>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spacing w:line="360" w:lineRule="auto"/>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sectPr>
          <w:footerReference r:id="rId3" w:type="default"/>
          <w:pgSz w:w="11906" w:h="16838"/>
          <w:pgMar w:top="1134" w:right="1418" w:bottom="1134" w:left="1418" w:header="851" w:footer="992" w:gutter="0"/>
          <w:cols w:space="720" w:num="1"/>
          <w:docGrid w:type="lines" w:linePitch="312" w:charSpace="0"/>
        </w:sectPr>
      </w:pPr>
      <w:r>
        <w:rPr>
          <w:rFonts w:hint="eastAsia" w:ascii="宋体" w:hAnsi="宋体"/>
          <w:bCs/>
          <w:szCs w:val="21"/>
        </w:rPr>
        <w:t>日 期：</w:t>
      </w:r>
      <w:r>
        <w:rPr>
          <w:rFonts w:ascii="宋体" w:hAnsi="宋体"/>
          <w:szCs w:val="21"/>
        </w:rPr>
        <w:t>202</w:t>
      </w:r>
      <w:r>
        <w:rPr>
          <w:rFonts w:hint="eastAsia" w:ascii="宋体" w:hAnsi="宋体"/>
          <w:szCs w:val="21"/>
        </w:rPr>
        <w:t>3年   月   日</w:t>
      </w:r>
    </w:p>
    <w:p>
      <w:pPr>
        <w:spacing w:line="360" w:lineRule="auto"/>
        <w:rPr>
          <w:rFonts w:ascii="宋体" w:hAnsi="宋体"/>
          <w:sz w:val="24"/>
        </w:rPr>
      </w:pPr>
      <w:r>
        <w:rPr>
          <w:rFonts w:hint="eastAsia" w:ascii="宋体" w:hAnsi="宋体"/>
          <w:sz w:val="32"/>
        </w:rPr>
        <w:t>附件7</w:t>
      </w:r>
      <w:r>
        <w:rPr>
          <w:rFonts w:hint="eastAsia" w:ascii="宋体" w:hAnsi="宋体"/>
          <w:sz w:val="32"/>
        </w:rPr>
        <w:tab/>
      </w: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tbl>
      <w:tblPr>
        <w:tblStyle w:val="15"/>
        <w:tblW w:w="9356" w:type="dxa"/>
        <w:tblInd w:w="0" w:type="dxa"/>
        <w:tblLayout w:type="fixed"/>
        <w:tblCellMar>
          <w:top w:w="0" w:type="dxa"/>
          <w:left w:w="108" w:type="dxa"/>
          <w:bottom w:w="0" w:type="dxa"/>
          <w:right w:w="108" w:type="dxa"/>
        </w:tblCellMar>
      </w:tblPr>
      <w:tblGrid>
        <w:gridCol w:w="1101"/>
        <w:gridCol w:w="1642"/>
        <w:gridCol w:w="626"/>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bookmarkStart w:id="0" w:name="_Hlk4405241"/>
            <w:r>
              <w:rPr>
                <w:rFonts w:hint="eastAsia" w:ascii="宋体" w:hAnsi="宋体" w:cs="宋体"/>
                <w:b/>
                <w:color w:val="000000"/>
                <w:kern w:val="0"/>
                <w:sz w:val="18"/>
                <w:szCs w:val="18"/>
              </w:rPr>
              <w:t>评审大项</w:t>
            </w:r>
          </w:p>
        </w:tc>
        <w:tc>
          <w:tcPr>
            <w:tcW w:w="16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评审内容</w:t>
            </w:r>
          </w:p>
        </w:tc>
        <w:tc>
          <w:tcPr>
            <w:tcW w:w="62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商务部分</w:t>
            </w:r>
          </w:p>
          <w:p>
            <w:pPr>
              <w:jc w:val="center"/>
              <w:rPr>
                <w:rFonts w:ascii="宋体" w:hAnsi="宋体" w:cs="宋体"/>
                <w:color w:val="000000"/>
                <w:kern w:val="0"/>
                <w:sz w:val="18"/>
                <w:szCs w:val="18"/>
              </w:rPr>
            </w:pPr>
            <w:r>
              <w:rPr>
                <w:rFonts w:hint="eastAsia" w:ascii="宋体" w:hAnsi="宋体" w:cs="宋体"/>
                <w:color w:val="000000"/>
                <w:kern w:val="0"/>
                <w:sz w:val="18"/>
                <w:szCs w:val="18"/>
              </w:rPr>
              <w:t>（20分）</w:t>
            </w:r>
          </w:p>
        </w:tc>
        <w:tc>
          <w:tcPr>
            <w:tcW w:w="16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采购人供应商管理系统查到的分值</w:t>
            </w:r>
          </w:p>
        </w:tc>
        <w:tc>
          <w:tcPr>
            <w:tcW w:w="626" w:type="dxa"/>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类似业绩</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8</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bCs/>
                <w:kern w:val="0"/>
                <w:sz w:val="18"/>
                <w:szCs w:val="18"/>
                <w:lang w:bidi="en-US"/>
              </w:rPr>
            </w:pPr>
            <w:r>
              <w:rPr>
                <w:rFonts w:hint="eastAsia" w:ascii="宋体" w:hAnsi="宋体"/>
                <w:bCs/>
                <w:kern w:val="0"/>
                <w:sz w:val="18"/>
                <w:szCs w:val="18"/>
                <w:lang w:bidi="en-US"/>
              </w:rPr>
              <w:t>自2020年1月1日至投标截止日前，投标人参与</w:t>
            </w:r>
            <w:r>
              <w:rPr>
                <w:rFonts w:hint="eastAsia" w:ascii="宋体" w:hAnsi="宋体" w:cs="宋体"/>
                <w:szCs w:val="21"/>
              </w:rPr>
              <w:t>类似机电安装工程</w:t>
            </w:r>
            <w:r>
              <w:rPr>
                <w:rFonts w:hint="eastAsia" w:ascii="宋体" w:hAnsi="宋体"/>
                <w:bCs/>
                <w:kern w:val="0"/>
                <w:sz w:val="18"/>
                <w:szCs w:val="18"/>
                <w:lang w:bidi="en-US"/>
              </w:rPr>
              <w:t>项目业绩，每一个项目得1分，本项最高得8分。需提供合同复印件。</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lang w:bidi="en-US"/>
              </w:rPr>
              <w:t>总监理工程师资历</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lang w:bidi="en-US"/>
              </w:rPr>
              <w:t>6</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lang w:bidi="en-US"/>
              </w:rPr>
              <w:t>1、总监理工程师具有</w:t>
            </w:r>
            <w:r>
              <w:rPr>
                <w:rFonts w:hint="eastAsia" w:ascii="宋体" w:hAnsi="宋体" w:cs="宋体"/>
                <w:kern w:val="0"/>
                <w:sz w:val="18"/>
                <w:szCs w:val="18"/>
              </w:rPr>
              <w:t>机电安装工程注册监理工程师证书得2分；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2、具有中级职称的得1分；具有高级职称的得2分。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3、总监理工程师担任500万以上机电安装工程总监三次以上（含3次），得2分。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 xml:space="preserve"> 注：必须为投标单位人员，提供职称证书、合同复印件，否则不予计分。本项最高得6分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sz w:val="18"/>
                <w:szCs w:val="18"/>
              </w:rPr>
            </w:pPr>
            <w:r>
              <w:rPr>
                <w:rFonts w:hint="eastAsia" w:ascii="宋体" w:hAnsi="宋体" w:cs="宋体"/>
                <w:kern w:val="0"/>
                <w:sz w:val="18"/>
                <w:szCs w:val="18"/>
              </w:rPr>
              <w:t>驻场监理人员资历</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lang w:bidi="en-US"/>
              </w:rPr>
              <w:t>4</w:t>
            </w:r>
          </w:p>
        </w:tc>
        <w:tc>
          <w:tcPr>
            <w:tcW w:w="5987" w:type="dxa"/>
            <w:tcBorders>
              <w:top w:val="nil"/>
              <w:left w:val="nil"/>
              <w:bottom w:val="single" w:color="auto" w:sz="4" w:space="0"/>
              <w:right w:val="single" w:color="auto" w:sz="4" w:space="0"/>
            </w:tcBorders>
          </w:tcPr>
          <w:p>
            <w:pPr>
              <w:widowControl/>
              <w:numPr>
                <w:ilvl w:val="0"/>
                <w:numId w:val="6"/>
              </w:numPr>
              <w:ind w:firstLine="360" w:firstLineChars="200"/>
              <w:jc w:val="left"/>
              <w:rPr>
                <w:rFonts w:ascii="宋体" w:hAnsi="宋体" w:cs="宋体"/>
                <w:kern w:val="0"/>
                <w:sz w:val="18"/>
                <w:szCs w:val="18"/>
              </w:rPr>
            </w:pPr>
            <w:r>
              <w:rPr>
                <w:rFonts w:hint="eastAsia" w:ascii="宋体" w:hAnsi="宋体" w:cs="宋体"/>
                <w:kern w:val="0"/>
                <w:sz w:val="18"/>
                <w:szCs w:val="18"/>
              </w:rPr>
              <w:t>驻场监理人员具有机电监理工程师证书得1分。</w:t>
            </w:r>
          </w:p>
          <w:p>
            <w:pPr>
              <w:widowControl/>
              <w:numPr>
                <w:ilvl w:val="0"/>
                <w:numId w:val="6"/>
              </w:numPr>
              <w:ind w:firstLine="360" w:firstLineChars="200"/>
              <w:jc w:val="left"/>
              <w:rPr>
                <w:rFonts w:ascii="宋体" w:hAnsi="宋体" w:cs="宋体"/>
                <w:kern w:val="0"/>
                <w:sz w:val="18"/>
                <w:szCs w:val="18"/>
              </w:rPr>
            </w:pPr>
            <w:r>
              <w:rPr>
                <w:rFonts w:hint="eastAsia" w:ascii="宋体" w:hAnsi="宋体" w:cs="宋体"/>
                <w:kern w:val="0"/>
                <w:sz w:val="18"/>
                <w:szCs w:val="18"/>
              </w:rPr>
              <w:t>驻场监理人员具有中级职称或以上得1分；</w:t>
            </w:r>
          </w:p>
          <w:p>
            <w:pPr>
              <w:widowControl/>
              <w:numPr>
                <w:ilvl w:val="0"/>
                <w:numId w:val="6"/>
              </w:numPr>
              <w:ind w:firstLine="360" w:firstLineChars="200"/>
              <w:jc w:val="left"/>
              <w:rPr>
                <w:rFonts w:ascii="宋体" w:hAnsi="宋体" w:cs="宋体"/>
                <w:kern w:val="0"/>
                <w:sz w:val="18"/>
                <w:szCs w:val="18"/>
              </w:rPr>
            </w:pPr>
            <w:r>
              <w:rPr>
                <w:rFonts w:hint="eastAsia" w:ascii="宋体" w:hAnsi="宋体" w:cs="宋体"/>
                <w:kern w:val="0"/>
                <w:sz w:val="18"/>
                <w:szCs w:val="18"/>
              </w:rPr>
              <w:t>驻场监理人员担任500万以上机电安装工程监理人员三次以上（含3次），得2分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 xml:space="preserve">  注：必须为投标单位人员，提供职称证书、合同复印件，否则不予计分。本项最高得4分。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技术部分</w:t>
            </w:r>
          </w:p>
          <w:p>
            <w:pPr>
              <w:widowControl/>
              <w:jc w:val="center"/>
              <w:rPr>
                <w:rFonts w:ascii="宋体" w:hAnsi="宋体" w:cs="宋体"/>
                <w:kern w:val="0"/>
                <w:sz w:val="18"/>
                <w:szCs w:val="18"/>
              </w:rPr>
            </w:pPr>
            <w:r>
              <w:rPr>
                <w:rFonts w:hint="eastAsia" w:ascii="宋体" w:hAnsi="宋体" w:cs="宋体"/>
                <w:kern w:val="0"/>
                <w:sz w:val="18"/>
                <w:szCs w:val="18"/>
              </w:rPr>
              <w:t>（20分）</w:t>
            </w:r>
          </w:p>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对项目整理理解与分析</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4</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 xml:space="preserve">  综合考虑投标人针对采购需求所提供的项目理解与分析方案，包括但不限于项目背景、项目重难点等。</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项目分析具有针对性、熟悉项目相关丁管理要求、对需求理解深入、重难点分析全面到位并能提出完善的解决方案，方案优得4分；良得 3分；一般得1分；差不得分；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质量、进度、造价、安全监理措施（11分）</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11</w:t>
            </w:r>
          </w:p>
        </w:tc>
        <w:tc>
          <w:tcPr>
            <w:tcW w:w="5987" w:type="dxa"/>
            <w:tcBorders>
              <w:top w:val="nil"/>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 xml:space="preserve">   1、质量控制措施：要求目标明确、方法合理可行、措施具体、针对性强。方案为优得3分；良得 2分；一般得1分；差不得分；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2、进度控制措施：要求目标明确、方法合理可行、措施具体、针对性强。方案为优得3分；良得2分；一般得1分；差不得分；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3、投资控制措施：要求目标明确、方法合理可行、措施具体、针对性强。方案为优得3分；良得 2分；一般得1分；差不得分；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4、安全、文明施工管理：安全、文明施工管理。方案为优得2分；良得 1分；一般得0.5分；差不得分。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合同、信息管理方案）</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2</w:t>
            </w:r>
          </w:p>
        </w:tc>
        <w:tc>
          <w:tcPr>
            <w:tcW w:w="5987" w:type="dxa"/>
            <w:tcBorders>
              <w:top w:val="nil"/>
              <w:left w:val="nil"/>
              <w:bottom w:val="single" w:color="auto" w:sz="4" w:space="0"/>
              <w:right w:val="single" w:color="auto" w:sz="4" w:space="0"/>
            </w:tcBorders>
            <w:shd w:val="clear" w:color="auto" w:fill="FFFFFF"/>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合同管理、信息管理方法、针对性强、措施具体、针对性强。方案为优得2分；良得1分；一般得0.5分；差不得分；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监理组织协调内容及措施</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3</w:t>
            </w:r>
          </w:p>
        </w:tc>
        <w:tc>
          <w:tcPr>
            <w:tcW w:w="5987" w:type="dxa"/>
            <w:tcBorders>
              <w:top w:val="nil"/>
              <w:left w:val="nil"/>
              <w:bottom w:val="single" w:color="auto" w:sz="4" w:space="0"/>
              <w:right w:val="single" w:color="auto" w:sz="4" w:space="0"/>
            </w:tcBorders>
            <w:shd w:val="clear" w:color="auto" w:fill="FFFFFF"/>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协调方法清晰合理，有具体措施。方案优得3分；良得 2分；一般得1分；差不得分；；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价格部分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（60分）</w:t>
            </w:r>
          </w:p>
        </w:tc>
        <w:tc>
          <w:tcPr>
            <w:tcW w:w="1642"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报价</w:t>
            </w:r>
          </w:p>
        </w:tc>
        <w:tc>
          <w:tcPr>
            <w:tcW w:w="626"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60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通过价格标有效性审查的投标人中，投标人报价的最低价为评标基准价，通过价格有效性审查的各投标人的价格评分统一按照下列公式计算：</w:t>
            </w:r>
          </w:p>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价格评分＝评标基准价÷投标人评标报价×60。</w:t>
            </w:r>
          </w:p>
        </w:tc>
      </w:tr>
      <w:bookmarkEnd w:id="0"/>
    </w:tbl>
    <w:p>
      <w:pPr>
        <w:widowControl/>
        <w:jc w:val="left"/>
        <w:rPr>
          <w:rFonts w:ascii="宋体" w:hAnsi="宋体" w:cs="宋体"/>
          <w:color w:val="000000"/>
          <w:szCs w:val="21"/>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EF0B5"/>
    <w:multiLevelType w:val="singleLevel"/>
    <w:tmpl w:val="C81EF0B5"/>
    <w:lvl w:ilvl="0" w:tentative="0">
      <w:start w:val="1"/>
      <w:numFmt w:val="decimal"/>
      <w:suff w:val="space"/>
      <w:lvlText w:val="%1、"/>
      <w:lvlJc w:val="left"/>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3BAB3CB0"/>
    <w:multiLevelType w:val="multilevel"/>
    <w:tmpl w:val="3BAB3C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2DE5B4"/>
    <w:multiLevelType w:val="singleLevel"/>
    <w:tmpl w:val="572DE5B4"/>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3A17"/>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0F2B94"/>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4EF1"/>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2B4"/>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13071"/>
    <w:rsid w:val="00426155"/>
    <w:rsid w:val="004469BA"/>
    <w:rsid w:val="00453ADF"/>
    <w:rsid w:val="00456BC1"/>
    <w:rsid w:val="004600DA"/>
    <w:rsid w:val="00465657"/>
    <w:rsid w:val="00466D81"/>
    <w:rsid w:val="00467CAD"/>
    <w:rsid w:val="00470262"/>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0213"/>
    <w:rsid w:val="00576B93"/>
    <w:rsid w:val="005772A9"/>
    <w:rsid w:val="00585285"/>
    <w:rsid w:val="00591CA4"/>
    <w:rsid w:val="00592951"/>
    <w:rsid w:val="00594424"/>
    <w:rsid w:val="005969FB"/>
    <w:rsid w:val="005B1222"/>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0B9D"/>
    <w:rsid w:val="006567A6"/>
    <w:rsid w:val="00666B5D"/>
    <w:rsid w:val="00690C78"/>
    <w:rsid w:val="00694033"/>
    <w:rsid w:val="006A3B53"/>
    <w:rsid w:val="006B2E51"/>
    <w:rsid w:val="006B3551"/>
    <w:rsid w:val="006B36E7"/>
    <w:rsid w:val="006B643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53B8E"/>
    <w:rsid w:val="00763505"/>
    <w:rsid w:val="007672D2"/>
    <w:rsid w:val="00776700"/>
    <w:rsid w:val="00782A7C"/>
    <w:rsid w:val="007867D3"/>
    <w:rsid w:val="00786B2B"/>
    <w:rsid w:val="007A0E9C"/>
    <w:rsid w:val="007A2D85"/>
    <w:rsid w:val="007A3422"/>
    <w:rsid w:val="007A7F23"/>
    <w:rsid w:val="007B4B95"/>
    <w:rsid w:val="007C04CE"/>
    <w:rsid w:val="007C0EC0"/>
    <w:rsid w:val="007C1005"/>
    <w:rsid w:val="007C3669"/>
    <w:rsid w:val="007C3F99"/>
    <w:rsid w:val="007D7DD0"/>
    <w:rsid w:val="007D7E21"/>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22F4"/>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268F4"/>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0DE3"/>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62D72"/>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A01"/>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0E05"/>
    <w:rsid w:val="00E5221B"/>
    <w:rsid w:val="00E55C6B"/>
    <w:rsid w:val="00E60A10"/>
    <w:rsid w:val="00E63138"/>
    <w:rsid w:val="00E738C7"/>
    <w:rsid w:val="00E80794"/>
    <w:rsid w:val="00E93DE5"/>
    <w:rsid w:val="00E96342"/>
    <w:rsid w:val="00E97A9C"/>
    <w:rsid w:val="00EA4024"/>
    <w:rsid w:val="00EA4B1F"/>
    <w:rsid w:val="00EA7453"/>
    <w:rsid w:val="00EC0CD3"/>
    <w:rsid w:val="00ED3E09"/>
    <w:rsid w:val="00EE46A6"/>
    <w:rsid w:val="00EF18C1"/>
    <w:rsid w:val="00EF2020"/>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1AFA"/>
    <w:rsid w:val="00F74258"/>
    <w:rsid w:val="00F91977"/>
    <w:rsid w:val="00F96182"/>
    <w:rsid w:val="00FA0034"/>
    <w:rsid w:val="00FB08A5"/>
    <w:rsid w:val="00FB25F3"/>
    <w:rsid w:val="00FB4524"/>
    <w:rsid w:val="00FC33B2"/>
    <w:rsid w:val="00FC3A89"/>
    <w:rsid w:val="00FD50E2"/>
    <w:rsid w:val="00FD624F"/>
    <w:rsid w:val="00FE0DE0"/>
    <w:rsid w:val="00FE225B"/>
    <w:rsid w:val="01586AB7"/>
    <w:rsid w:val="042B4404"/>
    <w:rsid w:val="05F33E19"/>
    <w:rsid w:val="08A607DC"/>
    <w:rsid w:val="11C3124F"/>
    <w:rsid w:val="12CF6FA1"/>
    <w:rsid w:val="13033C28"/>
    <w:rsid w:val="13B94E90"/>
    <w:rsid w:val="16FA62BC"/>
    <w:rsid w:val="214926E0"/>
    <w:rsid w:val="2674591C"/>
    <w:rsid w:val="2A4538C2"/>
    <w:rsid w:val="2AB544D4"/>
    <w:rsid w:val="3061199F"/>
    <w:rsid w:val="3C823756"/>
    <w:rsid w:val="3C9B5EFD"/>
    <w:rsid w:val="3E13186C"/>
    <w:rsid w:val="40F365AC"/>
    <w:rsid w:val="4ECE0DCF"/>
    <w:rsid w:val="4F5E7871"/>
    <w:rsid w:val="50055DC9"/>
    <w:rsid w:val="537806A7"/>
    <w:rsid w:val="5A007A28"/>
    <w:rsid w:val="5B9D0BBB"/>
    <w:rsid w:val="5FA63A90"/>
    <w:rsid w:val="656F3231"/>
    <w:rsid w:val="688A2D74"/>
    <w:rsid w:val="697F115B"/>
    <w:rsid w:val="6AB5708C"/>
    <w:rsid w:val="738C52D5"/>
    <w:rsid w:val="75902919"/>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字符"/>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字符"/>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2"/>
    <w:link w:val="7"/>
    <w:qFormat/>
    <w:uiPriority w:val="0"/>
    <w:rPr>
      <w:rFonts w:ascii="宋体" w:hAnsi="Courier New" w:eastAsia="微软雅黑" w:cs="Courier New"/>
      <w:sz w:val="22"/>
      <w:szCs w:val="21"/>
    </w:rPr>
  </w:style>
  <w:style w:type="character" w:customStyle="1" w:styleId="25">
    <w:name w:val="批注文字 字符"/>
    <w:basedOn w:val="12"/>
    <w:link w:val="4"/>
    <w:semiHidden/>
    <w:qFormat/>
    <w:uiPriority w:val="99"/>
    <w:rPr>
      <w:kern w:val="2"/>
      <w:sz w:val="21"/>
      <w:szCs w:val="24"/>
    </w:rPr>
  </w:style>
  <w:style w:type="character" w:customStyle="1" w:styleId="26">
    <w:name w:val="批注主题 字符"/>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字符"/>
    <w:basedOn w:val="12"/>
    <w:link w:val="6"/>
    <w:qFormat/>
    <w:uiPriority w:val="0"/>
    <w:rPr>
      <w:rFonts w:ascii="Calibri" w:hAnsi="Calibri"/>
      <w:kern w:val="2"/>
      <w:sz w:val="21"/>
      <w:szCs w:val="22"/>
    </w:rPr>
  </w:style>
  <w:style w:type="character" w:customStyle="1" w:styleId="31">
    <w:name w:val="font41"/>
    <w:basedOn w:val="12"/>
    <w:qFormat/>
    <w:uiPriority w:val="0"/>
    <w:rPr>
      <w:rFonts w:hint="eastAsia" w:ascii="宋体" w:hAnsi="宋体" w:eastAsia="宋体" w:cs="宋体"/>
      <w:color w:val="000000"/>
      <w:sz w:val="21"/>
      <w:szCs w:val="21"/>
      <w:u w:val="none"/>
    </w:rPr>
  </w:style>
  <w:style w:type="character" w:customStyle="1" w:styleId="32">
    <w:name w:val="font21"/>
    <w:basedOn w:val="12"/>
    <w:qFormat/>
    <w:uiPriority w:val="0"/>
    <w:rPr>
      <w:rFonts w:hint="eastAsia" w:ascii="宋体" w:hAnsi="宋体" w:eastAsia="宋体" w:cs="宋体"/>
      <w:color w:val="000000"/>
      <w:sz w:val="21"/>
      <w:szCs w:val="21"/>
      <w:u w:val="none"/>
    </w:rPr>
  </w:style>
  <w:style w:type="character" w:customStyle="1" w:styleId="33">
    <w:name w:val="font11"/>
    <w:basedOn w:val="12"/>
    <w:qFormat/>
    <w:uiPriority w:val="0"/>
    <w:rPr>
      <w:rFonts w:hint="eastAsia" w:ascii="宋体" w:hAnsi="宋体" w:eastAsia="宋体" w:cs="宋体"/>
      <w:color w:val="000000"/>
      <w:sz w:val="20"/>
      <w:szCs w:val="20"/>
      <w:u w:val="none"/>
    </w:rPr>
  </w:style>
  <w:style w:type="character" w:customStyle="1" w:styleId="34">
    <w:name w:val="font51"/>
    <w:basedOn w:val="12"/>
    <w:qFormat/>
    <w:uiPriority w:val="0"/>
    <w:rPr>
      <w:rFonts w:hint="default" w:ascii="Times New Roman" w:hAnsi="Times New Roman" w:cs="Times New Roman"/>
      <w:color w:val="000000"/>
      <w:sz w:val="20"/>
      <w:szCs w:val="20"/>
      <w:u w:val="none"/>
    </w:rPr>
  </w:style>
  <w:style w:type="character" w:customStyle="1" w:styleId="35">
    <w:name w:val="NormalCharacter"/>
    <w:qFormat/>
    <w:uiPriority w:val="0"/>
  </w:style>
  <w:style w:type="paragraph" w:customStyle="1" w:styleId="36">
    <w:name w:val="！表格内容"/>
    <w:basedOn w:val="1"/>
    <w:qFormat/>
    <w:uiPriority w:val="0"/>
    <w:pPr>
      <w:spacing w:line="320"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15</Pages>
  <Words>1214</Words>
  <Characters>6921</Characters>
  <Lines>57</Lines>
  <Paragraphs>16</Paragraphs>
  <TotalTime>50</TotalTime>
  <ScaleCrop>false</ScaleCrop>
  <LinksUpToDate>false</LinksUpToDate>
  <CharactersWithSpaces>8119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2023-07-31T03:49:43Z</dcterms:modified>
  <dc:title>广州大学城投资经营管理有限公司</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