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b/>
          <w:bCs/>
          <w:sz w:val="28"/>
          <w:szCs w:val="28"/>
        </w:rPr>
      </w:pPr>
      <w:r>
        <w:rPr>
          <w:rFonts w:hint="eastAsia" w:ascii="Calibri" w:hAnsi="Calibri"/>
          <w:b/>
          <w:bCs/>
          <w:sz w:val="28"/>
          <w:szCs w:val="28"/>
          <w:lang w:val="en-US" w:eastAsia="zh-CN"/>
        </w:rPr>
        <w:t>广州城投综合能源</w:t>
      </w:r>
      <w:r>
        <w:rPr>
          <w:rFonts w:hint="eastAsia" w:ascii="Calibri" w:hAnsi="Calibri"/>
          <w:b/>
          <w:bCs/>
          <w:sz w:val="28"/>
          <w:szCs w:val="28"/>
        </w:rPr>
        <w:t>投资经营管理有限公司</w:t>
      </w:r>
    </w:p>
    <w:p>
      <w:pPr>
        <w:spacing w:line="360" w:lineRule="auto"/>
        <w:jc w:val="center"/>
        <w:rPr>
          <w:rFonts w:ascii="宋体" w:hAnsi="宋体" w:cs="Calibri"/>
          <w:b/>
          <w:sz w:val="32"/>
          <w:szCs w:val="32"/>
        </w:rPr>
      </w:pPr>
      <w:r>
        <w:rPr>
          <w:rFonts w:hint="eastAsia" w:ascii="宋体" w:hAnsi="宋体" w:cs="Calibri"/>
          <w:b/>
          <w:sz w:val="32"/>
          <w:szCs w:val="32"/>
        </w:rPr>
        <w:t>2023年冬季板换间旁通阀封堵及部分旁通阀更换工程</w:t>
      </w:r>
    </w:p>
    <w:p>
      <w:pPr>
        <w:spacing w:line="360" w:lineRule="auto"/>
        <w:jc w:val="center"/>
        <w:rPr>
          <w:rFonts w:ascii="Calibri" w:hAnsi="Calibri"/>
          <w:b/>
          <w:bCs/>
          <w:sz w:val="28"/>
          <w:szCs w:val="28"/>
        </w:rPr>
      </w:pPr>
      <w:r>
        <w:rPr>
          <w:rFonts w:hint="eastAsia" w:cs="Arial" w:asciiTheme="majorEastAsia" w:hAnsiTheme="majorEastAsia" w:eastAsiaTheme="majorEastAsia"/>
          <w:b/>
          <w:color w:val="000000"/>
          <w:sz w:val="28"/>
          <w:szCs w:val="28"/>
        </w:rPr>
        <w:t>竞选文件</w:t>
      </w:r>
    </w:p>
    <w:p>
      <w:pPr>
        <w:pStyle w:val="38"/>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38"/>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val="0"/>
          <w:sz w:val="24"/>
          <w:szCs w:val="24"/>
          <w:u w:val="none"/>
        </w:rPr>
        <w:t>2023年冬季板换间旁通阀封堵及部分旁通阀更换工</w:t>
      </w:r>
      <w:r>
        <w:rPr>
          <w:rFonts w:hint="eastAsia" w:ascii="宋体" w:hAnsi="宋体" w:eastAsia="宋体" w:cs="宋体"/>
          <w:b w:val="0"/>
          <w:sz w:val="24"/>
          <w:szCs w:val="24"/>
          <w:u w:val="single"/>
        </w:rPr>
        <w:t>程</w:t>
      </w:r>
    </w:p>
    <w:p>
      <w:pPr>
        <w:pStyle w:val="38"/>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38"/>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10.79</w:t>
      </w:r>
      <w:r>
        <w:rPr>
          <w:rFonts w:hint="eastAsia" w:asciiTheme="minorEastAsia" w:hAnsiTheme="minorEastAsia"/>
          <w:sz w:val="24"/>
          <w:szCs w:val="24"/>
        </w:rPr>
        <w:t>万元</w:t>
      </w:r>
    </w:p>
    <w:p>
      <w:pPr>
        <w:pStyle w:val="38"/>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tabs>
          <w:tab w:val="left" w:pos="4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本工作地点</w:t>
      </w:r>
      <w:r>
        <w:rPr>
          <w:rFonts w:hint="eastAsia" w:ascii="宋体" w:hAnsi="宋体" w:eastAsia="宋体" w:cs="宋体"/>
          <w:sz w:val="24"/>
          <w:szCs w:val="24"/>
          <w:lang w:val="en-US" w:eastAsia="zh-CN"/>
        </w:rPr>
        <w:t>为广州大学城，</w:t>
      </w:r>
      <w:r>
        <w:rPr>
          <w:rFonts w:hint="eastAsia" w:ascii="宋体" w:hAnsi="宋体" w:eastAsia="宋体" w:cs="宋体"/>
          <w:sz w:val="24"/>
          <w:szCs w:val="24"/>
        </w:rPr>
        <w:t>2#冷站、4#冷站板换间，主要工作内容包括管道焊接、阀门更换、除锈刷漆、保温恢复、施工后现场卫生清洁等内容</w:t>
      </w:r>
      <w:r>
        <w:rPr>
          <w:rFonts w:hint="eastAsia" w:ascii="宋体" w:hAnsi="宋体" w:eastAsia="宋体" w:cs="宋体"/>
          <w:sz w:val="24"/>
          <w:szCs w:val="24"/>
          <w:lang w:val="en-US" w:eastAsia="zh-CN"/>
        </w:rPr>
        <w:t>。</w:t>
      </w:r>
      <w:r>
        <w:rPr>
          <w:rFonts w:hint="eastAsia" w:ascii="宋体" w:hAnsi="宋体" w:eastAsia="宋体" w:cs="宋体"/>
          <w:sz w:val="24"/>
          <w:szCs w:val="24"/>
        </w:rPr>
        <w:t>具体以本项目竞选文件的“</w:t>
      </w:r>
      <w:r>
        <w:rPr>
          <w:rFonts w:hint="eastAsia" w:ascii="宋体" w:hAnsi="宋体" w:eastAsia="宋体" w:cs="宋体"/>
          <w:sz w:val="24"/>
          <w:szCs w:val="24"/>
          <w:lang w:val="en-US" w:eastAsia="zh-CN"/>
        </w:rPr>
        <w:t>项目内容和要求</w:t>
      </w:r>
      <w:r>
        <w:rPr>
          <w:rFonts w:hint="eastAsia" w:ascii="宋体" w:hAnsi="宋体" w:eastAsia="宋体" w:cs="宋体"/>
          <w:sz w:val="24"/>
          <w:szCs w:val="24"/>
        </w:rPr>
        <w:t>”</w:t>
      </w:r>
      <w:r>
        <w:rPr>
          <w:rFonts w:hint="eastAsia" w:ascii="宋体" w:hAnsi="宋体" w:cs="宋体"/>
          <w:sz w:val="24"/>
          <w:szCs w:val="24"/>
          <w:lang w:val="en-US" w:eastAsia="zh-CN"/>
        </w:rPr>
        <w:t>及附件7技术需求书</w:t>
      </w:r>
      <w:r>
        <w:rPr>
          <w:rFonts w:hint="eastAsia" w:ascii="宋体" w:hAnsi="宋体" w:eastAsia="宋体" w:cs="宋体"/>
          <w:sz w:val="24"/>
          <w:szCs w:val="24"/>
        </w:rPr>
        <w:t>为准。</w:t>
      </w:r>
    </w:p>
    <w:p>
      <w:pPr>
        <w:tabs>
          <w:tab w:val="left" w:pos="420"/>
        </w:tabs>
        <w:spacing w:line="360" w:lineRule="auto"/>
        <w:ind w:firstLine="480" w:firstLineChars="200"/>
        <w:rPr>
          <w:rFonts w:hint="eastAsia" w:ascii="宋体" w:hAnsi="宋体" w:eastAsia="宋体" w:cs="宋体"/>
          <w:sz w:val="24"/>
          <w:szCs w:val="24"/>
        </w:rPr>
      </w:pPr>
      <w:r>
        <w:rPr>
          <w:rFonts w:ascii="宋体" w:hAnsi="宋体"/>
          <w:sz w:val="24"/>
        </w:rPr>
        <w:t>注：</w:t>
      </w:r>
      <w:r>
        <w:rPr>
          <w:rFonts w:hint="eastAsia" w:ascii="宋体" w:hAnsi="宋体"/>
          <w:sz w:val="24"/>
        </w:rPr>
        <w:t>本文件中甲方特指采购人，乙方特指中标单位。</w:t>
      </w:r>
    </w:p>
    <w:p>
      <w:pPr>
        <w:pStyle w:val="38"/>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38"/>
        <w:numPr>
          <w:ilvl w:val="0"/>
          <w:numId w:val="3"/>
        </w:numPr>
        <w:spacing w:line="360" w:lineRule="auto"/>
        <w:ind w:left="0" w:firstLine="561" w:firstLineChars="0"/>
        <w:jc w:val="left"/>
        <w:rPr>
          <w:rFonts w:hint="eastAsia" w:ascii="宋体" w:hAnsi="宋体" w:eastAsia="宋体"/>
          <w:sz w:val="24"/>
          <w:szCs w:val="24"/>
        </w:rPr>
      </w:pPr>
      <w:r>
        <w:rPr>
          <w:rFonts w:hint="eastAsia" w:ascii="宋体" w:hAnsi="宋体" w:eastAsia="宋体"/>
          <w:sz w:val="24"/>
          <w:szCs w:val="24"/>
        </w:rPr>
        <w:t>必须是具有独立承担民事责任能力的在中华人民共和国境内注册的法人，具备有效的工商营业执照、企业法人组织机构代码证书、税务登记证书（或三证合一），按国家法律经营</w:t>
      </w:r>
      <w:r>
        <w:rPr>
          <w:rFonts w:hint="eastAsia" w:ascii="宋体" w:hAnsi="宋体" w:eastAsia="宋体"/>
          <w:sz w:val="24"/>
          <w:szCs w:val="24"/>
          <w:lang w:eastAsia="zh-CN"/>
        </w:rPr>
        <w:t>。</w:t>
      </w:r>
    </w:p>
    <w:p>
      <w:pPr>
        <w:pStyle w:val="38"/>
        <w:numPr>
          <w:ilvl w:val="0"/>
          <w:numId w:val="3"/>
        </w:numPr>
        <w:spacing w:line="360" w:lineRule="auto"/>
        <w:ind w:left="0" w:firstLine="561" w:firstLineChars="0"/>
        <w:jc w:val="left"/>
        <w:rPr>
          <w:rFonts w:hint="eastAsia" w:ascii="宋体" w:hAnsi="宋体" w:eastAsia="宋体"/>
          <w:sz w:val="24"/>
          <w:szCs w:val="24"/>
        </w:rPr>
      </w:pPr>
      <w:r>
        <w:rPr>
          <w:rFonts w:hint="eastAsia" w:ascii="宋体" w:hAnsi="宋体" w:eastAsia="宋体"/>
          <w:sz w:val="24"/>
          <w:szCs w:val="24"/>
        </w:rPr>
        <w:t>已办理合法税务登记，具有开具相应增值税专用发票资格</w:t>
      </w:r>
      <w:r>
        <w:rPr>
          <w:rFonts w:hint="eastAsia" w:ascii="宋体" w:hAnsi="宋体" w:eastAsia="宋体"/>
          <w:sz w:val="24"/>
          <w:szCs w:val="24"/>
          <w:lang w:eastAsia="zh-CN"/>
        </w:rPr>
        <w:t>。</w:t>
      </w:r>
    </w:p>
    <w:p>
      <w:pPr>
        <w:pStyle w:val="38"/>
        <w:numPr>
          <w:ilvl w:val="0"/>
          <w:numId w:val="3"/>
        </w:numPr>
        <w:spacing w:line="360" w:lineRule="auto"/>
        <w:ind w:left="0" w:firstLine="561" w:firstLineChars="0"/>
        <w:jc w:val="left"/>
        <w:rPr>
          <w:rFonts w:hint="eastAsia" w:ascii="宋体" w:hAnsi="宋体" w:eastAsia="宋体"/>
          <w:sz w:val="24"/>
          <w:szCs w:val="24"/>
        </w:rPr>
      </w:pPr>
      <w:r>
        <w:rPr>
          <w:rFonts w:hint="eastAsia" w:ascii="宋体" w:hAnsi="宋体"/>
          <w:sz w:val="24"/>
        </w:rPr>
        <w:t>具备建筑机电安装工程专业承包三级或以上资质</w:t>
      </w:r>
      <w:r>
        <w:rPr>
          <w:rFonts w:hint="eastAsia" w:ascii="宋体" w:hAnsi="宋体"/>
          <w:sz w:val="24"/>
          <w:lang w:eastAsia="zh-CN"/>
        </w:rPr>
        <w:t>。</w:t>
      </w:r>
    </w:p>
    <w:p>
      <w:pPr>
        <w:pStyle w:val="38"/>
        <w:numPr>
          <w:ilvl w:val="0"/>
          <w:numId w:val="3"/>
        </w:numPr>
        <w:spacing w:before="120" w:beforeLines="50" w:after="120" w:afterLines="50" w:line="360" w:lineRule="auto"/>
        <w:ind w:left="0" w:firstLine="561" w:firstLineChars="0"/>
        <w:jc w:val="left"/>
        <w:rPr>
          <w:rFonts w:hint="eastAsia" w:ascii="宋体" w:hAnsi="宋体" w:eastAsia="宋体"/>
          <w:sz w:val="24"/>
          <w:szCs w:val="24"/>
        </w:rPr>
      </w:pPr>
      <w:r>
        <w:rPr>
          <w:rFonts w:hint="eastAsia" w:ascii="宋体" w:hAnsi="宋体" w:eastAsia="宋体"/>
          <w:sz w:val="24"/>
          <w:szCs w:val="24"/>
        </w:rPr>
        <w:t>投标人近3年内(2020年1月1日至今) 完成过质量合格的类似项目业绩（需提供合同和验收报告等相关证明材料复印件，完成时间以竣工验收时间为准）。</w:t>
      </w:r>
    </w:p>
    <w:p>
      <w:pPr>
        <w:pStyle w:val="38"/>
        <w:numPr>
          <w:ilvl w:val="0"/>
          <w:numId w:val="3"/>
        </w:numPr>
        <w:spacing w:line="360" w:lineRule="auto"/>
        <w:ind w:left="0" w:firstLine="561" w:firstLineChars="0"/>
        <w:jc w:val="left"/>
        <w:rPr>
          <w:rFonts w:ascii="宋体" w:hAnsi="宋体" w:eastAsia="宋体"/>
          <w:sz w:val="24"/>
          <w:szCs w:val="24"/>
        </w:rPr>
      </w:pPr>
      <w:r>
        <w:rPr>
          <w:rFonts w:hint="eastAsia" w:ascii="宋体" w:hAnsi="宋体" w:eastAsia="宋体"/>
          <w:sz w:val="24"/>
          <w:szCs w:val="24"/>
        </w:rPr>
        <w:t>不接受联合体报价。</w:t>
      </w:r>
    </w:p>
    <w:p>
      <w:pPr>
        <w:numPr>
          <w:ilvl w:val="0"/>
          <w:numId w:val="0"/>
        </w:numPr>
        <w:spacing w:before="120" w:beforeLines="50" w:after="120" w:afterLines="50" w:line="360" w:lineRule="auto"/>
        <w:ind w:leftChars="200"/>
        <w:rPr>
          <w:b/>
          <w:bCs/>
          <w:sz w:val="24"/>
        </w:rPr>
      </w:pPr>
      <w:r>
        <w:rPr>
          <w:rFonts w:hint="eastAsia"/>
          <w:b/>
          <w:bCs/>
          <w:sz w:val="24"/>
          <w:lang w:val="en-US" w:eastAsia="zh-CN"/>
        </w:rPr>
        <w:t>三、</w:t>
      </w:r>
      <w:r>
        <w:rPr>
          <w:rFonts w:hint="eastAsia"/>
          <w:b/>
          <w:bCs/>
          <w:sz w:val="24"/>
        </w:rPr>
        <w:t>项目内容及要求</w:t>
      </w:r>
    </w:p>
    <w:p>
      <w:pPr>
        <w:ind w:firstLine="42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本工作地点位于2#冷站、4#冷站板换间，主要工作内容包括管道焊接、阀门更换、除锈刷漆、保温恢复、施工后现场卫生清洁等内容。</w:t>
      </w:r>
    </w:p>
    <w:p>
      <w:pPr>
        <w:ind w:firstLine="420"/>
        <w:rPr>
          <w:rFonts w:hint="eastAsia" w:ascii="宋体" w:hAnsi="宋体" w:eastAsia="宋体" w:cs="Times New Roman"/>
          <w:kern w:val="2"/>
          <w:sz w:val="24"/>
          <w:szCs w:val="24"/>
          <w:lang w:val="en-US" w:eastAsia="zh-CN" w:bidi="ar-SA"/>
        </w:rPr>
      </w:pPr>
    </w:p>
    <w:tbl>
      <w:tblPr>
        <w:tblStyle w:val="20"/>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2080"/>
        <w:gridCol w:w="2080"/>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shd w:val="clear" w:color="auto" w:fill="auto"/>
            <w:noWrap/>
            <w:vAlign w:val="center"/>
          </w:tcPr>
          <w:p>
            <w:pPr>
              <w:widowControl/>
              <w:jc w:val="left"/>
              <w:rPr>
                <w:rFonts w:ascii="宋体" w:hAnsi="宋体" w:eastAsia="Times New Roman" w:cs="宋体"/>
                <w:kern w:val="0"/>
                <w:sz w:val="24"/>
                <w:szCs w:val="20"/>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楼宇名称</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旁通阀通径DN</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2#站</w:t>
            </w: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广外学生公寓10栋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广外学生公寓12栋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广外学生公寓8栋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广外学生公寓13栋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广外C19B</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广外第一食堂</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广外学生公寓2栋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广外学生公寓3栋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广外学生公寓4栋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广外学生公寓5栋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广外学生公寓6栋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广外学生公寓7栋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广外学生公寓9栋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广外学生公寓11栋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广外教师公寓1栋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广外教师公寓2栋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广外教师公寓3栋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广外教师公寓4栋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4#站</w:t>
            </w: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广美专家公寓</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广美美术馆</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DN125</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广美艺设南楼A栋</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广大理学实验楼</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广大图书馆</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DN200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广大演艺中心</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DN125</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广大学生宿舍B1</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广大学生宿舍B2</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广大学生宿舍B3</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广大学生宿舍B4</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广大学生宿舍B11</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广大学生宿舍B20</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广大学生宿舍B24</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广工教学东(东)1#</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DN125</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广工图书馆</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北亭广场2#</w:t>
            </w:r>
          </w:p>
        </w:tc>
        <w:tc>
          <w:tcPr>
            <w:tcW w:w="2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印象园GJ-32栋</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DN200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印象园GJ-53栋</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DN200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印象园GJ-55栋</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DN200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印象园GJ-71栋</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DN200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广大商业中心A</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广大商业中心B</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2080" w:type="dxa"/>
            <w:shd w:val="clear" w:color="auto" w:fill="auto"/>
            <w:noWrap/>
            <w:vAlign w:val="center"/>
          </w:tcPr>
          <w:p>
            <w:pPr>
              <w:widowControl/>
              <w:jc w:val="center"/>
              <w:rPr>
                <w:rFonts w:ascii="宋体" w:hAnsi="宋体" w:cs="宋体"/>
                <w:kern w:val="0"/>
                <w:sz w:val="22"/>
                <w:szCs w:val="22"/>
              </w:rPr>
            </w:pPr>
            <w:r>
              <w:rPr>
                <w:rFonts w:hint="eastAsia" w:ascii="宋体" w:hAnsi="宋体" w:cs="宋体"/>
                <w:color w:val="000000"/>
                <w:kern w:val="0"/>
                <w:sz w:val="24"/>
                <w:szCs w:val="24"/>
              </w:rPr>
              <w:t>广大</w:t>
            </w:r>
            <w:r>
              <w:rPr>
                <w:rFonts w:hint="eastAsia" w:ascii="宋体" w:hAnsi="宋体" w:cs="宋体"/>
                <w:kern w:val="0"/>
                <w:sz w:val="22"/>
                <w:szCs w:val="22"/>
              </w:rPr>
              <w:t>学生宿舍B5</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color w:val="000000"/>
                <w:kern w:val="0"/>
                <w:sz w:val="24"/>
                <w:szCs w:val="24"/>
              </w:rPr>
              <w:t>广大</w:t>
            </w:r>
            <w:r>
              <w:rPr>
                <w:rFonts w:hint="eastAsia" w:ascii="宋体" w:hAnsi="宋体" w:cs="宋体"/>
                <w:kern w:val="0"/>
                <w:sz w:val="22"/>
                <w:szCs w:val="22"/>
              </w:rPr>
              <w:t>学生宿舍B12</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color w:val="000000"/>
                <w:kern w:val="0"/>
                <w:sz w:val="24"/>
                <w:szCs w:val="24"/>
              </w:rPr>
              <w:t>广大</w:t>
            </w:r>
            <w:r>
              <w:rPr>
                <w:rFonts w:hint="eastAsia" w:ascii="宋体" w:hAnsi="宋体" w:cs="宋体"/>
                <w:kern w:val="0"/>
                <w:sz w:val="22"/>
                <w:szCs w:val="22"/>
              </w:rPr>
              <w:t>学生宿舍B16</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color w:val="000000"/>
                <w:kern w:val="0"/>
                <w:sz w:val="24"/>
                <w:szCs w:val="24"/>
              </w:rPr>
              <w:t>广大</w:t>
            </w:r>
            <w:r>
              <w:rPr>
                <w:rFonts w:hint="eastAsia" w:ascii="宋体" w:hAnsi="宋体" w:cs="宋体"/>
                <w:kern w:val="0"/>
                <w:sz w:val="22"/>
                <w:szCs w:val="22"/>
              </w:rPr>
              <w:t>学生宿舍B17</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color w:val="000000"/>
                <w:kern w:val="0"/>
                <w:sz w:val="24"/>
                <w:szCs w:val="24"/>
              </w:rPr>
              <w:t>广大</w:t>
            </w:r>
            <w:r>
              <w:rPr>
                <w:rFonts w:hint="eastAsia" w:ascii="宋体" w:hAnsi="宋体" w:cs="宋体"/>
                <w:kern w:val="0"/>
                <w:sz w:val="22"/>
                <w:szCs w:val="22"/>
              </w:rPr>
              <w:t>学生宿舍B19</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2080" w:type="dxa"/>
            <w:shd w:val="clear" w:color="000000" w:fill="FFFFFF"/>
            <w:vAlign w:val="center"/>
          </w:tcPr>
          <w:p>
            <w:pPr>
              <w:widowControl/>
              <w:jc w:val="center"/>
              <w:rPr>
                <w:rFonts w:ascii="宋体" w:hAnsi="宋体" w:cs="宋体"/>
                <w:kern w:val="0"/>
                <w:sz w:val="22"/>
                <w:szCs w:val="22"/>
              </w:rPr>
            </w:pPr>
            <w:r>
              <w:rPr>
                <w:rFonts w:hint="eastAsia" w:ascii="宋体" w:hAnsi="宋体" w:cs="宋体"/>
                <w:color w:val="000000"/>
                <w:kern w:val="0"/>
                <w:sz w:val="24"/>
                <w:szCs w:val="24"/>
              </w:rPr>
              <w:t>广大</w:t>
            </w:r>
            <w:r>
              <w:rPr>
                <w:rFonts w:hint="eastAsia" w:ascii="宋体" w:hAnsi="宋体" w:cs="宋体"/>
                <w:kern w:val="0"/>
                <w:sz w:val="22"/>
                <w:szCs w:val="22"/>
              </w:rPr>
              <w:t>学生宿舍B21</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DN50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vAlign w:val="center"/>
          </w:tcPr>
          <w:p>
            <w:pPr>
              <w:widowControl/>
              <w:jc w:val="left"/>
              <w:rPr>
                <w:rFonts w:ascii="宋体" w:hAnsi="宋体" w:cs="宋体"/>
                <w:color w:val="000000"/>
                <w:kern w:val="0"/>
                <w:sz w:val="22"/>
                <w:szCs w:val="22"/>
              </w:rPr>
            </w:pPr>
          </w:p>
        </w:tc>
        <w:tc>
          <w:tcPr>
            <w:tcW w:w="1080"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2080" w:type="dxa"/>
            <w:shd w:val="clear" w:color="auto" w:fill="auto"/>
            <w:vAlign w:val="center"/>
          </w:tcPr>
          <w:p>
            <w:pPr>
              <w:widowControl/>
              <w:jc w:val="center"/>
              <w:rPr>
                <w:rFonts w:ascii="宋体" w:hAnsi="宋体" w:cs="宋体"/>
                <w:kern w:val="0"/>
                <w:sz w:val="22"/>
                <w:szCs w:val="22"/>
              </w:rPr>
            </w:pPr>
            <w:r>
              <w:rPr>
                <w:rFonts w:hint="eastAsia" w:ascii="宋体" w:hAnsi="宋体" w:cs="宋体"/>
                <w:color w:val="000000"/>
                <w:kern w:val="0"/>
                <w:sz w:val="24"/>
                <w:szCs w:val="24"/>
              </w:rPr>
              <w:t>广大</w:t>
            </w:r>
            <w:r>
              <w:rPr>
                <w:rFonts w:hint="eastAsia" w:ascii="宋体" w:hAnsi="宋体" w:cs="宋体"/>
                <w:kern w:val="0"/>
                <w:sz w:val="22"/>
                <w:szCs w:val="22"/>
              </w:rPr>
              <w:t>学生宿舍B23</w:t>
            </w:r>
          </w:p>
        </w:tc>
        <w:tc>
          <w:tcPr>
            <w:tcW w:w="208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1961"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封盲板</w:t>
            </w:r>
          </w:p>
        </w:tc>
      </w:tr>
    </w:tbl>
    <w:p>
      <w:pPr>
        <w:spacing w:line="240" w:lineRule="atLeast"/>
        <w:jc w:val="center"/>
        <w:rPr>
          <w:rFonts w:hint="eastAsia" w:ascii="宋体" w:hAnsi="宋体" w:eastAsia="宋体"/>
          <w:sz w:val="24"/>
          <w:lang w:val="en-US" w:eastAsia="zh-CN"/>
        </w:rPr>
      </w:pPr>
    </w:p>
    <w:p>
      <w:pPr>
        <w:spacing w:line="240" w:lineRule="atLeast"/>
        <w:jc w:val="center"/>
        <w:rPr>
          <w:rFonts w:hint="default" w:ascii="宋体" w:hAnsi="宋体" w:eastAsia="宋体"/>
          <w:sz w:val="24"/>
          <w:lang w:val="en-US" w:eastAsia="zh-CN"/>
        </w:rPr>
      </w:pPr>
      <w:r>
        <w:rPr>
          <w:rFonts w:hint="eastAsia" w:ascii="宋体" w:hAnsi="宋体"/>
          <w:sz w:val="24"/>
          <w:lang w:val="en-US" w:eastAsia="zh-CN"/>
        </w:rPr>
        <w:t xml:space="preserve"> </w:t>
      </w:r>
    </w:p>
    <w:p>
      <w:pPr>
        <w:spacing w:line="240" w:lineRule="atLeast"/>
        <w:jc w:val="center"/>
        <w:rPr>
          <w:rFonts w:hint="eastAsia" w:ascii="宋体" w:hAnsi="宋体" w:eastAsia="宋体"/>
          <w:sz w:val="24"/>
          <w:lang w:val="en-US" w:eastAsia="zh-CN"/>
        </w:rPr>
      </w:pPr>
    </w:p>
    <w:p>
      <w:pPr>
        <w:numPr>
          <w:ilvl w:val="0"/>
          <w:numId w:val="4"/>
        </w:numPr>
        <w:spacing w:before="120" w:beforeLines="50" w:after="120" w:afterLines="50" w:line="360" w:lineRule="auto"/>
        <w:ind w:leftChars="200"/>
        <w:rPr>
          <w:rFonts w:ascii="宋体" w:hAnsi="宋体"/>
          <w:b/>
          <w:sz w:val="24"/>
        </w:rPr>
      </w:pPr>
      <w:r>
        <w:rPr>
          <w:rFonts w:hint="eastAsia" w:ascii="宋体" w:hAnsi="宋体"/>
          <w:b/>
          <w:sz w:val="24"/>
        </w:rPr>
        <w:t>项目施工</w:t>
      </w:r>
      <w:r>
        <w:rPr>
          <w:rFonts w:hint="eastAsia"/>
          <w:b/>
          <w:bCs/>
          <w:sz w:val="24"/>
        </w:rPr>
        <w:t>需求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cs="宋体"/>
          <w:b/>
          <w:bCs/>
          <w:sz w:val="24"/>
          <w:szCs w:val="24"/>
        </w:rPr>
      </w:pPr>
      <w:r>
        <w:rPr>
          <w:rFonts w:hint="eastAsia" w:ascii="宋体" w:hAnsi="宋体" w:cs="宋体"/>
          <w:b/>
          <w:bCs/>
          <w:sz w:val="24"/>
          <w:szCs w:val="24"/>
        </w:rPr>
        <w:t>除锈刷漆要求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ascii="宋体" w:hAnsi="宋体" w:cs="宋体"/>
          <w:sz w:val="24"/>
          <w:szCs w:val="24"/>
        </w:rPr>
      </w:pPr>
      <w:r>
        <w:rPr>
          <w:rFonts w:hint="eastAsia" w:ascii="宋体" w:hAnsi="宋体" w:cs="宋体"/>
          <w:sz w:val="24"/>
          <w:szCs w:val="24"/>
        </w:rPr>
        <w:t>所有管道油漆前需要表面进行除锈、清除油污，除锈必须彻底，刷防锈漆前需要经过甲方现场负责人员或管理人员确认后方可刷防锈漆。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ascii="宋体" w:hAnsi="宋体" w:cs="宋体"/>
          <w:sz w:val="24"/>
          <w:szCs w:val="24"/>
        </w:rPr>
      </w:pPr>
      <w:r>
        <w:rPr>
          <w:rFonts w:hint="eastAsia" w:ascii="宋体" w:hAnsi="宋体" w:cs="宋体"/>
          <w:sz w:val="24"/>
          <w:szCs w:val="24"/>
        </w:rPr>
        <w:t>所使用的防锈漆必须为环氧红丹底漆，质量必须满足要求。</w:t>
      </w:r>
      <w:r>
        <w:rPr>
          <w:rFonts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二）</w:t>
      </w:r>
      <w:r>
        <w:rPr>
          <w:rFonts w:hint="eastAsia" w:ascii="宋体" w:hAnsi="宋体"/>
          <w:b/>
          <w:bCs/>
          <w:sz w:val="24"/>
          <w:szCs w:val="24"/>
        </w:rPr>
        <w:t>原橡塑保温拆除及安装要求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 w:val="24"/>
          <w:szCs w:val="24"/>
        </w:rPr>
      </w:pPr>
      <w:r>
        <w:rPr>
          <w:rFonts w:hint="eastAsia" w:ascii="宋体" w:hAnsi="宋体"/>
          <w:sz w:val="24"/>
          <w:szCs w:val="24"/>
        </w:rPr>
        <w:t>由于本次阀门更换及封堵位置有部分橡塑保温要拆除，因此在橡塑保温层拆除中应采用直线切割，严禁直接徒手撕保温导致接口不平整而不能最大化重复利用。</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 w:val="24"/>
          <w:szCs w:val="24"/>
        </w:rPr>
      </w:pPr>
      <w:r>
        <w:rPr>
          <w:rFonts w:hint="eastAsia" w:ascii="宋体" w:hAnsi="宋体"/>
          <w:sz w:val="24"/>
          <w:szCs w:val="24"/>
        </w:rPr>
        <w:t>对于利旧的橡塑保温应将原表面的灰尘、污物、油渍、原粘结的胶水及水清理干净后才可进行粘贴。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 w:val="24"/>
          <w:szCs w:val="24"/>
        </w:rPr>
      </w:pPr>
      <w:r>
        <w:rPr>
          <w:rFonts w:hint="eastAsia" w:ascii="宋体" w:hAnsi="宋体"/>
          <w:sz w:val="24"/>
          <w:szCs w:val="24"/>
        </w:rPr>
        <w:t>将拆卸下的保温放至甲方现场负责人指定的位置，并要求摆放整齐。</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 w:val="24"/>
          <w:szCs w:val="24"/>
        </w:rPr>
      </w:pPr>
      <w:r>
        <w:rPr>
          <w:rFonts w:hint="eastAsia" w:ascii="宋体" w:hAnsi="宋体"/>
          <w:sz w:val="24"/>
          <w:szCs w:val="24"/>
        </w:rPr>
        <w:t>本次保温所有接合面（管道和保温板表面及保温板间、所有接缝和接头）都需满涂胶水, 粘贴严密可靠。</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 w:val="24"/>
          <w:szCs w:val="24"/>
        </w:rPr>
      </w:pPr>
      <w:r>
        <w:rPr>
          <w:rFonts w:hint="eastAsia" w:ascii="宋体" w:hAnsi="宋体"/>
          <w:sz w:val="24"/>
          <w:szCs w:val="24"/>
        </w:rPr>
        <w:t xml:space="preserve"> 涂过胶水的材料要等待“初干”才可粘接在一起，并且粘接表面要挤压在一起，决不能让接缝或接头承受拉伸力。</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sz w:val="24"/>
          <w:szCs w:val="24"/>
        </w:rPr>
      </w:pPr>
      <w:r>
        <w:rPr>
          <w:rFonts w:hint="eastAsia" w:ascii="宋体" w:hAnsi="宋体"/>
          <w:sz w:val="24"/>
          <w:szCs w:val="24"/>
        </w:rPr>
        <w:t>本次保温每包一层都须经甲乙双方相关人员现场检查确认，并获得甲方人员认同许可及经双方相关人员签字确认后，方可包下一层保温及下道工序。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三）</w:t>
      </w:r>
      <w:r>
        <w:rPr>
          <w:rFonts w:hint="eastAsia" w:ascii="宋体" w:hAnsi="宋体"/>
          <w:b/>
          <w:bCs/>
          <w:sz w:val="24"/>
          <w:szCs w:val="24"/>
        </w:rPr>
        <w:t>关于焊接的质量要求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 w:val="24"/>
          <w:szCs w:val="24"/>
        </w:rPr>
      </w:pPr>
      <w:r>
        <w:rPr>
          <w:rFonts w:hint="eastAsia" w:ascii="宋体" w:hAnsi="宋体"/>
          <w:sz w:val="24"/>
          <w:szCs w:val="24"/>
        </w:rPr>
        <w:t>焊接前，按要求用刮削、擦除、铲除和抹擦等方法从待焊表面除去一切腐蚀物及其它外界材料。</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 w:val="24"/>
          <w:szCs w:val="24"/>
        </w:rPr>
      </w:pPr>
      <w:r>
        <w:rPr>
          <w:rFonts w:ascii="宋体" w:hAnsi="宋体"/>
          <w:sz w:val="24"/>
          <w:szCs w:val="24"/>
        </w:rPr>
        <w:t>焊接完成后，清除焊渣、飞溅物再对焊接部位进行刷漆。</w:t>
      </w:r>
    </w:p>
    <w:p>
      <w:pPr>
        <w:spacing w:line="324" w:lineRule="auto"/>
        <w:rPr>
          <w:rFonts w:hint="eastAsia" w:ascii="宋体" w:hAnsi="宋体"/>
          <w:b/>
          <w:bCs/>
          <w:sz w:val="24"/>
          <w:szCs w:val="24"/>
          <w:lang w:eastAsia="zh-CN"/>
        </w:rPr>
      </w:pPr>
      <w:r>
        <w:rPr>
          <w:rFonts w:hint="eastAsia" w:ascii="宋体" w:hAnsi="宋体"/>
          <w:b/>
          <w:bCs/>
          <w:sz w:val="24"/>
          <w:szCs w:val="24"/>
          <w:lang w:eastAsia="zh-CN"/>
        </w:rPr>
        <w:t>（</w:t>
      </w:r>
      <w:r>
        <w:rPr>
          <w:rFonts w:hint="eastAsia" w:ascii="宋体" w:hAnsi="宋体"/>
          <w:b/>
          <w:bCs/>
          <w:sz w:val="24"/>
          <w:szCs w:val="24"/>
          <w:lang w:val="en-US" w:eastAsia="zh-CN"/>
        </w:rPr>
        <w:t>四）</w:t>
      </w:r>
      <w:r>
        <w:rPr>
          <w:rFonts w:hint="eastAsia" w:ascii="宋体" w:hAnsi="宋体"/>
          <w:b/>
          <w:bCs/>
          <w:sz w:val="24"/>
          <w:szCs w:val="24"/>
          <w:lang w:eastAsia="zh-CN"/>
        </w:rPr>
        <w:t>施工注意事项</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乙方施工单位必须提前联系甲方项目负责人到施工现场察看，清晰了解每个步骤的施工要求及其工程量。</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施工前，乙方施工负责人必须熟悉本工程内每个细分项目的内容及要求。</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本项目所涉及的管道焊接，特种作业人员必须持有效的证件上岗，施工方需按我司《焊接质量管理制度》执行，进场施工的焊工必须先试焊合格。涉及到对接焊的管道必须做坡口，对接焊缝全部采用氩电联焊、角焊缝采用电弧焊。</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接受甲方外委第三方对所有焊口探伤检测，所有角焊缝进行100%磁粉探伤、对接焊缝进行100%超声波探伤。</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涉及到冷冻水管道切割、焊接的施工，必须由冷站人员确认将待施工的冷冻水管段阀门关闭、排水消压后方可施工，严禁未经批准切割我司在运冷冻水管，具体进场日期由甲方项目负责人通知为准。</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施工作业前必须办理我司相关票证方可施工，现场的用电设备必须完好，符合相关安全要求。施工现场用电实行三相五线制和一机一闸一漏电措施。配电箱级电气设备的外壳施做可靠的接地保护。配电箱级配电柜的进出线，用卡子固定牢靠，并设有接地保护和工作零线的端子。所有移动电具都应在漏电保护开关保护之中，电线无破损，插头插座应完整，严禁不用插头而用电线直接插入插座内。</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施工过程中的中间验收、隐蔽工程等环节必须经甲方项目负责人验收合格后，方可进行下一步工。</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进入作业现场内的所有人员严禁吸烟、喝酒，酒后禁止进入施工现场。</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动火作业前必须办理我司动火作业票等方可施工，动火点现场需放置灭火器。高处动火注意捕集火花，隔离熔渣，将动火点和附近的可燃物隔离，避免引燃发生火灾。</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室外施工注意恶劣天气（如台风、雷雨）做好用电设备防水防漏点措施、基坑防塌陷措施，施工人员做好自我防护措施。</w:t>
      </w:r>
    </w:p>
    <w:p>
      <w:pPr>
        <w:numPr>
          <w:ilvl w:val="0"/>
          <w:numId w:val="9"/>
        </w:numPr>
        <w:spacing w:before="120" w:beforeLines="50" w:after="120" w:afterLines="50" w:line="360" w:lineRule="auto"/>
        <w:ind w:left="425" w:leftChars="0" w:hanging="425" w:firstLineChars="0"/>
        <w:rPr>
          <w:rFonts w:hint="eastAsia" w:asciiTheme="minorEastAsia" w:hAnsiTheme="minorEastAsia"/>
          <w:sz w:val="24"/>
          <w:szCs w:val="28"/>
        </w:rPr>
      </w:pPr>
      <w:r>
        <w:rPr>
          <w:rFonts w:hint="eastAsia" w:asciiTheme="minorEastAsia" w:hAnsiTheme="minorEastAsia"/>
          <w:sz w:val="24"/>
          <w:szCs w:val="28"/>
        </w:rPr>
        <w:t>施工现场做好围蔽，并设置警示牌、指引牌，提醒注意安全，防止无关人员进入施工区域。</w:t>
      </w:r>
    </w:p>
    <w:p>
      <w:pPr>
        <w:numPr>
          <w:ilvl w:val="0"/>
          <w:numId w:val="4"/>
        </w:numPr>
        <w:spacing w:before="120" w:beforeLines="50" w:after="120" w:afterLines="50" w:line="360" w:lineRule="auto"/>
        <w:ind w:left="420" w:leftChars="200" w:firstLine="0" w:firstLineChars="0"/>
        <w:rPr>
          <w:rFonts w:hint="eastAsia" w:ascii="宋体" w:hAnsi="宋体"/>
          <w:sz w:val="28"/>
          <w:szCs w:val="28"/>
        </w:rPr>
      </w:pPr>
      <w:r>
        <w:rPr>
          <w:rFonts w:hint="eastAsia" w:ascii="宋体" w:hAnsi="宋体"/>
          <w:sz w:val="28"/>
          <w:szCs w:val="28"/>
        </w:rPr>
        <w:t>主要材料清单</w:t>
      </w:r>
    </w:p>
    <w:p>
      <w:pPr>
        <w:numPr>
          <w:ilvl w:val="0"/>
          <w:numId w:val="0"/>
        </w:numPr>
        <w:spacing w:before="120" w:beforeLines="50" w:after="120" w:afterLines="50" w:line="360" w:lineRule="auto"/>
        <w:ind w:leftChars="0" w:firstLine="720" w:firstLineChars="300"/>
        <w:rPr>
          <w:rFonts w:hint="eastAsia" w:asciiTheme="minorEastAsia" w:hAnsiTheme="minorEastAsia"/>
          <w:sz w:val="24"/>
          <w:szCs w:val="28"/>
        </w:rPr>
      </w:pPr>
      <w:r>
        <w:rPr>
          <w:rFonts w:hint="eastAsia" w:asciiTheme="minorEastAsia" w:hAnsiTheme="minorEastAsia"/>
          <w:sz w:val="24"/>
          <w:szCs w:val="28"/>
        </w:rPr>
        <w:t>该工程由</w:t>
      </w:r>
      <w:r>
        <w:rPr>
          <w:rFonts w:hint="eastAsia" w:asciiTheme="minorEastAsia" w:hAnsiTheme="minorEastAsia"/>
          <w:sz w:val="24"/>
          <w:szCs w:val="28"/>
          <w:lang w:val="en-US" w:eastAsia="zh-CN"/>
        </w:rPr>
        <w:t>中标</w:t>
      </w:r>
      <w:r>
        <w:rPr>
          <w:rFonts w:hint="eastAsia" w:asciiTheme="minorEastAsia" w:hAnsiTheme="minorEastAsia"/>
          <w:sz w:val="24"/>
          <w:szCs w:val="28"/>
        </w:rPr>
        <w:t>单位包工包料完成，</w:t>
      </w:r>
      <w:r>
        <w:rPr>
          <w:rFonts w:hint="eastAsia" w:asciiTheme="minorEastAsia" w:hAnsiTheme="minorEastAsia"/>
          <w:sz w:val="24"/>
          <w:szCs w:val="28"/>
          <w:lang w:val="en-US" w:eastAsia="zh-CN"/>
        </w:rPr>
        <w:t>中标</w:t>
      </w:r>
      <w:r>
        <w:rPr>
          <w:rFonts w:hint="eastAsia" w:asciiTheme="minorEastAsia" w:hAnsiTheme="minorEastAsia"/>
          <w:sz w:val="24"/>
          <w:szCs w:val="28"/>
        </w:rPr>
        <w:t>单位提供的主要材料规格需满足如下的要求（所有材料需经我司人员核查后方可使用）：</w:t>
      </w:r>
    </w:p>
    <w:tbl>
      <w:tblPr>
        <w:tblStyle w:val="20"/>
        <w:tblW w:w="8222" w:type="dxa"/>
        <w:tblInd w:w="108" w:type="dxa"/>
        <w:tblLayout w:type="fixed"/>
        <w:tblCellMar>
          <w:top w:w="15" w:type="dxa"/>
          <w:left w:w="15" w:type="dxa"/>
          <w:bottom w:w="15" w:type="dxa"/>
          <w:right w:w="15" w:type="dxa"/>
        </w:tblCellMar>
      </w:tblPr>
      <w:tblGrid>
        <w:gridCol w:w="2127"/>
        <w:gridCol w:w="2976"/>
        <w:gridCol w:w="993"/>
        <w:gridCol w:w="850"/>
        <w:gridCol w:w="1276"/>
      </w:tblGrid>
      <w:tr>
        <w:tblPrEx>
          <w:tblCellMar>
            <w:top w:w="15" w:type="dxa"/>
            <w:left w:w="15" w:type="dxa"/>
            <w:bottom w:w="15" w:type="dxa"/>
            <w:right w:w="15" w:type="dxa"/>
          </w:tblCellMar>
        </w:tblPrEx>
        <w:trPr>
          <w:trHeight w:val="285" w:hRule="atLeast"/>
        </w:trPr>
        <w:tc>
          <w:tcPr>
            <w:tcW w:w="212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名称</w:t>
            </w:r>
          </w:p>
        </w:tc>
        <w:tc>
          <w:tcPr>
            <w:tcW w:w="2976" w:type="dxa"/>
            <w:tcBorders>
              <w:top w:val="single" w:color="000000" w:sz="4" w:space="0"/>
              <w:left w:val="nil"/>
              <w:bottom w:val="single" w:color="auto"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规格</w:t>
            </w:r>
          </w:p>
        </w:tc>
        <w:tc>
          <w:tcPr>
            <w:tcW w:w="993" w:type="dxa"/>
            <w:tcBorders>
              <w:top w:val="single" w:color="000000" w:sz="4" w:space="0"/>
              <w:left w:val="nil"/>
              <w:bottom w:val="single" w:color="auto"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单位</w:t>
            </w:r>
          </w:p>
        </w:tc>
        <w:tc>
          <w:tcPr>
            <w:tcW w:w="850" w:type="dxa"/>
            <w:tcBorders>
              <w:top w:val="single" w:color="000000" w:sz="4" w:space="0"/>
              <w:left w:val="nil"/>
              <w:bottom w:val="single" w:color="auto"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数量</w:t>
            </w:r>
          </w:p>
        </w:tc>
        <w:tc>
          <w:tcPr>
            <w:tcW w:w="1276" w:type="dxa"/>
            <w:tcBorders>
              <w:top w:val="single" w:color="000000" w:sz="4" w:space="0"/>
              <w:left w:val="nil"/>
              <w:bottom w:val="single" w:color="auto"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备注</w:t>
            </w:r>
          </w:p>
        </w:tc>
      </w:tr>
      <w:tr>
        <w:tblPrEx>
          <w:tblCellMar>
            <w:top w:w="15" w:type="dxa"/>
            <w:left w:w="15" w:type="dxa"/>
            <w:bottom w:w="15" w:type="dxa"/>
            <w:right w:w="15" w:type="dxa"/>
          </w:tblCellMar>
        </w:tblPrEx>
        <w:trPr>
          <w:trHeight w:val="446"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D</w:t>
            </w:r>
            <w:r>
              <w:rPr>
                <w:rFonts w:ascii="宋体" w:hAnsi="宋体"/>
                <w:sz w:val="24"/>
                <w:szCs w:val="24"/>
              </w:rPr>
              <w:t>N50</w:t>
            </w:r>
            <w:r>
              <w:rPr>
                <w:rFonts w:hint="eastAsia" w:ascii="宋体" w:hAnsi="宋体"/>
                <w:sz w:val="24"/>
                <w:szCs w:val="24"/>
              </w:rPr>
              <w:t>盲板</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color w:val="000000"/>
                <w:kern w:val="0"/>
                <w:sz w:val="24"/>
                <w:szCs w:val="24"/>
              </w:rPr>
              <w:t>DN50</w:t>
            </w:r>
            <w:r>
              <w:rPr>
                <w:rFonts w:hint="eastAsia" w:ascii="宋体" w:hAnsi="宋体"/>
                <w:color w:val="000000"/>
                <w:kern w:val="0"/>
                <w:sz w:val="24"/>
                <w:szCs w:val="24"/>
              </w:rPr>
              <w:t>，碳钢材质，厚度不低于同规格管厚</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rPr>
              <w:t>个</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6</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CellMar>
            <w:top w:w="15" w:type="dxa"/>
            <w:left w:w="15" w:type="dxa"/>
            <w:bottom w:w="15" w:type="dxa"/>
            <w:right w:w="15" w:type="dxa"/>
          </w:tblCellMar>
        </w:tblPrEx>
        <w:trPr>
          <w:trHeight w:val="610" w:hRule="atLeast"/>
        </w:trPr>
        <w:tc>
          <w:tcPr>
            <w:tcW w:w="212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4"/>
                <w:szCs w:val="24"/>
              </w:rPr>
              <w:t>D</w:t>
            </w:r>
            <w:r>
              <w:rPr>
                <w:rFonts w:ascii="宋体" w:hAnsi="宋体"/>
                <w:sz w:val="24"/>
                <w:szCs w:val="24"/>
              </w:rPr>
              <w:t>N</w:t>
            </w:r>
            <w:r>
              <w:rPr>
                <w:rFonts w:hint="eastAsia" w:ascii="宋体" w:hAnsi="宋体"/>
                <w:sz w:val="24"/>
                <w:szCs w:val="24"/>
              </w:rPr>
              <w:t>150盲板</w:t>
            </w:r>
            <w:r>
              <w:rPr>
                <w:rFonts w:ascii="宋体" w:hAnsi="宋体"/>
                <w:sz w:val="24"/>
                <w:szCs w:val="24"/>
              </w:rPr>
              <w:t xml:space="preserve"> </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color w:val="000000"/>
                <w:kern w:val="0"/>
                <w:sz w:val="24"/>
                <w:szCs w:val="24"/>
              </w:rPr>
              <w:t>DN</w:t>
            </w:r>
            <w:r>
              <w:rPr>
                <w:rFonts w:hint="eastAsia" w:ascii="宋体" w:hAnsi="宋体"/>
                <w:color w:val="000000"/>
                <w:kern w:val="0"/>
                <w:sz w:val="24"/>
                <w:szCs w:val="24"/>
              </w:rPr>
              <w:t>1</w:t>
            </w:r>
            <w:r>
              <w:rPr>
                <w:rFonts w:ascii="宋体" w:hAnsi="宋体"/>
                <w:color w:val="000000"/>
                <w:kern w:val="0"/>
                <w:sz w:val="24"/>
                <w:szCs w:val="24"/>
              </w:rPr>
              <w:t>50</w:t>
            </w:r>
            <w:r>
              <w:rPr>
                <w:rFonts w:hint="eastAsia" w:ascii="宋体" w:hAnsi="宋体"/>
                <w:color w:val="000000"/>
                <w:kern w:val="0"/>
                <w:sz w:val="24"/>
                <w:szCs w:val="24"/>
              </w:rPr>
              <w:t>，碳钢材质，厚度不低于同规格管厚</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rPr>
              <w:t>个</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CellMar>
            <w:top w:w="15" w:type="dxa"/>
            <w:left w:w="15" w:type="dxa"/>
            <w:bottom w:w="15" w:type="dxa"/>
            <w:right w:w="15" w:type="dxa"/>
          </w:tblCellMar>
        </w:tblPrEx>
        <w:trPr>
          <w:trHeight w:val="533"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D</w:t>
            </w:r>
            <w:r>
              <w:rPr>
                <w:rFonts w:ascii="宋体" w:hAnsi="宋体"/>
                <w:sz w:val="24"/>
                <w:szCs w:val="24"/>
              </w:rPr>
              <w:t>N</w:t>
            </w:r>
            <w:r>
              <w:rPr>
                <w:rFonts w:hint="eastAsia" w:ascii="宋体" w:hAnsi="宋体"/>
                <w:sz w:val="24"/>
                <w:szCs w:val="24"/>
              </w:rPr>
              <w:t>100盲板</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C00000"/>
                <w:kern w:val="0"/>
                <w:sz w:val="24"/>
                <w:szCs w:val="24"/>
              </w:rPr>
            </w:pPr>
            <w:r>
              <w:rPr>
                <w:rFonts w:ascii="宋体" w:hAnsi="宋体"/>
                <w:color w:val="000000"/>
                <w:kern w:val="0"/>
                <w:sz w:val="24"/>
                <w:szCs w:val="24"/>
              </w:rPr>
              <w:t>DN</w:t>
            </w:r>
            <w:r>
              <w:rPr>
                <w:rFonts w:hint="eastAsia" w:ascii="宋体" w:hAnsi="宋体"/>
                <w:color w:val="000000"/>
                <w:kern w:val="0"/>
                <w:sz w:val="24"/>
                <w:szCs w:val="24"/>
              </w:rPr>
              <w:t>10</w:t>
            </w:r>
            <w:r>
              <w:rPr>
                <w:rFonts w:ascii="宋体" w:hAnsi="宋体"/>
                <w:color w:val="000000"/>
                <w:kern w:val="0"/>
                <w:sz w:val="24"/>
                <w:szCs w:val="24"/>
              </w:rPr>
              <w:t>0</w:t>
            </w:r>
            <w:r>
              <w:rPr>
                <w:rFonts w:hint="eastAsia" w:ascii="宋体" w:hAnsi="宋体"/>
                <w:color w:val="000000"/>
                <w:kern w:val="0"/>
                <w:sz w:val="24"/>
                <w:szCs w:val="24"/>
              </w:rPr>
              <w:t>，碳钢材质，厚度不低于同规格管厚</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kern w:val="0"/>
                <w:sz w:val="24"/>
                <w:szCs w:val="24"/>
              </w:rPr>
              <w:t>个</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12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CellMar>
            <w:top w:w="15" w:type="dxa"/>
            <w:left w:w="15" w:type="dxa"/>
            <w:bottom w:w="15" w:type="dxa"/>
            <w:right w:w="15" w:type="dxa"/>
          </w:tblCellMar>
        </w:tblPrEx>
        <w:trPr>
          <w:trHeight w:val="1157"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D</w:t>
            </w:r>
            <w:r>
              <w:rPr>
                <w:rFonts w:ascii="宋体" w:hAnsi="宋体"/>
                <w:sz w:val="24"/>
                <w:szCs w:val="24"/>
              </w:rPr>
              <w:t>N</w:t>
            </w:r>
            <w:r>
              <w:rPr>
                <w:rFonts w:hint="eastAsia" w:ascii="宋体" w:hAnsi="宋体"/>
                <w:sz w:val="24"/>
                <w:szCs w:val="24"/>
              </w:rPr>
              <w:t>125盲板</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color w:val="000000"/>
                <w:kern w:val="0"/>
                <w:sz w:val="24"/>
                <w:szCs w:val="24"/>
              </w:rPr>
              <w:t>DN</w:t>
            </w:r>
            <w:r>
              <w:rPr>
                <w:rFonts w:hint="eastAsia" w:ascii="宋体" w:hAnsi="宋体"/>
                <w:color w:val="000000"/>
                <w:kern w:val="0"/>
                <w:sz w:val="24"/>
                <w:szCs w:val="24"/>
              </w:rPr>
              <w:t>125，碳钢材质，厚度不低于同规格管厚</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kern w:val="0"/>
                <w:sz w:val="24"/>
                <w:szCs w:val="24"/>
              </w:rPr>
              <w:t>个</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CellMar>
            <w:top w:w="15" w:type="dxa"/>
            <w:left w:w="15" w:type="dxa"/>
            <w:bottom w:w="15" w:type="dxa"/>
            <w:right w:w="15" w:type="dxa"/>
          </w:tblCellMar>
        </w:tblPrEx>
        <w:trPr>
          <w:trHeight w:val="1157"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sz w:val="24"/>
                <w:szCs w:val="24"/>
              </w:rPr>
              <w:t>DN100</w:t>
            </w:r>
            <w:r>
              <w:rPr>
                <w:rFonts w:hint="eastAsia" w:ascii="宋体" w:hAnsi="宋体"/>
                <w:sz w:val="24"/>
                <w:szCs w:val="24"/>
              </w:rPr>
              <w:t>阀门</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D</w:t>
            </w:r>
            <w:r>
              <w:rPr>
                <w:rFonts w:ascii="宋体" w:hAnsi="宋体"/>
                <w:color w:val="000000"/>
                <w:kern w:val="0"/>
                <w:sz w:val="24"/>
                <w:szCs w:val="24"/>
              </w:rPr>
              <w:t>N100</w:t>
            </w:r>
            <w:r>
              <w:rPr>
                <w:rFonts w:hint="eastAsia" w:ascii="宋体" w:hAnsi="宋体"/>
                <w:color w:val="000000"/>
                <w:kern w:val="0"/>
                <w:sz w:val="24"/>
                <w:szCs w:val="24"/>
              </w:rPr>
              <w:t>阀门，P</w:t>
            </w:r>
            <w:r>
              <w:rPr>
                <w:rFonts w:ascii="宋体" w:hAnsi="宋体"/>
                <w:color w:val="000000"/>
                <w:kern w:val="0"/>
                <w:sz w:val="24"/>
                <w:szCs w:val="24"/>
              </w:rPr>
              <w:t>N</w:t>
            </w:r>
            <w:r>
              <w:rPr>
                <w:rFonts w:hint="eastAsia" w:ascii="宋体" w:hAnsi="宋体"/>
                <w:color w:val="000000"/>
                <w:kern w:val="0"/>
                <w:sz w:val="24"/>
                <w:szCs w:val="24"/>
              </w:rPr>
              <w:t>10</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kern w:val="0"/>
                <w:sz w:val="24"/>
                <w:szCs w:val="24"/>
              </w:rPr>
              <w:t>个</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9</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CellMar>
            <w:top w:w="15" w:type="dxa"/>
            <w:left w:w="15" w:type="dxa"/>
            <w:bottom w:w="15" w:type="dxa"/>
            <w:right w:w="15" w:type="dxa"/>
          </w:tblCellMar>
        </w:tblPrEx>
        <w:trPr>
          <w:trHeight w:val="1157"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sz w:val="24"/>
                <w:szCs w:val="24"/>
              </w:rPr>
              <w:t>DN1</w:t>
            </w:r>
            <w:r>
              <w:rPr>
                <w:rFonts w:hint="eastAsia" w:ascii="宋体" w:hAnsi="宋体"/>
                <w:sz w:val="24"/>
                <w:szCs w:val="24"/>
              </w:rPr>
              <w:t>25阀门</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D</w:t>
            </w:r>
            <w:r>
              <w:rPr>
                <w:rFonts w:ascii="宋体" w:hAnsi="宋体"/>
                <w:color w:val="000000"/>
                <w:kern w:val="0"/>
                <w:sz w:val="24"/>
                <w:szCs w:val="24"/>
              </w:rPr>
              <w:t>N1</w:t>
            </w:r>
            <w:r>
              <w:rPr>
                <w:rFonts w:hint="eastAsia" w:ascii="宋体" w:hAnsi="宋体"/>
                <w:color w:val="000000"/>
                <w:kern w:val="0"/>
                <w:sz w:val="24"/>
                <w:szCs w:val="24"/>
              </w:rPr>
              <w:t>25阀门，P</w:t>
            </w:r>
            <w:r>
              <w:rPr>
                <w:rFonts w:ascii="宋体" w:hAnsi="宋体"/>
                <w:color w:val="000000"/>
                <w:kern w:val="0"/>
                <w:sz w:val="24"/>
                <w:szCs w:val="24"/>
              </w:rPr>
              <w:t>N</w:t>
            </w:r>
            <w:r>
              <w:rPr>
                <w:rFonts w:hint="eastAsia" w:ascii="宋体" w:hAnsi="宋体"/>
                <w:color w:val="000000"/>
                <w:kern w:val="0"/>
                <w:sz w:val="24"/>
                <w:szCs w:val="24"/>
              </w:rPr>
              <w:t>10</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kern w:val="0"/>
                <w:sz w:val="24"/>
                <w:szCs w:val="24"/>
              </w:rPr>
              <w:t>个</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sz w:val="24"/>
                <w:szCs w:val="24"/>
              </w:rPr>
              <w:t>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CellMar>
            <w:top w:w="15" w:type="dxa"/>
            <w:left w:w="15" w:type="dxa"/>
            <w:bottom w:w="15" w:type="dxa"/>
            <w:right w:w="15" w:type="dxa"/>
          </w:tblCellMar>
        </w:tblPrEx>
        <w:trPr>
          <w:trHeight w:val="1157"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sz w:val="24"/>
                <w:szCs w:val="24"/>
              </w:rPr>
              <w:t>DN1</w:t>
            </w:r>
            <w:r>
              <w:rPr>
                <w:rFonts w:hint="eastAsia" w:ascii="宋体" w:hAnsi="宋体"/>
                <w:sz w:val="24"/>
                <w:szCs w:val="24"/>
              </w:rPr>
              <w:t>5</w:t>
            </w:r>
            <w:r>
              <w:rPr>
                <w:rFonts w:ascii="宋体" w:hAnsi="宋体"/>
                <w:sz w:val="24"/>
                <w:szCs w:val="24"/>
              </w:rPr>
              <w:t>0</w:t>
            </w:r>
            <w:r>
              <w:rPr>
                <w:rFonts w:hint="eastAsia" w:ascii="宋体" w:hAnsi="宋体"/>
                <w:sz w:val="24"/>
                <w:szCs w:val="24"/>
              </w:rPr>
              <w:t>阀门</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D</w:t>
            </w:r>
            <w:r>
              <w:rPr>
                <w:rFonts w:ascii="宋体" w:hAnsi="宋体"/>
                <w:color w:val="000000"/>
                <w:kern w:val="0"/>
                <w:sz w:val="24"/>
                <w:szCs w:val="24"/>
              </w:rPr>
              <w:t>N1</w:t>
            </w:r>
            <w:r>
              <w:rPr>
                <w:rFonts w:hint="eastAsia" w:ascii="宋体" w:hAnsi="宋体"/>
                <w:color w:val="000000"/>
                <w:kern w:val="0"/>
                <w:sz w:val="24"/>
                <w:szCs w:val="24"/>
              </w:rPr>
              <w:t>50阀门，P</w:t>
            </w:r>
            <w:r>
              <w:rPr>
                <w:rFonts w:ascii="宋体" w:hAnsi="宋体"/>
                <w:color w:val="000000"/>
                <w:kern w:val="0"/>
                <w:sz w:val="24"/>
                <w:szCs w:val="24"/>
              </w:rPr>
              <w:t>N</w:t>
            </w:r>
            <w:r>
              <w:rPr>
                <w:rFonts w:hint="eastAsia" w:ascii="宋体" w:hAnsi="宋体"/>
                <w:color w:val="000000"/>
                <w:kern w:val="0"/>
                <w:sz w:val="24"/>
                <w:szCs w:val="24"/>
              </w:rPr>
              <w:t>10</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kern w:val="0"/>
                <w:sz w:val="24"/>
                <w:szCs w:val="24"/>
              </w:rPr>
              <w:t>个</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sz w:val="24"/>
                <w:szCs w:val="24"/>
              </w:rPr>
              <w:t>9</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CellMar>
            <w:top w:w="15" w:type="dxa"/>
            <w:left w:w="15" w:type="dxa"/>
            <w:bottom w:w="15" w:type="dxa"/>
            <w:right w:w="15" w:type="dxa"/>
          </w:tblCellMar>
        </w:tblPrEx>
        <w:trPr>
          <w:trHeight w:val="1157"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ascii="宋体" w:hAnsi="宋体"/>
                <w:sz w:val="24"/>
                <w:szCs w:val="24"/>
              </w:rPr>
              <w:t>DN</w:t>
            </w:r>
            <w:r>
              <w:rPr>
                <w:rFonts w:hint="eastAsia" w:ascii="宋体" w:hAnsi="宋体"/>
                <w:sz w:val="24"/>
                <w:szCs w:val="24"/>
              </w:rPr>
              <w:t>20</w:t>
            </w:r>
            <w:r>
              <w:rPr>
                <w:rFonts w:ascii="宋体" w:hAnsi="宋体"/>
                <w:sz w:val="24"/>
                <w:szCs w:val="24"/>
              </w:rPr>
              <w:t>0</w:t>
            </w:r>
            <w:r>
              <w:rPr>
                <w:rFonts w:hint="eastAsia" w:ascii="宋体" w:hAnsi="宋体"/>
                <w:sz w:val="24"/>
                <w:szCs w:val="24"/>
              </w:rPr>
              <w:t>阀门</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D</w:t>
            </w:r>
            <w:r>
              <w:rPr>
                <w:rFonts w:ascii="宋体" w:hAnsi="宋体"/>
                <w:color w:val="000000"/>
                <w:kern w:val="0"/>
                <w:sz w:val="24"/>
                <w:szCs w:val="24"/>
              </w:rPr>
              <w:t>N</w:t>
            </w:r>
            <w:r>
              <w:rPr>
                <w:rFonts w:hint="eastAsia" w:ascii="宋体" w:hAnsi="宋体"/>
                <w:color w:val="000000"/>
                <w:kern w:val="0"/>
                <w:sz w:val="24"/>
                <w:szCs w:val="24"/>
              </w:rPr>
              <w:t>2</w:t>
            </w:r>
            <w:r>
              <w:rPr>
                <w:rFonts w:ascii="宋体" w:hAnsi="宋体"/>
                <w:color w:val="000000"/>
                <w:kern w:val="0"/>
                <w:sz w:val="24"/>
                <w:szCs w:val="24"/>
              </w:rPr>
              <w:t>00</w:t>
            </w:r>
            <w:r>
              <w:rPr>
                <w:rFonts w:hint="eastAsia" w:ascii="宋体" w:hAnsi="宋体"/>
                <w:color w:val="000000"/>
                <w:kern w:val="0"/>
                <w:sz w:val="24"/>
                <w:szCs w:val="24"/>
              </w:rPr>
              <w:t>阀门，P</w:t>
            </w:r>
            <w:r>
              <w:rPr>
                <w:rFonts w:ascii="宋体" w:hAnsi="宋体"/>
                <w:color w:val="000000"/>
                <w:kern w:val="0"/>
                <w:sz w:val="24"/>
                <w:szCs w:val="24"/>
              </w:rPr>
              <w:t>N</w:t>
            </w:r>
            <w:r>
              <w:rPr>
                <w:rFonts w:hint="eastAsia" w:ascii="宋体" w:hAnsi="宋体"/>
                <w:color w:val="000000"/>
                <w:kern w:val="0"/>
                <w:sz w:val="24"/>
                <w:szCs w:val="24"/>
              </w:rPr>
              <w:t>10</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kern w:val="0"/>
                <w:sz w:val="24"/>
                <w:szCs w:val="24"/>
              </w:rPr>
              <w:t>个</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sz w:val="24"/>
                <w:szCs w:val="24"/>
              </w:rPr>
              <w:t>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CellMar>
            <w:top w:w="15" w:type="dxa"/>
            <w:left w:w="15" w:type="dxa"/>
            <w:bottom w:w="15" w:type="dxa"/>
            <w:right w:w="15" w:type="dxa"/>
          </w:tblCellMar>
        </w:tblPrEx>
        <w:trPr>
          <w:trHeight w:val="1157" w:hRule="atLeast"/>
        </w:trPr>
        <w:tc>
          <w:tcPr>
            <w:tcW w:w="212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保温棉</w:t>
            </w:r>
          </w:p>
        </w:tc>
        <w:tc>
          <w:tcPr>
            <w:tcW w:w="2976" w:type="dxa"/>
            <w:tcBorders>
              <w:top w:val="single" w:color="auto"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橡塑保温棉</w:t>
            </w:r>
          </w:p>
        </w:tc>
        <w:tc>
          <w:tcPr>
            <w:tcW w:w="993" w:type="dxa"/>
            <w:tcBorders>
              <w:top w:val="single" w:color="auto"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ascii="宋体" w:hAnsi="宋体"/>
                <w:color w:val="000000"/>
                <w:kern w:val="0"/>
                <w:sz w:val="24"/>
                <w:szCs w:val="24"/>
              </w:rPr>
              <w:t>m3</w:t>
            </w:r>
          </w:p>
        </w:tc>
        <w:tc>
          <w:tcPr>
            <w:tcW w:w="850" w:type="dxa"/>
            <w:tcBorders>
              <w:top w:val="single" w:color="auto"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4</w:t>
            </w:r>
          </w:p>
        </w:tc>
        <w:tc>
          <w:tcPr>
            <w:tcW w:w="1276" w:type="dxa"/>
            <w:tcBorders>
              <w:top w:val="single" w:color="auto"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厚度25mm</w:t>
            </w:r>
          </w:p>
        </w:tc>
      </w:tr>
    </w:tbl>
    <w:p>
      <w:pPr>
        <w:numPr>
          <w:ilvl w:val="0"/>
          <w:numId w:val="0"/>
        </w:numPr>
        <w:spacing w:before="120" w:beforeLines="50" w:after="120" w:afterLines="50" w:line="360" w:lineRule="auto"/>
        <w:rPr>
          <w:rFonts w:hint="eastAsia" w:ascii="宋体" w:hAnsi="宋体"/>
          <w:sz w:val="28"/>
          <w:szCs w:val="28"/>
        </w:rPr>
      </w:pPr>
    </w:p>
    <w:p>
      <w:pPr>
        <w:numPr>
          <w:ilvl w:val="0"/>
          <w:numId w:val="4"/>
        </w:numPr>
        <w:spacing w:before="120" w:beforeLines="50" w:after="120" w:afterLines="50" w:line="360" w:lineRule="auto"/>
        <w:ind w:left="420" w:leftChars="200" w:firstLine="0" w:firstLineChars="0"/>
        <w:rPr>
          <w:rFonts w:ascii="宋体" w:hAnsi="宋体"/>
          <w:b/>
          <w:sz w:val="24"/>
        </w:rPr>
      </w:pPr>
      <w:r>
        <w:rPr>
          <w:rFonts w:hint="eastAsia" w:ascii="宋体" w:hAnsi="宋体"/>
          <w:b/>
          <w:sz w:val="24"/>
        </w:rPr>
        <w:t>工程量及材料说明</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以下工程量仅作参考，本项目由投标人包工包料（注明甲供材料除外），投标人勘踏现场后，应根据下表及结合现场实际情况综合考虑再进行报价。</w:t>
      </w:r>
    </w:p>
    <w:tbl>
      <w:tblPr>
        <w:tblStyle w:val="20"/>
        <w:tblW w:w="8758" w:type="dxa"/>
        <w:jc w:val="center"/>
        <w:tblLayout w:type="fixed"/>
        <w:tblCellMar>
          <w:top w:w="0" w:type="dxa"/>
          <w:left w:w="108" w:type="dxa"/>
          <w:bottom w:w="0" w:type="dxa"/>
          <w:right w:w="108" w:type="dxa"/>
        </w:tblCellMar>
      </w:tblPr>
      <w:tblGrid>
        <w:gridCol w:w="456"/>
        <w:gridCol w:w="1987"/>
        <w:gridCol w:w="1034"/>
        <w:gridCol w:w="892"/>
        <w:gridCol w:w="3671"/>
        <w:gridCol w:w="718"/>
      </w:tblGrid>
      <w:tr>
        <w:tblPrEx>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198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项目</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单位</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数量</w:t>
            </w:r>
          </w:p>
        </w:tc>
        <w:tc>
          <w:tcPr>
            <w:tcW w:w="3671"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项目描述</w:t>
            </w:r>
          </w:p>
        </w:tc>
        <w:tc>
          <w:tcPr>
            <w:tcW w:w="71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trHeight w:val="844"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D</w:t>
            </w:r>
            <w:r>
              <w:rPr>
                <w:rFonts w:ascii="宋体" w:hAnsi="宋体"/>
                <w:sz w:val="24"/>
                <w:szCs w:val="24"/>
              </w:rPr>
              <w:t>N50</w:t>
            </w:r>
            <w:r>
              <w:rPr>
                <w:rFonts w:hint="eastAsia" w:ascii="宋体" w:hAnsi="宋体"/>
                <w:sz w:val="24"/>
                <w:szCs w:val="24"/>
              </w:rPr>
              <w:t>盲板封堵</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3671" w:type="dxa"/>
            <w:tcBorders>
              <w:top w:val="single" w:color="auto" w:sz="4" w:space="0"/>
              <w:left w:val="nil"/>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将旁通管切割，旁通管两头用盲板焊接</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102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D</w:t>
            </w:r>
            <w:r>
              <w:rPr>
                <w:rFonts w:ascii="宋体" w:hAnsi="宋体"/>
                <w:sz w:val="24"/>
                <w:szCs w:val="24"/>
              </w:rPr>
              <w:t>N</w:t>
            </w:r>
            <w:r>
              <w:rPr>
                <w:rFonts w:hint="eastAsia" w:ascii="宋体" w:hAnsi="宋体"/>
                <w:sz w:val="24"/>
                <w:szCs w:val="24"/>
              </w:rPr>
              <w:t>150盲板封堵</w:t>
            </w:r>
            <w:r>
              <w:rPr>
                <w:rFonts w:ascii="宋体" w:hAnsi="宋体"/>
                <w:sz w:val="24"/>
                <w:szCs w:val="24"/>
              </w:rPr>
              <w:t xml:space="preserve"> </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3671" w:type="dxa"/>
            <w:tcBorders>
              <w:top w:val="single" w:color="auto" w:sz="4" w:space="0"/>
              <w:left w:val="nil"/>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将旁通管切割，旁通管两头用盲板焊接</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D</w:t>
            </w:r>
            <w:r>
              <w:rPr>
                <w:rFonts w:ascii="宋体" w:hAnsi="宋体"/>
                <w:sz w:val="24"/>
                <w:szCs w:val="24"/>
              </w:rPr>
              <w:t>N</w:t>
            </w:r>
            <w:r>
              <w:rPr>
                <w:rFonts w:hint="eastAsia" w:ascii="宋体" w:hAnsi="宋体"/>
                <w:sz w:val="24"/>
                <w:szCs w:val="24"/>
              </w:rPr>
              <w:t>100盲板封堵</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12</w:t>
            </w:r>
          </w:p>
        </w:tc>
        <w:tc>
          <w:tcPr>
            <w:tcW w:w="3671"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ascii="宋体" w:hAnsi="宋体"/>
                <w:sz w:val="24"/>
                <w:szCs w:val="24"/>
              </w:rPr>
              <w:t>将旁通管切割，旁通管两头用盲板焊接</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D</w:t>
            </w:r>
            <w:r>
              <w:rPr>
                <w:rFonts w:ascii="宋体" w:hAnsi="宋体"/>
                <w:sz w:val="24"/>
                <w:szCs w:val="24"/>
              </w:rPr>
              <w:t>N</w:t>
            </w:r>
            <w:r>
              <w:rPr>
                <w:rFonts w:hint="eastAsia" w:ascii="宋体" w:hAnsi="宋体"/>
                <w:sz w:val="24"/>
                <w:szCs w:val="24"/>
              </w:rPr>
              <w:t>125盲板封堵</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3671"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将旁通管切割，旁通管两头用盲板焊接</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5</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ascii="宋体" w:hAnsi="宋体"/>
                <w:sz w:val="24"/>
                <w:szCs w:val="24"/>
              </w:rPr>
              <w:t>DN100</w:t>
            </w:r>
            <w:r>
              <w:rPr>
                <w:rFonts w:hint="eastAsia" w:ascii="宋体" w:hAnsi="宋体"/>
                <w:sz w:val="24"/>
                <w:szCs w:val="24"/>
              </w:rPr>
              <w:t>阀门更换</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9</w:t>
            </w:r>
          </w:p>
        </w:tc>
        <w:tc>
          <w:tcPr>
            <w:tcW w:w="3671"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将原有阀门拆下，切除两侧法兰，焊接新法兰，安装垫片、阀门</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ascii="宋体" w:hAnsi="宋体"/>
                <w:sz w:val="24"/>
                <w:szCs w:val="24"/>
              </w:rPr>
              <w:t>DN1</w:t>
            </w:r>
            <w:r>
              <w:rPr>
                <w:rFonts w:hint="eastAsia" w:ascii="宋体" w:hAnsi="宋体"/>
                <w:sz w:val="24"/>
                <w:szCs w:val="24"/>
              </w:rPr>
              <w:t>25阀门更换</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3</w:t>
            </w:r>
          </w:p>
        </w:tc>
        <w:tc>
          <w:tcPr>
            <w:tcW w:w="3671"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将原有阀门拆下，切除两侧法兰，焊接新法兰，安装垫片、阀门</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ascii="宋体" w:hAnsi="宋体"/>
                <w:sz w:val="24"/>
                <w:szCs w:val="24"/>
              </w:rPr>
              <w:t>DN1</w:t>
            </w:r>
            <w:r>
              <w:rPr>
                <w:rFonts w:hint="eastAsia" w:ascii="宋体" w:hAnsi="宋体"/>
                <w:sz w:val="24"/>
                <w:szCs w:val="24"/>
              </w:rPr>
              <w:t>5</w:t>
            </w:r>
            <w:r>
              <w:rPr>
                <w:rFonts w:ascii="宋体" w:hAnsi="宋体"/>
                <w:sz w:val="24"/>
                <w:szCs w:val="24"/>
              </w:rPr>
              <w:t>0</w:t>
            </w:r>
            <w:r>
              <w:rPr>
                <w:rFonts w:hint="eastAsia" w:ascii="宋体" w:hAnsi="宋体"/>
                <w:sz w:val="24"/>
                <w:szCs w:val="24"/>
              </w:rPr>
              <w:t>阀门更换</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9</w:t>
            </w:r>
          </w:p>
        </w:tc>
        <w:tc>
          <w:tcPr>
            <w:tcW w:w="3671"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将原有阀门拆下，切除两侧法兰，焊接新法兰，安装垫片、阀门，其中北亭广场板换间添加一段D</w:t>
            </w:r>
            <w:r>
              <w:rPr>
                <w:rFonts w:ascii="宋体" w:hAnsi="宋体"/>
                <w:sz w:val="24"/>
                <w:szCs w:val="24"/>
              </w:rPr>
              <w:t>N150</w:t>
            </w:r>
            <w:r>
              <w:rPr>
                <w:rFonts w:hint="eastAsia" w:ascii="宋体" w:hAnsi="宋体"/>
                <w:sz w:val="24"/>
                <w:szCs w:val="24"/>
              </w:rPr>
              <w:t>短管后安装阀门，短管长度1m</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8</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ascii="宋体" w:hAnsi="宋体"/>
                <w:sz w:val="24"/>
                <w:szCs w:val="24"/>
              </w:rPr>
              <w:t>DN</w:t>
            </w:r>
            <w:r>
              <w:rPr>
                <w:rFonts w:hint="eastAsia" w:ascii="宋体" w:hAnsi="宋体"/>
                <w:sz w:val="24"/>
                <w:szCs w:val="24"/>
              </w:rPr>
              <w:t>20</w:t>
            </w:r>
            <w:r>
              <w:rPr>
                <w:rFonts w:ascii="宋体" w:hAnsi="宋体"/>
                <w:sz w:val="24"/>
                <w:szCs w:val="24"/>
              </w:rPr>
              <w:t>0</w:t>
            </w:r>
            <w:r>
              <w:rPr>
                <w:rFonts w:hint="eastAsia" w:ascii="宋体" w:hAnsi="宋体"/>
                <w:sz w:val="24"/>
                <w:szCs w:val="24"/>
              </w:rPr>
              <w:t>阀门更换</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3671"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将原有阀门拆下，切除两侧法兰，焊接新法兰，安装垫片、阀门</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9</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除锈刷漆</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w:t>
            </w:r>
          </w:p>
        </w:tc>
        <w:tc>
          <w:tcPr>
            <w:tcW w:w="892"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3671"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将管道除锈刷漆</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10</w:t>
            </w:r>
          </w:p>
        </w:tc>
        <w:tc>
          <w:tcPr>
            <w:tcW w:w="198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保温恢复</w:t>
            </w:r>
          </w:p>
        </w:tc>
        <w:tc>
          <w:tcPr>
            <w:tcW w:w="1034"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m3</w:t>
            </w:r>
          </w:p>
        </w:tc>
        <w:tc>
          <w:tcPr>
            <w:tcW w:w="892" w:type="dxa"/>
            <w:tcBorders>
              <w:top w:val="single" w:color="auto" w:sz="4" w:space="0"/>
              <w:left w:val="nil"/>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4</w:t>
            </w:r>
          </w:p>
        </w:tc>
        <w:tc>
          <w:tcPr>
            <w:tcW w:w="3671"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25mm厚橡塑保温，包两层</w:t>
            </w:r>
          </w:p>
        </w:tc>
        <w:tc>
          <w:tcPr>
            <w:tcW w:w="718"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bl>
    <w:p>
      <w:pPr>
        <w:ind w:firstLine="420"/>
        <w:rPr>
          <w:rFonts w:hint="eastAsia" w:ascii="宋体" w:hAnsi="宋体"/>
          <w:sz w:val="24"/>
        </w:rPr>
      </w:pPr>
      <w:r>
        <w:rPr>
          <w:rFonts w:hint="eastAsia" w:ascii="宋体" w:hAnsi="宋体"/>
          <w:sz w:val="24"/>
          <w:szCs w:val="24"/>
        </w:rPr>
        <w:t>备注：本项目材料、机械、器具等均由乙方提供。</w:t>
      </w:r>
    </w:p>
    <w:p>
      <w:pPr>
        <w:numPr>
          <w:ilvl w:val="0"/>
          <w:numId w:val="0"/>
        </w:numPr>
        <w:spacing w:before="120" w:beforeLines="50" w:after="120" w:afterLines="50" w:line="360" w:lineRule="auto"/>
        <w:ind w:leftChars="200"/>
        <w:rPr>
          <w:rFonts w:ascii="宋体" w:hAnsi="宋体"/>
          <w:b/>
          <w:sz w:val="24"/>
        </w:rPr>
      </w:pPr>
      <w:r>
        <w:rPr>
          <w:rFonts w:hint="eastAsia" w:ascii="宋体" w:hAnsi="宋体"/>
          <w:b/>
          <w:sz w:val="24"/>
          <w:lang w:val="en-US" w:eastAsia="zh-CN"/>
        </w:rPr>
        <w:t>六、</w:t>
      </w:r>
      <w:r>
        <w:rPr>
          <w:rFonts w:hint="eastAsia" w:ascii="宋体" w:hAnsi="宋体"/>
          <w:b/>
          <w:sz w:val="24"/>
        </w:rPr>
        <w:t>项目工期、验收标准及质保期限</w:t>
      </w:r>
    </w:p>
    <w:p>
      <w:pPr>
        <w:numPr>
          <w:ilvl w:val="0"/>
          <w:numId w:val="10"/>
        </w:numPr>
        <w:spacing w:before="120" w:beforeLines="50" w:after="120" w:afterLines="50" w:line="360" w:lineRule="auto"/>
        <w:ind w:left="0" w:leftChars="0" w:firstLine="420" w:firstLineChars="0"/>
        <w:rPr>
          <w:sz w:val="24"/>
        </w:rPr>
      </w:pPr>
      <w:r>
        <w:rPr>
          <w:rFonts w:hint="eastAsia"/>
          <w:sz w:val="24"/>
        </w:rPr>
        <w:t>施工工期</w:t>
      </w:r>
    </w:p>
    <w:p>
      <w:pPr>
        <w:numPr>
          <w:ilvl w:val="0"/>
          <w:numId w:val="0"/>
        </w:numPr>
        <w:spacing w:before="120" w:beforeLines="50" w:after="120" w:afterLines="50" w:line="360" w:lineRule="auto"/>
        <w:ind w:left="420" w:leftChars="0"/>
        <w:rPr>
          <w:rFonts w:ascii="宋体" w:hAnsi="宋体" w:cs="宋体"/>
          <w:bCs/>
          <w:kern w:val="0"/>
          <w:sz w:val="24"/>
        </w:rPr>
      </w:pPr>
      <w:r>
        <w:rPr>
          <w:rFonts w:hint="eastAsia" w:ascii="宋体" w:hAnsi="宋体" w:cs="宋体"/>
          <w:bCs/>
          <w:kern w:val="0"/>
          <w:sz w:val="24"/>
        </w:rPr>
        <w:t>本项目</w:t>
      </w:r>
      <w:r>
        <w:rPr>
          <w:rFonts w:hint="eastAsia" w:ascii="宋体" w:hAnsi="宋体" w:cs="宋体"/>
          <w:bCs/>
          <w:kern w:val="0"/>
          <w:sz w:val="24"/>
          <w:lang w:val="en-US" w:eastAsia="zh-CN"/>
        </w:rPr>
        <w:t>需</w:t>
      </w:r>
      <w:r>
        <w:rPr>
          <w:rFonts w:hint="eastAsia" w:ascii="宋体" w:hAnsi="宋体" w:cs="宋体"/>
          <w:bCs/>
          <w:kern w:val="0"/>
          <w:sz w:val="24"/>
        </w:rPr>
        <w:t>于2024年3月31日前完成，项目施工工期60天（含节假日，连续计算），具体开工日期以甲方通知为准。</w:t>
      </w:r>
    </w:p>
    <w:p>
      <w:pPr>
        <w:numPr>
          <w:ilvl w:val="0"/>
          <w:numId w:val="10"/>
        </w:numPr>
        <w:spacing w:before="120" w:beforeLines="50" w:after="120" w:afterLines="50" w:line="360" w:lineRule="auto"/>
        <w:ind w:left="0" w:leftChars="0" w:firstLine="420" w:firstLineChars="0"/>
        <w:rPr>
          <w:sz w:val="24"/>
        </w:rPr>
      </w:pPr>
      <w:r>
        <w:rPr>
          <w:rFonts w:hint="eastAsia"/>
          <w:sz w:val="24"/>
        </w:rPr>
        <w:t>工程验收标准及方式</w:t>
      </w:r>
    </w:p>
    <w:p>
      <w:pPr>
        <w:numPr>
          <w:ilvl w:val="0"/>
          <w:numId w:val="11"/>
        </w:numPr>
        <w:spacing w:line="360" w:lineRule="auto"/>
        <w:ind w:left="425" w:leftChars="0" w:hanging="425" w:firstLineChars="0"/>
        <w:rPr>
          <w:rFonts w:hint="eastAsia" w:ascii="宋体" w:hAnsi="宋体" w:cs="宋体"/>
          <w:bCs/>
          <w:kern w:val="0"/>
          <w:sz w:val="24"/>
        </w:rPr>
      </w:pPr>
      <w:r>
        <w:rPr>
          <w:rFonts w:hint="eastAsia" w:ascii="宋体" w:hAnsi="宋体" w:cs="宋体"/>
          <w:bCs/>
          <w:kern w:val="0"/>
          <w:sz w:val="24"/>
        </w:rPr>
        <w:t>项目要达到的质量要求</w:t>
      </w:r>
      <w:r>
        <w:rPr>
          <w:rFonts w:hint="eastAsia" w:ascii="宋体" w:hAnsi="宋体" w:cs="宋体"/>
          <w:bCs/>
          <w:kern w:val="0"/>
          <w:sz w:val="24"/>
          <w:lang w:eastAsia="zh-CN"/>
        </w:rPr>
        <w:t>：</w:t>
      </w:r>
      <w:r>
        <w:rPr>
          <w:rFonts w:hint="eastAsia" w:ascii="宋体" w:hAnsi="宋体" w:cs="宋体"/>
          <w:bCs/>
          <w:kern w:val="0"/>
          <w:sz w:val="24"/>
        </w:rPr>
        <w:t>除锈后表面确保污物都清除干净，必须保持干燥；漆膜厚度应达到要求标准，漆膜表面必须平整、光洁，没有明显凹凸不平情况出现。焊接缝表面不得有裂纹、焊瘤、烧穿、弧坑等缺陷。</w:t>
      </w:r>
    </w:p>
    <w:p>
      <w:pPr>
        <w:numPr>
          <w:ilvl w:val="0"/>
          <w:numId w:val="11"/>
        </w:numPr>
        <w:spacing w:line="360" w:lineRule="auto"/>
        <w:ind w:left="425" w:leftChars="0" w:hanging="425" w:firstLineChars="0"/>
        <w:rPr>
          <w:rFonts w:ascii="宋体" w:hAnsi="宋体" w:cs="宋体"/>
          <w:bCs/>
          <w:kern w:val="0"/>
          <w:sz w:val="24"/>
        </w:rPr>
      </w:pPr>
      <w:r>
        <w:rPr>
          <w:rFonts w:hint="eastAsia" w:ascii="宋体" w:hAnsi="宋体" w:cs="宋体"/>
          <w:bCs/>
          <w:kern w:val="0"/>
          <w:sz w:val="24"/>
        </w:rPr>
        <w:t>工程验收标准：《建筑装饰装修工程质量验收标准》（GB50210-2018）、《建筑工程施工质量验收统一标准》（GB50300-2013）以及国家标准给水排水管道工程施工及验收规范(GB50268)</w:t>
      </w:r>
      <w:r>
        <w:rPr>
          <w:rFonts w:hint="eastAsia" w:ascii="宋体" w:hAnsi="宋体" w:cs="宋体"/>
          <w:bCs/>
          <w:kern w:val="0"/>
          <w:sz w:val="24"/>
          <w:lang w:eastAsia="zh-CN"/>
        </w:rPr>
        <w:t>、</w:t>
      </w:r>
      <w:r>
        <w:rPr>
          <w:rFonts w:hint="eastAsia" w:ascii="宋体" w:hAnsi="宋体" w:cs="宋体"/>
          <w:bCs/>
          <w:kern w:val="0"/>
          <w:sz w:val="24"/>
        </w:rPr>
        <w:t>国家和行业相关的其他质量标准要求，完工后统一验收。</w:t>
      </w:r>
    </w:p>
    <w:p>
      <w:pPr>
        <w:numPr>
          <w:ilvl w:val="0"/>
          <w:numId w:val="10"/>
        </w:numPr>
        <w:spacing w:before="120" w:beforeLines="50" w:after="120" w:afterLines="50" w:line="360" w:lineRule="auto"/>
        <w:ind w:left="0" w:leftChars="0" w:firstLine="420" w:firstLineChars="0"/>
        <w:rPr>
          <w:rFonts w:ascii="宋体" w:hAnsi="宋体" w:cs="宋体"/>
          <w:bCs/>
          <w:kern w:val="0"/>
          <w:sz w:val="24"/>
        </w:rPr>
      </w:pPr>
      <w:r>
        <w:rPr>
          <w:rFonts w:hint="eastAsia" w:ascii="宋体" w:hAnsi="宋体" w:cs="宋体"/>
          <w:bCs/>
          <w:kern w:val="0"/>
          <w:sz w:val="24"/>
        </w:rPr>
        <w:t>工程验收</w:t>
      </w:r>
      <w:r>
        <w:rPr>
          <w:rFonts w:hint="eastAsia"/>
          <w:sz w:val="24"/>
        </w:rPr>
        <w:t>的方式：</w:t>
      </w:r>
    </w:p>
    <w:p>
      <w:pPr>
        <w:numPr>
          <w:ilvl w:val="0"/>
          <w:numId w:val="12"/>
        </w:numPr>
        <w:spacing w:before="120" w:beforeLines="50" w:after="120" w:afterLines="50" w:line="360" w:lineRule="auto"/>
        <w:ind w:left="425" w:leftChars="0" w:hanging="425" w:firstLineChars="0"/>
        <w:rPr>
          <w:rFonts w:hint="eastAsia" w:ascii="宋体" w:hAnsi="宋体" w:cs="宋体"/>
          <w:bCs/>
          <w:kern w:val="0"/>
          <w:sz w:val="24"/>
        </w:rPr>
      </w:pPr>
      <w:r>
        <w:rPr>
          <w:rFonts w:hint="eastAsia" w:ascii="宋体" w:hAnsi="宋体" w:cs="宋体"/>
          <w:bCs/>
          <w:kern w:val="0"/>
          <w:sz w:val="24"/>
        </w:rPr>
        <w:t>施工单位在完工后，须提前3天提交工程验收进度计划给采购人，以便采购人组织相关人员对项目进行验收。</w:t>
      </w:r>
    </w:p>
    <w:p>
      <w:pPr>
        <w:numPr>
          <w:ilvl w:val="0"/>
          <w:numId w:val="12"/>
        </w:numPr>
        <w:spacing w:before="120" w:beforeLines="50" w:after="120" w:afterLines="50" w:line="360" w:lineRule="auto"/>
        <w:ind w:left="425" w:leftChars="0" w:hanging="425" w:firstLineChars="0"/>
        <w:rPr>
          <w:rFonts w:ascii="宋体" w:hAnsi="宋体" w:cs="宋体"/>
          <w:bCs/>
          <w:kern w:val="0"/>
          <w:sz w:val="24"/>
        </w:rPr>
      </w:pPr>
      <w:r>
        <w:rPr>
          <w:rFonts w:hint="eastAsia" w:ascii="宋体" w:hAnsi="宋体" w:cs="宋体"/>
          <w:bCs/>
          <w:kern w:val="0"/>
          <w:sz w:val="24"/>
        </w:rPr>
        <w:t>经采购人组织相关人员进行验收合格后，签发验收合格证明文件。</w:t>
      </w:r>
    </w:p>
    <w:p>
      <w:pPr>
        <w:numPr>
          <w:ilvl w:val="0"/>
          <w:numId w:val="12"/>
        </w:numPr>
        <w:spacing w:before="120" w:beforeLines="50" w:after="120" w:afterLines="50" w:line="360" w:lineRule="auto"/>
        <w:ind w:left="425" w:leftChars="0" w:hanging="425" w:firstLineChars="0"/>
        <w:rPr>
          <w:rFonts w:hint="eastAsia" w:ascii="宋体" w:hAnsi="宋体" w:cs="宋体"/>
          <w:bCs/>
          <w:kern w:val="0"/>
          <w:sz w:val="24"/>
        </w:rPr>
      </w:pPr>
      <w:r>
        <w:rPr>
          <w:rFonts w:hint="eastAsia" w:ascii="宋体" w:hAnsi="宋体" w:cs="宋体"/>
          <w:bCs/>
          <w:kern w:val="0"/>
          <w:sz w:val="24"/>
        </w:rPr>
        <w:t>施工单位必须将产品所有资料（如有，包括但不限于设备检验合格证书、3C认证证书等）提交采购人，同时将与项目有关的竣工资料一式两份一起提交给采购人。</w:t>
      </w:r>
    </w:p>
    <w:p>
      <w:pPr>
        <w:numPr>
          <w:ilvl w:val="0"/>
          <w:numId w:val="12"/>
        </w:numPr>
        <w:spacing w:before="120" w:beforeLines="50" w:after="120" w:afterLines="50" w:line="360" w:lineRule="auto"/>
        <w:ind w:left="425" w:leftChars="0" w:hanging="425" w:firstLineChars="0"/>
        <w:rPr>
          <w:rFonts w:hint="eastAsia" w:ascii="宋体" w:hAnsi="宋体" w:cs="宋体"/>
          <w:bCs/>
          <w:kern w:val="0"/>
          <w:sz w:val="24"/>
        </w:rPr>
      </w:pPr>
      <w:r>
        <w:rPr>
          <w:rFonts w:hint="eastAsia" w:ascii="宋体" w:hAnsi="宋体" w:cs="宋体"/>
          <w:bCs/>
          <w:kern w:val="0"/>
          <w:sz w:val="24"/>
        </w:rPr>
        <w:t>来料验收、过程验收及竣工验收。</w:t>
      </w:r>
    </w:p>
    <w:p>
      <w:pPr>
        <w:numPr>
          <w:ilvl w:val="0"/>
          <w:numId w:val="12"/>
        </w:numPr>
        <w:spacing w:before="120" w:beforeLines="50" w:after="120" w:afterLines="50" w:line="360" w:lineRule="auto"/>
        <w:ind w:left="425" w:leftChars="0" w:hanging="425" w:firstLineChars="0"/>
        <w:rPr>
          <w:rFonts w:hint="eastAsia" w:ascii="宋体" w:hAnsi="宋体" w:cs="宋体"/>
          <w:bCs/>
          <w:kern w:val="0"/>
          <w:sz w:val="24"/>
        </w:rPr>
      </w:pPr>
      <w:r>
        <w:rPr>
          <w:rFonts w:hint="eastAsia" w:ascii="宋体" w:hAnsi="宋体" w:cs="宋体"/>
          <w:bCs/>
          <w:kern w:val="0"/>
          <w:sz w:val="24"/>
        </w:rPr>
        <w:t>施工单位提供主要材料样板，资料、得到业主同意后才能使用。</w:t>
      </w:r>
    </w:p>
    <w:p>
      <w:pPr>
        <w:numPr>
          <w:ilvl w:val="0"/>
          <w:numId w:val="10"/>
        </w:numPr>
        <w:spacing w:before="120" w:beforeLines="50" w:after="120" w:afterLines="50" w:line="360" w:lineRule="auto"/>
        <w:ind w:left="0" w:leftChars="0" w:firstLine="420" w:firstLineChars="0"/>
        <w:rPr>
          <w:rFonts w:ascii="宋体" w:hAnsi="宋体" w:cs="宋体"/>
          <w:bCs/>
          <w:kern w:val="0"/>
          <w:sz w:val="24"/>
        </w:rPr>
      </w:pPr>
      <w:r>
        <w:rPr>
          <w:rFonts w:hint="eastAsia" w:ascii="宋体" w:hAnsi="宋体" w:cs="宋体"/>
          <w:bCs/>
          <w:kern w:val="0"/>
          <w:sz w:val="24"/>
        </w:rPr>
        <w:t>质保期及质保期内需履行的特殊义务：质保期</w:t>
      </w:r>
      <w:r>
        <w:rPr>
          <w:rFonts w:hint="eastAsia" w:ascii="宋体" w:hAnsi="宋体" w:cs="宋体"/>
          <w:bCs/>
          <w:kern w:val="0"/>
          <w:sz w:val="24"/>
          <w:lang w:val="en-US" w:eastAsia="zh-CN"/>
        </w:rPr>
        <w:t>2</w:t>
      </w:r>
      <w:r>
        <w:rPr>
          <w:rFonts w:hint="eastAsia" w:ascii="宋体" w:hAnsi="宋体" w:cs="宋体"/>
          <w:bCs/>
          <w:kern w:val="0"/>
          <w:sz w:val="24"/>
        </w:rPr>
        <w:t>年。</w:t>
      </w:r>
    </w:p>
    <w:p>
      <w:pPr>
        <w:numPr>
          <w:ilvl w:val="0"/>
          <w:numId w:val="0"/>
        </w:numPr>
        <w:spacing w:before="120" w:beforeLines="50" w:after="120" w:afterLines="50" w:line="360" w:lineRule="auto"/>
        <w:ind w:leftChars="200"/>
        <w:rPr>
          <w:rFonts w:ascii="宋体" w:hAnsi="宋体"/>
          <w:b/>
          <w:sz w:val="24"/>
        </w:rPr>
      </w:pPr>
      <w:r>
        <w:rPr>
          <w:rFonts w:hint="eastAsia" w:ascii="宋体" w:hAnsi="宋体"/>
          <w:b/>
          <w:sz w:val="24"/>
          <w:lang w:val="en-US" w:eastAsia="zh-CN"/>
        </w:rPr>
        <w:t>七、</w:t>
      </w:r>
      <w:r>
        <w:rPr>
          <w:rFonts w:hint="eastAsia" w:ascii="宋体" w:hAnsi="宋体"/>
          <w:b/>
          <w:sz w:val="24"/>
        </w:rPr>
        <w:t>工程费用及支付方式</w:t>
      </w:r>
    </w:p>
    <w:p>
      <w:pPr>
        <w:numPr>
          <w:ilvl w:val="0"/>
          <w:numId w:val="13"/>
        </w:numPr>
        <w:spacing w:before="120" w:beforeLines="50" w:after="120" w:afterLines="50" w:line="360" w:lineRule="auto"/>
        <w:ind w:left="0" w:leftChars="0" w:firstLine="420" w:firstLineChars="0"/>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pPr>
        <w:numPr>
          <w:ilvl w:val="0"/>
          <w:numId w:val="13"/>
        </w:numPr>
        <w:spacing w:before="120" w:beforeLines="50" w:after="120" w:afterLines="50" w:line="360" w:lineRule="auto"/>
        <w:ind w:left="0" w:leftChars="0" w:firstLine="420" w:firstLineChars="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13"/>
        </w:numPr>
        <w:spacing w:before="120" w:beforeLines="50" w:after="120" w:afterLines="50" w:line="360" w:lineRule="auto"/>
        <w:ind w:left="0" w:leftChars="0" w:firstLine="420" w:firstLineChars="0"/>
        <w:rPr>
          <w:sz w:val="24"/>
        </w:rPr>
      </w:pPr>
      <w:r>
        <w:rPr>
          <w:rFonts w:hint="eastAsia"/>
          <w:sz w:val="24"/>
        </w:rPr>
        <w:t>付款方式</w:t>
      </w:r>
    </w:p>
    <w:p>
      <w:pPr>
        <w:numPr>
          <w:ilvl w:val="0"/>
          <w:numId w:val="14"/>
        </w:numPr>
        <w:spacing w:before="120" w:beforeLines="50" w:after="120" w:afterLines="50" w:line="360" w:lineRule="auto"/>
        <w:ind w:left="425" w:leftChars="0" w:hanging="425" w:firstLineChars="0"/>
        <w:rPr>
          <w:rFonts w:ascii="宋体" w:hAnsi="宋体"/>
          <w:sz w:val="24"/>
        </w:rPr>
      </w:pPr>
      <w:r>
        <w:rPr>
          <w:rFonts w:hint="eastAsia" w:ascii="宋体" w:hAnsi="宋体" w:cs="Arial"/>
          <w:color w:val="000000"/>
          <w:sz w:val="24"/>
        </w:rPr>
        <w:t>在本合</w:t>
      </w:r>
      <w:r>
        <w:rPr>
          <w:rFonts w:hint="eastAsia" w:ascii="宋体" w:hAnsi="宋体"/>
          <w:sz w:val="24"/>
        </w:rPr>
        <w:t>同履行期内，若国家税费调整，合同含税金额按国家规定税率作出相应调整，供方每次申请付款应按照合同内容开具相应税率的合法有效的增值税专用发票。</w:t>
      </w:r>
    </w:p>
    <w:p>
      <w:pPr>
        <w:numPr>
          <w:ilvl w:val="0"/>
          <w:numId w:val="14"/>
        </w:numPr>
        <w:spacing w:before="120" w:beforeLines="50" w:after="120" w:afterLines="50" w:line="360" w:lineRule="auto"/>
        <w:ind w:left="425" w:leftChars="0" w:hanging="425" w:firstLineChars="0"/>
        <w:rPr>
          <w:rFonts w:ascii="宋体" w:hAnsi="宋体"/>
          <w:sz w:val="24"/>
        </w:rPr>
      </w:pPr>
      <w:r>
        <w:rPr>
          <w:rFonts w:hint="eastAsia" w:ascii="宋体" w:hAnsi="宋体" w:cs="Arial"/>
          <w:color w:val="000000"/>
          <w:sz w:val="24"/>
        </w:rPr>
        <w:t>合同签订并进场后，</w:t>
      </w:r>
      <w:r>
        <w:rPr>
          <w:rFonts w:hint="eastAsia" w:ascii="宋体" w:hAnsi="宋体"/>
          <w:sz w:val="24"/>
        </w:rPr>
        <w:t>甲方收到乙方请款资料后15个工作日内支付暂定合同总价30%的预付款。</w:t>
      </w:r>
    </w:p>
    <w:p>
      <w:pPr>
        <w:numPr>
          <w:ilvl w:val="0"/>
          <w:numId w:val="14"/>
        </w:numPr>
        <w:spacing w:before="120" w:beforeLines="50" w:after="120" w:afterLines="50" w:line="360" w:lineRule="auto"/>
        <w:ind w:left="425" w:leftChars="0" w:hanging="425" w:firstLineChars="0"/>
        <w:rPr>
          <w:rFonts w:ascii="宋体" w:hAnsi="宋体"/>
          <w:sz w:val="24"/>
        </w:rPr>
      </w:pPr>
      <w:r>
        <w:rPr>
          <w:rFonts w:hint="eastAsia" w:ascii="宋体" w:hAnsi="宋体"/>
          <w:sz w:val="24"/>
        </w:rPr>
        <w:t>项目全部完工并竣工验收合格并按甲方要求完成合同结算手续后，甲方收到乙方请款资料后15个工作日内支付工程款至合同结算总造价的95%。</w:t>
      </w:r>
    </w:p>
    <w:p>
      <w:pPr>
        <w:numPr>
          <w:ilvl w:val="0"/>
          <w:numId w:val="14"/>
        </w:numPr>
        <w:spacing w:before="120" w:beforeLines="50" w:after="120" w:afterLines="50" w:line="360" w:lineRule="auto"/>
        <w:ind w:left="425" w:leftChars="0" w:hanging="425" w:firstLineChars="0"/>
        <w:rPr>
          <w:rFonts w:ascii="宋体" w:hAnsi="宋体"/>
          <w:sz w:val="24"/>
        </w:rPr>
      </w:pPr>
      <w:r>
        <w:rPr>
          <w:rFonts w:hint="eastAsia" w:ascii="宋体" w:hAnsi="宋体"/>
          <w:sz w:val="24"/>
        </w:rPr>
        <w:t>质保期期满且乙方质保期义务按要求履行完毕后，甲方收到乙方请款资料后15个工作日内付清余款（不计利息）。</w:t>
      </w:r>
    </w:p>
    <w:p>
      <w:pPr>
        <w:numPr>
          <w:ilvl w:val="0"/>
          <w:numId w:val="14"/>
        </w:numPr>
        <w:spacing w:before="120" w:beforeLines="50" w:after="120" w:afterLines="50" w:line="360" w:lineRule="auto"/>
        <w:ind w:left="425" w:leftChars="0" w:hanging="425" w:firstLineChars="0"/>
        <w:rPr>
          <w:rFonts w:ascii="宋体" w:hAnsi="宋体" w:cs="Arial"/>
          <w:color w:val="000000"/>
          <w:sz w:val="24"/>
        </w:rPr>
      </w:pPr>
      <w:r>
        <w:rPr>
          <w:rFonts w:hint="eastAsia" w:ascii="宋体" w:hAnsi="宋体"/>
          <w:sz w:val="24"/>
        </w:rPr>
        <w:t>每次付款前，乙方应</w:t>
      </w:r>
      <w:r>
        <w:rPr>
          <w:rFonts w:hint="eastAsia" w:ascii="宋体" w:hAnsi="宋体" w:cs="Arial"/>
          <w:color w:val="000000"/>
          <w:sz w:val="24"/>
        </w:rPr>
        <w:t>开具符合国家税务规定的等额合格的增值税专用发票给甲方。乙方晚于付款期限提供的，甲方付款期限相应顺延。</w:t>
      </w:r>
    </w:p>
    <w:p>
      <w:pPr>
        <w:numPr>
          <w:ilvl w:val="0"/>
          <w:numId w:val="0"/>
        </w:numPr>
        <w:spacing w:before="120" w:beforeLines="50" w:after="120" w:afterLines="50" w:line="360" w:lineRule="auto"/>
        <w:ind w:leftChars="200"/>
        <w:rPr>
          <w:rFonts w:ascii="宋体" w:hAnsi="宋体"/>
          <w:b/>
          <w:sz w:val="24"/>
        </w:rPr>
      </w:pPr>
      <w:r>
        <w:rPr>
          <w:rFonts w:hint="eastAsia" w:ascii="宋体" w:hAnsi="宋体"/>
          <w:b/>
          <w:sz w:val="24"/>
          <w:lang w:val="en-US" w:eastAsia="zh-CN"/>
        </w:rPr>
        <w:t>八、</w:t>
      </w: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0"/>
        </w:numPr>
        <w:spacing w:before="120" w:beforeLines="50" w:after="120" w:afterLines="50" w:line="360" w:lineRule="auto"/>
        <w:ind w:leftChars="200"/>
        <w:rPr>
          <w:sz w:val="24"/>
        </w:rPr>
      </w:pPr>
      <w:r>
        <w:rPr>
          <w:rFonts w:hint="eastAsia"/>
          <w:sz w:val="24"/>
          <w:lang w:eastAsia="zh-CN"/>
        </w:rPr>
        <w:t>（</w:t>
      </w:r>
      <w:r>
        <w:rPr>
          <w:rFonts w:hint="eastAsia"/>
          <w:sz w:val="24"/>
          <w:lang w:val="en-US" w:eastAsia="zh-CN"/>
        </w:rPr>
        <w:t>一）</w:t>
      </w:r>
      <w:r>
        <w:rPr>
          <w:rFonts w:hint="eastAsia"/>
          <w:sz w:val="24"/>
        </w:rPr>
        <w:t>商务部分（提供复印件，并加盖公章）</w:t>
      </w:r>
    </w:p>
    <w:p>
      <w:pPr>
        <w:numPr>
          <w:ilvl w:val="1"/>
          <w:numId w:val="15"/>
        </w:numPr>
        <w:spacing w:before="120" w:beforeLines="50" w:after="120" w:afterLines="50" w:line="360" w:lineRule="auto"/>
        <w:ind w:left="0" w:firstLine="480" w:firstLineChars="200"/>
        <w:rPr>
          <w:rFonts w:ascii="宋体" w:hAnsi="宋体" w:cs="Arial"/>
          <w:color w:val="000000"/>
          <w:sz w:val="24"/>
        </w:rPr>
      </w:pPr>
      <w:bookmarkStart w:id="0" w:name="_Hlk33472787"/>
      <w:r>
        <w:rPr>
          <w:rFonts w:hint="eastAsia" w:ascii="宋体" w:hAnsi="宋体" w:cs="Arial"/>
          <w:color w:val="000000"/>
          <w:sz w:val="24"/>
        </w:rPr>
        <w:t>有效的企业工商营业执照、企业法人组织机构代码证书、税务登记证书（或三证合一）；</w:t>
      </w:r>
    </w:p>
    <w:p>
      <w:pPr>
        <w:numPr>
          <w:ilvl w:val="1"/>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1"/>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1"/>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有效的安全生产许可证及资质证书；</w:t>
      </w:r>
    </w:p>
    <w:p>
      <w:pPr>
        <w:numPr>
          <w:ilvl w:val="1"/>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1"/>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w:t>
      </w:r>
      <w:r>
        <w:rPr>
          <w:rFonts w:ascii="宋体" w:hAnsi="宋体" w:cs="Arial"/>
          <w:color w:val="000000"/>
          <w:sz w:val="24"/>
        </w:rPr>
        <w:t>20</w:t>
      </w:r>
      <w:r>
        <w:rPr>
          <w:rFonts w:hint="eastAsia" w:ascii="宋体" w:hAnsi="宋体" w:cs="Arial"/>
          <w:color w:val="000000"/>
          <w:sz w:val="24"/>
        </w:rPr>
        <w:t>年1月1日至今) 完成过质量合格的类似项目业绩（需提供合同和验收报告等相关证明材料复印件）；</w:t>
      </w:r>
    </w:p>
    <w:p>
      <w:pPr>
        <w:numPr>
          <w:ilvl w:val="1"/>
          <w:numId w:val="15"/>
        </w:numPr>
        <w:spacing w:before="120" w:beforeLines="50" w:after="120" w:afterLines="50" w:line="360" w:lineRule="auto"/>
        <w:ind w:left="0" w:firstLine="480" w:firstLineChars="200"/>
        <w:rPr>
          <w:rFonts w:hint="eastAsia" w:ascii="宋体" w:hAnsi="宋体" w:cs="Arial"/>
          <w:color w:val="000000"/>
          <w:sz w:val="24"/>
        </w:rPr>
      </w:pPr>
      <w:r>
        <w:rPr>
          <w:rFonts w:hint="eastAsia" w:ascii="宋体" w:hAnsi="宋体" w:cs="Arial"/>
          <w:color w:val="000000"/>
          <w:sz w:val="24"/>
        </w:rPr>
        <w:t>投标人认为有必要的其他材料复印件</w:t>
      </w:r>
      <w:bookmarkEnd w:id="0"/>
      <w:r>
        <w:rPr>
          <w:rFonts w:hint="eastAsia" w:ascii="宋体" w:hAnsi="宋体" w:cs="Arial"/>
          <w:color w:val="000000"/>
          <w:sz w:val="24"/>
        </w:rPr>
        <w:t>。</w:t>
      </w:r>
    </w:p>
    <w:p>
      <w:pPr>
        <w:numPr>
          <w:ilvl w:val="0"/>
          <w:numId w:val="0"/>
        </w:numPr>
        <w:spacing w:before="120" w:beforeLines="50" w:after="120" w:afterLines="50" w:line="360" w:lineRule="auto"/>
        <w:ind w:leftChars="200"/>
        <w:rPr>
          <w:sz w:val="24"/>
        </w:rPr>
      </w:pPr>
      <w:r>
        <w:rPr>
          <w:rFonts w:hint="eastAsia"/>
          <w:sz w:val="24"/>
          <w:lang w:eastAsia="zh-CN"/>
        </w:rPr>
        <w:t>（</w:t>
      </w:r>
      <w:r>
        <w:rPr>
          <w:rFonts w:hint="eastAsia"/>
          <w:sz w:val="24"/>
          <w:lang w:val="en-US" w:eastAsia="zh-CN"/>
        </w:rPr>
        <w:t>二）</w:t>
      </w: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6"/>
        </w:numPr>
        <w:spacing w:before="120" w:beforeLines="50" w:after="120" w:afterLines="50" w:line="360" w:lineRule="auto"/>
        <w:rPr>
          <w:rFonts w:ascii="宋体" w:hAnsi="宋体" w:cs="Arial"/>
          <w:color w:val="000000"/>
          <w:sz w:val="24"/>
        </w:rPr>
      </w:pPr>
      <w:bookmarkStart w:id="1" w:name="_Hlk33472829"/>
      <w:r>
        <w:rPr>
          <w:rFonts w:hint="eastAsia" w:ascii="宋体" w:hAnsi="宋体" w:cs="Arial"/>
          <w:color w:val="000000"/>
          <w:sz w:val="24"/>
        </w:rPr>
        <w:t>总体实施方案；</w:t>
      </w:r>
    </w:p>
    <w:p>
      <w:pPr>
        <w:numPr>
          <w:ilvl w:val="0"/>
          <w:numId w:val="16"/>
        </w:numPr>
        <w:spacing w:before="120" w:beforeLines="50" w:after="120" w:afterLines="50" w:line="360" w:lineRule="auto"/>
        <w:rPr>
          <w:rFonts w:ascii="宋体" w:hAnsi="宋体" w:cs="Arial"/>
          <w:color w:val="000000"/>
          <w:sz w:val="24"/>
        </w:rPr>
      </w:pPr>
      <w:r>
        <w:rPr>
          <w:rFonts w:hint="eastAsia" w:ascii="宋体" w:hAnsi="宋体" w:cs="Arial"/>
          <w:color w:val="000000"/>
          <w:sz w:val="24"/>
        </w:rPr>
        <w:t>实施进度计划和工期承诺书；</w:t>
      </w:r>
    </w:p>
    <w:p>
      <w:pPr>
        <w:numPr>
          <w:ilvl w:val="0"/>
          <w:numId w:val="16"/>
        </w:numPr>
        <w:spacing w:before="120" w:beforeLines="50" w:after="120" w:afterLines="50" w:line="360" w:lineRule="auto"/>
        <w:rPr>
          <w:rFonts w:ascii="宋体" w:hAnsi="宋体" w:cs="Arial"/>
          <w:color w:val="000000"/>
          <w:sz w:val="24"/>
        </w:rPr>
      </w:pPr>
      <w:r>
        <w:rPr>
          <w:rFonts w:hint="eastAsia" w:ascii="宋体" w:hAnsi="宋体" w:cs="Arial"/>
          <w:color w:val="000000"/>
          <w:sz w:val="24"/>
        </w:rPr>
        <w:t>确保实施进度的技术和组织措施；</w:t>
      </w:r>
    </w:p>
    <w:p>
      <w:pPr>
        <w:numPr>
          <w:ilvl w:val="0"/>
          <w:numId w:val="16"/>
        </w:numPr>
        <w:spacing w:before="120" w:beforeLines="50" w:after="120" w:afterLines="50" w:line="360" w:lineRule="auto"/>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6"/>
        </w:numPr>
        <w:spacing w:before="120" w:beforeLines="50" w:after="120" w:afterLines="50" w:line="360" w:lineRule="auto"/>
        <w:rPr>
          <w:rFonts w:ascii="宋体" w:hAnsi="宋体" w:cs="Arial"/>
          <w:color w:val="000000"/>
          <w:sz w:val="24"/>
        </w:rPr>
      </w:pPr>
      <w:r>
        <w:rPr>
          <w:rFonts w:hint="eastAsia" w:ascii="宋体" w:hAnsi="宋体" w:cs="Arial"/>
          <w:color w:val="000000"/>
          <w:sz w:val="24"/>
        </w:rPr>
        <w:t>投入的机械设备；</w:t>
      </w:r>
    </w:p>
    <w:p>
      <w:pPr>
        <w:numPr>
          <w:ilvl w:val="0"/>
          <w:numId w:val="16"/>
        </w:numPr>
        <w:spacing w:before="120" w:beforeLines="50" w:after="120" w:afterLines="50" w:line="360" w:lineRule="auto"/>
        <w:rPr>
          <w:rFonts w:ascii="宋体" w:hAnsi="宋体" w:cs="Arial"/>
          <w:color w:val="000000"/>
          <w:sz w:val="24"/>
        </w:rPr>
      </w:pPr>
      <w:r>
        <w:rPr>
          <w:rFonts w:hint="eastAsia" w:ascii="宋体" w:hAnsi="宋体" w:cs="Arial"/>
          <w:color w:val="000000"/>
          <w:sz w:val="24"/>
        </w:rPr>
        <w:t>投标人认为其它需要说明的文字</w:t>
      </w:r>
      <w:bookmarkEnd w:id="1"/>
      <w:r>
        <w:rPr>
          <w:rFonts w:hint="eastAsia" w:ascii="宋体" w:hAnsi="宋体" w:cs="Arial"/>
          <w:color w:val="000000"/>
          <w:sz w:val="24"/>
        </w:rPr>
        <w:t>。</w:t>
      </w:r>
    </w:p>
    <w:p>
      <w:pPr>
        <w:numPr>
          <w:ilvl w:val="0"/>
          <w:numId w:val="16"/>
        </w:numPr>
        <w:spacing w:before="120" w:beforeLines="50" w:after="120" w:afterLines="50" w:line="360" w:lineRule="auto"/>
        <w:rPr>
          <w:sz w:val="24"/>
        </w:rPr>
      </w:pPr>
      <w:r>
        <w:rPr>
          <w:rFonts w:hint="eastAsia" w:ascii="宋体" w:hAnsi="宋体" w:cs="Arial"/>
          <w:color w:val="000000"/>
          <w:sz w:val="24"/>
        </w:rPr>
        <w:t>价格文件（加盖公章）</w:t>
      </w:r>
    </w:p>
    <w:p>
      <w:pPr>
        <w:numPr>
          <w:ilvl w:val="0"/>
          <w:numId w:val="0"/>
        </w:numPr>
        <w:spacing w:before="120" w:beforeLines="50" w:after="120" w:afterLines="50" w:line="360" w:lineRule="auto"/>
        <w:ind w:leftChars="200"/>
        <w:rPr>
          <w:rFonts w:ascii="宋体" w:hAnsi="宋体" w:cs="Arial"/>
          <w:color w:val="000000"/>
          <w:sz w:val="24"/>
        </w:rPr>
      </w:pPr>
      <w:bookmarkStart w:id="2" w:name="_Hlk33472852"/>
      <w:r>
        <w:rPr>
          <w:rFonts w:hint="eastAsia" w:ascii="宋体" w:hAnsi="宋体" w:cs="Arial"/>
          <w:color w:val="000000"/>
          <w:sz w:val="24"/>
          <w:lang w:eastAsia="zh-CN"/>
        </w:rPr>
        <w:t>（</w:t>
      </w:r>
      <w:r>
        <w:rPr>
          <w:rFonts w:hint="eastAsia" w:ascii="宋体" w:hAnsi="宋体" w:cs="Arial"/>
          <w:color w:val="000000"/>
          <w:sz w:val="24"/>
          <w:lang w:val="en-US" w:eastAsia="zh-CN"/>
        </w:rPr>
        <w:t>三）</w:t>
      </w:r>
      <w:r>
        <w:rPr>
          <w:rFonts w:hint="eastAsia" w:ascii="宋体" w:hAnsi="宋体" w:cs="Arial"/>
          <w:color w:val="000000"/>
          <w:sz w:val="24"/>
        </w:rPr>
        <w:t>报价</w:t>
      </w:r>
      <w:r>
        <w:rPr>
          <w:rFonts w:hint="eastAsia"/>
          <w:sz w:val="24"/>
        </w:rPr>
        <w:t>一览表</w:t>
      </w:r>
      <w:r>
        <w:rPr>
          <w:rFonts w:hint="eastAsia" w:ascii="宋体" w:hAnsi="宋体" w:cs="Arial"/>
          <w:color w:val="000000"/>
          <w:sz w:val="24"/>
        </w:rPr>
        <w:t>（格式见附件1）</w:t>
      </w:r>
    </w:p>
    <w:p>
      <w:pPr>
        <w:numPr>
          <w:numId w:val="0"/>
        </w:numPr>
        <w:spacing w:before="120" w:beforeLines="50" w:after="120" w:afterLines="50" w:line="360" w:lineRule="auto"/>
        <w:ind w:leftChars="200"/>
        <w:rPr>
          <w:rFonts w:ascii="宋体" w:hAnsi="宋体" w:cs="Arial"/>
          <w:color w:val="000000"/>
          <w:sz w:val="24"/>
        </w:rPr>
      </w:pPr>
      <w:bookmarkStart w:id="15" w:name="_GoBack"/>
      <w:bookmarkEnd w:id="15"/>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2"/>
      <w:r>
        <w:rPr>
          <w:rFonts w:hint="eastAsia" w:ascii="宋体" w:hAnsi="宋体" w:cs="Arial"/>
          <w:color w:val="000000"/>
          <w:sz w:val="24"/>
        </w:rPr>
        <w:t>。</w:t>
      </w:r>
    </w:p>
    <w:p>
      <w:pPr>
        <w:numPr>
          <w:ilvl w:val="0"/>
          <w:numId w:val="0"/>
        </w:numPr>
        <w:spacing w:before="120" w:beforeLines="50" w:after="120" w:afterLines="50" w:line="360" w:lineRule="auto"/>
        <w:ind w:leftChars="200"/>
        <w:rPr>
          <w:rFonts w:ascii="宋体" w:hAnsi="宋体"/>
          <w:b/>
          <w:sz w:val="24"/>
        </w:rPr>
      </w:pPr>
      <w:r>
        <w:rPr>
          <w:rFonts w:hint="eastAsia" w:ascii="宋体" w:hAnsi="宋体"/>
          <w:b/>
          <w:sz w:val="24"/>
          <w:lang w:val="en-US" w:eastAsia="zh-CN"/>
        </w:rPr>
        <w:t>九、</w:t>
      </w:r>
      <w:r>
        <w:rPr>
          <w:rFonts w:hint="eastAsia" w:ascii="宋体" w:hAnsi="宋体"/>
          <w:b/>
          <w:sz w:val="24"/>
        </w:rPr>
        <w:t>评标方法</w:t>
      </w:r>
    </w:p>
    <w:p>
      <w:pPr>
        <w:spacing w:before="120" w:beforeLines="50" w:after="120" w:afterLines="50" w:line="360" w:lineRule="auto"/>
        <w:ind w:firstLine="480" w:firstLineChars="200"/>
        <w:rPr>
          <w:rFonts w:ascii="宋体" w:hAnsi="宋体"/>
          <w:sz w:val="24"/>
        </w:rPr>
      </w:pPr>
      <w:bookmarkStart w:id="3" w:name="_Hlk33472865"/>
      <w:r>
        <w:rPr>
          <w:rFonts w:hint="eastAsia" w:ascii="宋体" w:hAnsi="宋体"/>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3"/>
    <w:p>
      <w:pPr>
        <w:numPr>
          <w:ilvl w:val="0"/>
          <w:numId w:val="0"/>
        </w:numPr>
        <w:spacing w:before="120" w:beforeLines="50" w:after="120" w:afterLines="50" w:line="360" w:lineRule="auto"/>
        <w:ind w:leftChars="200"/>
        <w:rPr>
          <w:rFonts w:ascii="宋体" w:hAnsi="宋体"/>
          <w:b/>
          <w:sz w:val="24"/>
        </w:rPr>
      </w:pPr>
      <w:r>
        <w:rPr>
          <w:rFonts w:hint="eastAsia" w:ascii="宋体" w:hAnsi="宋体"/>
          <w:b/>
          <w:sz w:val="24"/>
          <w:lang w:val="en-US" w:eastAsia="zh-CN"/>
        </w:rPr>
        <w:t>十、</w:t>
      </w:r>
      <w:r>
        <w:rPr>
          <w:rFonts w:hint="eastAsia" w:ascii="宋体" w:hAnsi="宋体"/>
          <w:b/>
          <w:sz w:val="24"/>
        </w:rPr>
        <w:t>勘踏现场</w:t>
      </w:r>
    </w:p>
    <w:p>
      <w:pPr>
        <w:spacing w:before="120" w:beforeLines="50" w:after="120" w:afterLines="50" w:line="360" w:lineRule="auto"/>
        <w:ind w:firstLine="480" w:firstLineChars="200"/>
        <w:rPr>
          <w:sz w:val="24"/>
        </w:rPr>
      </w:pPr>
      <w:bookmarkStart w:id="4"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4"/>
      <w:r>
        <w:rPr>
          <w:rFonts w:hint="eastAsia"/>
          <w:sz w:val="24"/>
        </w:rPr>
        <w:t>。</w:t>
      </w:r>
      <w:r>
        <w:rPr>
          <w:rFonts w:hint="eastAsia" w:ascii="宋体" w:hAnsi="宋体"/>
          <w:sz w:val="24"/>
        </w:rPr>
        <w:t>勘踏现场时间：</w:t>
      </w:r>
      <w:r>
        <w:rPr>
          <w:rFonts w:ascii="宋体" w:hAnsi="宋体"/>
          <w:sz w:val="24"/>
        </w:rPr>
        <w:t>2023</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24</w:t>
      </w:r>
      <w:r>
        <w:rPr>
          <w:rFonts w:hint="eastAsia" w:ascii="宋体" w:hAnsi="宋体"/>
          <w:sz w:val="24"/>
        </w:rPr>
        <w:t>日</w:t>
      </w:r>
      <w:r>
        <w:rPr>
          <w:rFonts w:ascii="宋体" w:hAnsi="宋体"/>
          <w:sz w:val="24"/>
        </w:rPr>
        <w:t>10</w:t>
      </w:r>
      <w:r>
        <w:rPr>
          <w:rFonts w:hint="eastAsia" w:ascii="宋体" w:hAnsi="宋体"/>
          <w:sz w:val="24"/>
        </w:rPr>
        <w:t>时</w:t>
      </w:r>
      <w:r>
        <w:rPr>
          <w:rFonts w:ascii="宋体" w:hAnsi="宋体"/>
          <w:sz w:val="24"/>
        </w:rPr>
        <w:t>00</w:t>
      </w:r>
      <w:r>
        <w:rPr>
          <w:rFonts w:hint="eastAsia" w:ascii="宋体" w:hAnsi="宋体"/>
          <w:sz w:val="24"/>
        </w:rPr>
        <w:t>分，集中地点：广州市番禺区大学城明志街1号信息枢纽楼一楼西门。勘踏现场联系人</w:t>
      </w:r>
      <w:r>
        <w:rPr>
          <w:rFonts w:hint="eastAsia" w:ascii="宋体" w:hAnsi="宋体"/>
          <w:sz w:val="24"/>
          <w:lang w:val="en-US" w:eastAsia="zh-CN"/>
        </w:rPr>
        <w:t>生产部王工</w:t>
      </w:r>
      <w:r>
        <w:rPr>
          <w:rFonts w:hint="eastAsia" w:ascii="宋体" w:hAnsi="宋体"/>
          <w:sz w:val="24"/>
        </w:rPr>
        <w:t>，联系电话：020-</w:t>
      </w:r>
      <w:r>
        <w:rPr>
          <w:rFonts w:ascii="宋体" w:hAnsi="宋体"/>
          <w:sz w:val="24"/>
        </w:rPr>
        <w:t>39302</w:t>
      </w:r>
      <w:r>
        <w:rPr>
          <w:rFonts w:hint="eastAsia" w:ascii="宋体" w:hAnsi="宋体"/>
          <w:sz w:val="24"/>
          <w:lang w:val="en-US" w:eastAsia="zh-CN"/>
        </w:rPr>
        <w:t>031</w:t>
      </w:r>
      <w:r>
        <w:rPr>
          <w:rFonts w:hint="eastAsia" w:ascii="宋体" w:hAnsi="宋体"/>
          <w:sz w:val="24"/>
        </w:rPr>
        <w:t>。投</w:t>
      </w:r>
      <w:r>
        <w:rPr>
          <w:rFonts w:hint="eastAsia"/>
          <w:sz w:val="24"/>
        </w:rPr>
        <w:t>标人未在规定时间勘踏现场的，采购人不再另行组织，由投标人自行前往勘踏。</w:t>
      </w:r>
    </w:p>
    <w:p>
      <w:pPr>
        <w:numPr>
          <w:ilvl w:val="0"/>
          <w:numId w:val="0"/>
        </w:numPr>
        <w:spacing w:before="120" w:beforeLines="50" w:after="120" w:afterLines="50" w:line="360" w:lineRule="auto"/>
        <w:ind w:leftChars="200"/>
        <w:rPr>
          <w:rFonts w:ascii="宋体" w:hAnsi="宋体"/>
          <w:b/>
          <w:sz w:val="24"/>
        </w:rPr>
      </w:pPr>
      <w:bookmarkStart w:id="5" w:name="_Hlk33473031"/>
      <w:r>
        <w:rPr>
          <w:rFonts w:hint="eastAsia" w:ascii="宋体" w:hAnsi="宋体"/>
          <w:b/>
          <w:sz w:val="24"/>
          <w:lang w:val="en-US" w:eastAsia="zh-CN"/>
        </w:rPr>
        <w:t>十一、</w:t>
      </w:r>
      <w:r>
        <w:rPr>
          <w:rFonts w:hint="eastAsia" w:ascii="宋体" w:hAnsi="宋体"/>
          <w:b/>
          <w:sz w:val="24"/>
        </w:rPr>
        <w:t>递交投标文件</w:t>
      </w:r>
    </w:p>
    <w:p>
      <w:pPr>
        <w:numPr>
          <w:ilvl w:val="0"/>
          <w:numId w:val="17"/>
        </w:numPr>
        <w:spacing w:before="120" w:beforeLines="50" w:after="120" w:afterLines="50" w:line="360" w:lineRule="auto"/>
        <w:ind w:left="0" w:leftChars="0" w:firstLine="420" w:firstLineChars="0"/>
        <w:rPr>
          <w:sz w:val="24"/>
        </w:rPr>
      </w:pPr>
      <w:bookmarkStart w:id="6" w:name="_Hlk33472917"/>
      <w:bookmarkStart w:id="7" w:name="_Hlk33473061"/>
      <w:r>
        <w:rPr>
          <w:rFonts w:hint="eastAsia"/>
          <w:sz w:val="24"/>
        </w:rPr>
        <w:t>投标文件递交截止时间：</w:t>
      </w:r>
      <w:r>
        <w:rPr>
          <w:rFonts w:hint="eastAsia" w:ascii="宋体" w:hAnsi="宋体"/>
          <w:sz w:val="24"/>
        </w:rPr>
        <w:t>20</w:t>
      </w:r>
      <w:r>
        <w:rPr>
          <w:rFonts w:ascii="宋体" w:hAnsi="宋体"/>
          <w:sz w:val="24"/>
        </w:rPr>
        <w:t>23</w:t>
      </w:r>
      <w:r>
        <w:rPr>
          <w:rFonts w:hint="eastAsia" w:ascii="宋体" w:hAnsi="宋体"/>
          <w:sz w:val="24"/>
        </w:rPr>
        <w:t>年</w:t>
      </w:r>
      <w:r>
        <w:rPr>
          <w:rFonts w:hint="eastAsia" w:ascii="宋体" w:hAnsi="宋体"/>
          <w:sz w:val="24"/>
          <w:lang w:val="en-US" w:eastAsia="zh-CN"/>
        </w:rPr>
        <w:t>10</w:t>
      </w:r>
      <w:r>
        <w:rPr>
          <w:rFonts w:ascii="宋体" w:hAnsi="宋体"/>
          <w:sz w:val="24"/>
        </w:rPr>
        <w:t xml:space="preserve"> </w:t>
      </w:r>
      <w:r>
        <w:rPr>
          <w:rFonts w:hint="eastAsia" w:ascii="宋体" w:hAnsi="宋体"/>
          <w:sz w:val="24"/>
        </w:rPr>
        <w:t>月</w:t>
      </w:r>
      <w:r>
        <w:rPr>
          <w:rFonts w:hint="eastAsia" w:ascii="宋体" w:hAnsi="宋体"/>
          <w:sz w:val="24"/>
          <w:lang w:val="en-US" w:eastAsia="zh-CN"/>
        </w:rPr>
        <w:t xml:space="preserve">30 </w:t>
      </w:r>
      <w:r>
        <w:rPr>
          <w:rFonts w:hint="eastAsia" w:ascii="宋体" w:hAnsi="宋体"/>
          <w:sz w:val="24"/>
        </w:rPr>
        <w:t>日</w:t>
      </w:r>
      <w:r>
        <w:rPr>
          <w:rFonts w:hint="eastAsia"/>
          <w:sz w:val="24"/>
        </w:rPr>
        <w:t>北京时间15时00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eastAsia="宋体" w:cs="宋体"/>
          <w:b/>
          <w:bCs/>
          <w:sz w:val="24"/>
          <w:szCs w:val="24"/>
          <w:u w:val="none"/>
        </w:rPr>
        <w:t>2023年冬季板换间旁通阀封堵及部分旁通阀更换工程</w:t>
      </w:r>
      <w:r>
        <w:rPr>
          <w:rFonts w:hint="eastAsia" w:ascii="宋体" w:hAnsi="宋体" w:cs="宋体"/>
          <w:b/>
          <w:bCs/>
          <w:sz w:val="24"/>
          <w:szCs w:val="24"/>
          <w:u w:val="none"/>
          <w:lang w:val="en-US" w:eastAsia="zh-CN"/>
        </w:rPr>
        <w:t>投标文件</w:t>
      </w:r>
      <w:r>
        <w:rPr>
          <w:rFonts w:hint="eastAsia"/>
          <w:sz w:val="24"/>
        </w:rPr>
        <w:t>”字样。投标人递交投标文件后，请联系采购人确认。</w:t>
      </w:r>
    </w:p>
    <w:p>
      <w:pPr>
        <w:numPr>
          <w:ilvl w:val="0"/>
          <w:numId w:val="17"/>
        </w:numPr>
        <w:spacing w:before="120" w:beforeLines="50" w:after="120" w:afterLines="50" w:line="360" w:lineRule="auto"/>
        <w:ind w:left="0" w:leftChars="0" w:firstLine="420" w:firstLineChars="0"/>
        <w:rPr>
          <w:sz w:val="24"/>
        </w:rPr>
      </w:pPr>
      <w:r>
        <w:rPr>
          <w:sz w:val="24"/>
        </w:rPr>
        <w:t>投标文</w:t>
      </w:r>
      <w:r>
        <w:rPr>
          <w:rFonts w:hint="eastAsia"/>
          <w:sz w:val="24"/>
        </w:rPr>
        <w:t>件逾期递交、未送达指定地点的、或未按要求密封的，采购人有权不予受理</w:t>
      </w:r>
      <w:bookmarkEnd w:id="6"/>
      <w:r>
        <w:rPr>
          <w:sz w:val="24"/>
        </w:rPr>
        <w:t>。</w:t>
      </w:r>
    </w:p>
    <w:bookmarkEnd w:id="7"/>
    <w:p>
      <w:pPr>
        <w:numPr>
          <w:ilvl w:val="0"/>
          <w:numId w:val="0"/>
        </w:numPr>
        <w:spacing w:before="120" w:beforeLines="50" w:after="120" w:afterLines="50" w:line="360" w:lineRule="auto"/>
        <w:ind w:leftChars="200"/>
        <w:rPr>
          <w:rFonts w:ascii="宋体" w:hAnsi="宋体"/>
          <w:b/>
          <w:sz w:val="24"/>
        </w:rPr>
      </w:pPr>
      <w:bookmarkStart w:id="8" w:name="_Hlk33473147"/>
      <w:bookmarkStart w:id="9" w:name="_Hlk33472987"/>
      <w:r>
        <w:rPr>
          <w:rFonts w:hint="eastAsia" w:ascii="宋体" w:hAnsi="宋体"/>
          <w:b/>
          <w:sz w:val="24"/>
          <w:lang w:val="en-US" w:eastAsia="zh-CN"/>
        </w:rPr>
        <w:t>十二、</w:t>
      </w:r>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w:t>
      </w:r>
      <w:r>
        <w:rPr>
          <w:rFonts w:hint="eastAsia"/>
          <w:b/>
          <w:bCs/>
          <w:sz w:val="24"/>
        </w:rPr>
        <w:t>广州城投综合能源投资经营管理有限公司网站（网址：</w:t>
      </w:r>
      <w:r>
        <w:rPr>
          <w:b/>
          <w:bCs/>
          <w:sz w:val="24"/>
        </w:rPr>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同时发布。本竞选文件在各媒体发布的文本如有不同之处，以在广州城投综合能源投资经营管理有限公司网站发布的文本为准。</w:t>
      </w:r>
    </w:p>
    <w:bookmarkEnd w:id="8"/>
    <w:p>
      <w:pPr>
        <w:numPr>
          <w:ilvl w:val="0"/>
          <w:numId w:val="0"/>
        </w:numPr>
        <w:spacing w:before="120" w:beforeLines="50" w:after="120" w:afterLines="50" w:line="360" w:lineRule="auto"/>
        <w:ind w:leftChars="200"/>
        <w:rPr>
          <w:rFonts w:ascii="宋体" w:hAnsi="宋体"/>
          <w:b/>
          <w:sz w:val="24"/>
        </w:rPr>
      </w:pPr>
      <w:r>
        <w:rPr>
          <w:rFonts w:hint="eastAsia" w:ascii="宋体" w:hAnsi="宋体"/>
          <w:b/>
          <w:sz w:val="24"/>
          <w:lang w:val="en-US" w:eastAsia="zh-CN"/>
        </w:rPr>
        <w:t>十三、</w:t>
      </w: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采购单位：广州城投综合能源投资经营管理有限公司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hint="eastAsia" w:ascii="宋体" w:hAnsi="宋体" w:eastAsia="宋体"/>
          <w:sz w:val="24"/>
          <w:lang w:eastAsia="zh-CN"/>
        </w:rPr>
      </w:pPr>
      <w:r>
        <w:rPr>
          <w:rFonts w:hint="eastAsia" w:ascii="宋体" w:hAnsi="宋体"/>
          <w:sz w:val="24"/>
        </w:rPr>
        <w:t>联系人：</w:t>
      </w:r>
      <w:r>
        <w:rPr>
          <w:rFonts w:hint="eastAsia" w:ascii="宋体" w:hAnsi="宋体"/>
          <w:sz w:val="24"/>
          <w:lang w:val="en-US" w:eastAsia="zh-CN"/>
        </w:rPr>
        <w:t>王小姐</w:t>
      </w:r>
    </w:p>
    <w:p>
      <w:pPr>
        <w:spacing w:before="120" w:beforeLines="50" w:after="120" w:afterLines="50" w:line="360" w:lineRule="auto"/>
        <w:ind w:firstLine="480" w:firstLineChars="200"/>
        <w:rPr>
          <w:rFonts w:hint="default" w:ascii="宋体" w:hAnsi="宋体" w:eastAsia="宋体"/>
          <w:sz w:val="24"/>
          <w:lang w:val="en-US" w:eastAsia="zh-CN"/>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w:t>
      </w:r>
      <w:r>
        <w:rPr>
          <w:rFonts w:hint="eastAsia" w:ascii="宋体" w:hAnsi="宋体"/>
          <w:sz w:val="24"/>
          <w:lang w:val="en-US" w:eastAsia="zh-CN"/>
        </w:rPr>
        <w:t>78</w:t>
      </w:r>
    </w:p>
    <w:p>
      <w:pPr>
        <w:spacing w:before="120" w:beforeLines="50" w:after="120" w:afterLines="50" w:line="360" w:lineRule="auto"/>
        <w:ind w:firstLine="480" w:firstLineChars="200"/>
        <w:rPr>
          <w:rFonts w:ascii="宋体" w:hAnsi="宋体"/>
          <w:sz w:val="24"/>
        </w:rPr>
      </w:pPr>
      <w:bookmarkStart w:id="10"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附件6：投标文件有效性审查表</w:t>
      </w:r>
    </w:p>
    <w:p>
      <w:pPr>
        <w:pStyle w:val="7"/>
        <w:spacing w:before="120" w:beforeLines="50" w:after="120" w:afterLines="50" w:line="360" w:lineRule="auto"/>
        <w:ind w:left="0" w:leftChars="0" w:right="560"/>
        <w:jc w:val="right"/>
      </w:pPr>
      <w:r>
        <w:rPr>
          <w:rFonts w:hint="eastAsia"/>
        </w:rPr>
        <w:t>采购人：广州城投综合能源投资经营管理有限公司</w:t>
      </w:r>
    </w:p>
    <w:p>
      <w:pPr>
        <w:pStyle w:val="7"/>
        <w:spacing w:before="120" w:beforeLines="50" w:after="120" w:afterLines="50" w:line="360" w:lineRule="auto"/>
        <w:ind w:left="0" w:leftChars="0" w:right="560"/>
        <w:jc w:val="right"/>
      </w:pPr>
      <w:r>
        <w:rPr>
          <w:rFonts w:hint="eastAsia"/>
        </w:rPr>
        <w:t>202</w:t>
      </w:r>
      <w:r>
        <w:t>3</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bookmarkEnd w:id="5"/>
    </w:p>
    <w:bookmarkEnd w:id="9"/>
    <w:bookmarkEnd w:id="10"/>
    <w:p>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pPr>
        <w:pStyle w:val="10"/>
        <w:ind w:firstLine="0" w:firstLineChars="0"/>
        <w:jc w:val="center"/>
        <w:rPr>
          <w:rFonts w:hAnsi="宋体"/>
          <w:b/>
          <w:sz w:val="28"/>
          <w:szCs w:val="28"/>
        </w:rPr>
      </w:pPr>
      <w:r>
        <w:rPr>
          <w:rFonts w:hAnsi="宋体"/>
          <w:b/>
          <w:sz w:val="28"/>
          <w:szCs w:val="28"/>
        </w:rPr>
        <w:t>报价一览表</w:t>
      </w:r>
    </w:p>
    <w:p>
      <w:pPr>
        <w:pStyle w:val="10"/>
        <w:ind w:firstLine="0" w:firstLineChars="0"/>
        <w:jc w:val="center"/>
        <w:rPr>
          <w:rFonts w:hAnsi="宋体"/>
          <w:b/>
          <w:sz w:val="28"/>
          <w:szCs w:val="28"/>
        </w:rPr>
      </w:pPr>
    </w:p>
    <w:p>
      <w:pPr>
        <w:jc w:val="left"/>
        <w:rPr>
          <w:rFonts w:ascii="宋体" w:hAnsi="宋体"/>
          <w:b/>
          <w:sz w:val="28"/>
          <w:szCs w:val="28"/>
        </w:rPr>
      </w:pPr>
      <w:r>
        <w:rPr>
          <w:rFonts w:hint="eastAsia" w:hAnsi="宋体"/>
          <w:sz w:val="24"/>
        </w:rPr>
        <w:t>项目名称：</w:t>
      </w:r>
      <w:r>
        <w:rPr>
          <w:rFonts w:hint="eastAsia" w:ascii="宋体" w:hAnsi="宋体" w:eastAsia="宋体" w:cs="宋体"/>
          <w:b w:val="0"/>
          <w:sz w:val="24"/>
          <w:szCs w:val="24"/>
          <w:u w:val="none"/>
        </w:rPr>
        <w:t>2023年冬季板换间旁通阀封堵及部分旁通阀更换工</w:t>
      </w:r>
      <w:r>
        <w:rPr>
          <w:rFonts w:hint="eastAsia" w:ascii="宋体" w:hAnsi="宋体" w:eastAsia="宋体" w:cs="宋体"/>
          <w:b w:val="0"/>
          <w:sz w:val="24"/>
          <w:szCs w:val="24"/>
          <w:u w:val="single"/>
        </w:rPr>
        <w:t>程</w:t>
      </w:r>
    </w:p>
    <w:tbl>
      <w:tblPr>
        <w:tblStyle w:val="20"/>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pPr>
              <w:rPr>
                <w:rFonts w:hAnsi="宋体"/>
                <w:bCs/>
                <w:sz w:val="24"/>
              </w:rPr>
            </w:pPr>
            <w:bookmarkStart w:id="11" w:name="_Hlk33473274"/>
            <w:r>
              <w:rPr>
                <w:rFonts w:hint="eastAsia" w:hAnsi="宋体"/>
                <w:bCs/>
                <w:sz w:val="24"/>
              </w:rPr>
              <w:t>序号</w:t>
            </w:r>
          </w:p>
        </w:tc>
        <w:tc>
          <w:tcPr>
            <w:tcW w:w="1853" w:type="dxa"/>
            <w:vAlign w:val="center"/>
          </w:tcPr>
          <w:p>
            <w:pPr>
              <w:jc w:val="center"/>
              <w:rPr>
                <w:rFonts w:hAnsi="宋体"/>
                <w:bCs/>
                <w:sz w:val="24"/>
              </w:rPr>
            </w:pPr>
            <w:r>
              <w:rPr>
                <w:rFonts w:hint="eastAsia" w:hAnsi="宋体"/>
                <w:bCs/>
                <w:sz w:val="24"/>
              </w:rPr>
              <w:t>项目名称</w:t>
            </w:r>
          </w:p>
        </w:tc>
        <w:tc>
          <w:tcPr>
            <w:tcW w:w="6197"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pPr>
              <w:jc w:val="center"/>
              <w:rPr>
                <w:rFonts w:hAnsi="宋体"/>
                <w:sz w:val="24"/>
              </w:rPr>
            </w:pPr>
            <w:r>
              <w:rPr>
                <w:rFonts w:hint="eastAsia" w:hAnsi="宋体"/>
                <w:sz w:val="24"/>
              </w:rPr>
              <w:t>1</w:t>
            </w:r>
          </w:p>
        </w:tc>
        <w:tc>
          <w:tcPr>
            <w:tcW w:w="1853" w:type="dxa"/>
            <w:vAlign w:val="center"/>
          </w:tcPr>
          <w:p>
            <w:pPr>
              <w:jc w:val="center"/>
              <w:rPr>
                <w:rFonts w:hAnsi="宋体"/>
                <w:sz w:val="24"/>
              </w:rPr>
            </w:pPr>
            <w:r>
              <w:rPr>
                <w:rFonts w:hint="eastAsia" w:hAnsi="宋体"/>
                <w:sz w:val="24"/>
              </w:rPr>
              <w:t>投标总价</w:t>
            </w:r>
          </w:p>
        </w:tc>
        <w:tc>
          <w:tcPr>
            <w:tcW w:w="6197"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pPr>
              <w:jc w:val="center"/>
              <w:rPr>
                <w:rFonts w:hAnsi="宋体"/>
                <w:sz w:val="24"/>
              </w:rPr>
            </w:pPr>
            <w:r>
              <w:rPr>
                <w:rFonts w:hint="eastAsia" w:hAnsi="宋体"/>
                <w:sz w:val="24"/>
              </w:rPr>
              <w:t>其中</w:t>
            </w:r>
          </w:p>
        </w:tc>
        <w:tc>
          <w:tcPr>
            <w:tcW w:w="1853" w:type="dxa"/>
            <w:vAlign w:val="center"/>
          </w:tcPr>
          <w:p>
            <w:pPr>
              <w:jc w:val="center"/>
              <w:rPr>
                <w:rFonts w:hAnsi="宋体"/>
                <w:sz w:val="24"/>
              </w:rPr>
            </w:pPr>
            <w:r>
              <w:rPr>
                <w:rFonts w:hint="eastAsia" w:hAnsi="宋体"/>
                <w:sz w:val="24"/>
              </w:rPr>
              <w:t>不含税总价</w:t>
            </w:r>
          </w:p>
        </w:tc>
        <w:tc>
          <w:tcPr>
            <w:tcW w:w="6197"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pPr>
              <w:jc w:val="center"/>
              <w:rPr>
                <w:rFonts w:hAnsi="宋体"/>
                <w:sz w:val="24"/>
              </w:rPr>
            </w:pPr>
            <w:r>
              <w:rPr>
                <w:rFonts w:hint="eastAsia" w:hAnsi="宋体"/>
                <w:sz w:val="24"/>
              </w:rPr>
              <w:t>2</w:t>
            </w:r>
          </w:p>
        </w:tc>
        <w:tc>
          <w:tcPr>
            <w:tcW w:w="1853" w:type="dxa"/>
            <w:vAlign w:val="center"/>
          </w:tcPr>
          <w:p>
            <w:pPr>
              <w:jc w:val="center"/>
              <w:rPr>
                <w:rFonts w:hAnsi="宋体"/>
                <w:sz w:val="24"/>
              </w:rPr>
            </w:pPr>
            <w:r>
              <w:rPr>
                <w:rFonts w:hint="eastAsia" w:hAnsi="宋体"/>
                <w:sz w:val="24"/>
              </w:rPr>
              <w:t>投标工期</w:t>
            </w:r>
          </w:p>
        </w:tc>
        <w:tc>
          <w:tcPr>
            <w:tcW w:w="6197"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pPr>
              <w:jc w:val="center"/>
              <w:rPr>
                <w:rFonts w:hAnsi="宋体"/>
                <w:sz w:val="24"/>
              </w:rPr>
            </w:pPr>
            <w:r>
              <w:rPr>
                <w:rFonts w:hint="eastAsia" w:hAnsi="宋体"/>
                <w:sz w:val="24"/>
              </w:rPr>
              <w:t>3</w:t>
            </w:r>
          </w:p>
        </w:tc>
        <w:tc>
          <w:tcPr>
            <w:tcW w:w="1853" w:type="dxa"/>
            <w:vAlign w:val="center"/>
          </w:tcPr>
          <w:p>
            <w:pPr>
              <w:jc w:val="center"/>
              <w:rPr>
                <w:rFonts w:hAnsi="宋体"/>
                <w:sz w:val="24"/>
              </w:rPr>
            </w:pPr>
            <w:r>
              <w:rPr>
                <w:rFonts w:hint="eastAsia" w:hAnsi="宋体"/>
                <w:sz w:val="24"/>
              </w:rPr>
              <w:t>工程质量标准</w:t>
            </w:r>
          </w:p>
        </w:tc>
        <w:tc>
          <w:tcPr>
            <w:tcW w:w="6197"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pPr>
              <w:jc w:val="center"/>
              <w:rPr>
                <w:rFonts w:hAnsi="宋体"/>
                <w:sz w:val="24"/>
              </w:rPr>
            </w:pPr>
            <w:r>
              <w:rPr>
                <w:rFonts w:hint="eastAsia" w:hAnsi="宋体"/>
                <w:sz w:val="24"/>
              </w:rPr>
              <w:t>4</w:t>
            </w:r>
          </w:p>
        </w:tc>
        <w:tc>
          <w:tcPr>
            <w:tcW w:w="1853" w:type="dxa"/>
            <w:vAlign w:val="center"/>
          </w:tcPr>
          <w:p>
            <w:pPr>
              <w:jc w:val="center"/>
              <w:rPr>
                <w:rFonts w:hAnsi="宋体"/>
                <w:sz w:val="24"/>
              </w:rPr>
            </w:pPr>
            <w:r>
              <w:rPr>
                <w:rFonts w:hint="eastAsia" w:hAnsi="宋体"/>
                <w:sz w:val="24"/>
              </w:rPr>
              <w:t>保修期限</w:t>
            </w:r>
          </w:p>
        </w:tc>
        <w:tc>
          <w:tcPr>
            <w:tcW w:w="6197"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pPr>
              <w:jc w:val="center"/>
              <w:rPr>
                <w:rFonts w:hAnsi="宋体"/>
                <w:sz w:val="24"/>
              </w:rPr>
            </w:pPr>
            <w:r>
              <w:rPr>
                <w:rFonts w:hint="eastAsia" w:hAnsi="宋体"/>
                <w:sz w:val="24"/>
              </w:rPr>
              <w:t>5</w:t>
            </w:r>
          </w:p>
        </w:tc>
        <w:tc>
          <w:tcPr>
            <w:tcW w:w="1853" w:type="dxa"/>
            <w:vMerge w:val="restart"/>
            <w:vAlign w:val="center"/>
          </w:tcPr>
          <w:p>
            <w:pPr>
              <w:jc w:val="center"/>
              <w:rPr>
                <w:rFonts w:hAnsi="宋体"/>
                <w:sz w:val="24"/>
              </w:rPr>
            </w:pPr>
            <w:r>
              <w:rPr>
                <w:rFonts w:hint="eastAsia" w:hAnsi="宋体"/>
                <w:sz w:val="24"/>
              </w:rPr>
              <w:t>拟委派的项目负责人</w:t>
            </w:r>
          </w:p>
        </w:tc>
        <w:tc>
          <w:tcPr>
            <w:tcW w:w="1671" w:type="dxa"/>
            <w:vAlign w:val="center"/>
          </w:tcPr>
          <w:p>
            <w:pPr>
              <w:rPr>
                <w:rFonts w:hAnsi="宋体"/>
                <w:sz w:val="24"/>
              </w:rPr>
            </w:pPr>
            <w:r>
              <w:rPr>
                <w:rFonts w:hint="eastAsia" w:hAnsi="宋体"/>
                <w:sz w:val="24"/>
              </w:rPr>
              <w:t>姓名</w:t>
            </w:r>
          </w:p>
        </w:tc>
        <w:tc>
          <w:tcPr>
            <w:tcW w:w="4526"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pPr>
              <w:rPr>
                <w:rFonts w:hAnsi="宋体"/>
                <w:sz w:val="24"/>
              </w:rPr>
            </w:pPr>
          </w:p>
        </w:tc>
        <w:tc>
          <w:tcPr>
            <w:tcW w:w="1853" w:type="dxa"/>
            <w:vMerge w:val="continue"/>
            <w:vAlign w:val="center"/>
          </w:tcPr>
          <w:p>
            <w:pPr>
              <w:rPr>
                <w:rFonts w:hAnsi="宋体"/>
                <w:sz w:val="24"/>
              </w:rPr>
            </w:pPr>
          </w:p>
        </w:tc>
        <w:tc>
          <w:tcPr>
            <w:tcW w:w="1671" w:type="dxa"/>
            <w:vAlign w:val="center"/>
          </w:tcPr>
          <w:p>
            <w:pPr>
              <w:rPr>
                <w:rFonts w:hAnsi="宋体"/>
                <w:sz w:val="24"/>
              </w:rPr>
            </w:pPr>
            <w:r>
              <w:rPr>
                <w:rFonts w:hint="eastAsia" w:hAnsi="宋体"/>
                <w:sz w:val="24"/>
              </w:rPr>
              <w:t>技术职称</w:t>
            </w:r>
          </w:p>
        </w:tc>
        <w:tc>
          <w:tcPr>
            <w:tcW w:w="4526"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pPr>
              <w:rPr>
                <w:rFonts w:hAnsi="宋体"/>
                <w:sz w:val="24"/>
              </w:rPr>
            </w:pPr>
          </w:p>
        </w:tc>
        <w:tc>
          <w:tcPr>
            <w:tcW w:w="1853" w:type="dxa"/>
            <w:vMerge w:val="continue"/>
            <w:vAlign w:val="center"/>
          </w:tcPr>
          <w:p>
            <w:pPr>
              <w:rPr>
                <w:rFonts w:hAnsi="宋体"/>
                <w:sz w:val="24"/>
              </w:rPr>
            </w:pPr>
          </w:p>
        </w:tc>
        <w:tc>
          <w:tcPr>
            <w:tcW w:w="1671" w:type="dxa"/>
            <w:vAlign w:val="center"/>
          </w:tcPr>
          <w:p>
            <w:pPr>
              <w:rPr>
                <w:rFonts w:hAnsi="宋体"/>
                <w:sz w:val="24"/>
              </w:rPr>
            </w:pPr>
            <w:r>
              <w:rPr>
                <w:rFonts w:hint="eastAsia" w:hAnsi="宋体"/>
                <w:sz w:val="24"/>
              </w:rPr>
              <w:t>联系电话</w:t>
            </w:r>
          </w:p>
        </w:tc>
        <w:tc>
          <w:tcPr>
            <w:tcW w:w="4526" w:type="dxa"/>
            <w:vAlign w:val="center"/>
          </w:tcPr>
          <w:p>
            <w:pPr>
              <w:rPr>
                <w:rFonts w:hAnsi="宋体"/>
                <w:sz w:val="24"/>
              </w:rPr>
            </w:pPr>
          </w:p>
        </w:tc>
      </w:tr>
      <w:bookmarkEnd w:id="11"/>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r>
        <w:rPr>
          <w:rFonts w:hint="eastAsia" w:hAnsi="宋体"/>
          <w:szCs w:val="21"/>
        </w:rPr>
        <w:t xml:space="preserve"> </w:t>
      </w:r>
      <w:r>
        <w:rPr>
          <w:rFonts w:hAnsi="宋体"/>
          <w:szCs w:val="21"/>
        </w:rPr>
        <w:t xml:space="preserve"> </w:t>
      </w:r>
    </w:p>
    <w:p>
      <w:pPr>
        <w:spacing w:before="120" w:beforeLines="50" w:after="120" w:afterLines="50" w:line="360" w:lineRule="auto"/>
        <w:jc w:val="right"/>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0"/>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2" w:name="_Hlk33473319"/>
            <w:r>
              <w:rPr>
                <w:rFonts w:hint="eastAsia" w:ascii="黑体" w:hAnsi="黑体" w:eastAsia="黑体" w:cs="宋体"/>
                <w:kern w:val="0"/>
                <w:sz w:val="44"/>
                <w:szCs w:val="44"/>
              </w:rPr>
              <w:t>供应商调查表</w:t>
            </w:r>
          </w:p>
        </w:tc>
      </w:tr>
      <w:tr>
        <w:tblPrEx>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jc w:val="left"/>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eastAsia="宋体" w:cs="宋体"/>
                <w:b w:val="0"/>
                <w:sz w:val="24"/>
                <w:szCs w:val="24"/>
                <w:u w:val="none"/>
              </w:rPr>
              <w:t>2023年冬季板换间旁通阀封堵及部分旁通阀更换工</w:t>
            </w:r>
            <w:r>
              <w:rPr>
                <w:rFonts w:hint="eastAsia" w:ascii="宋体" w:hAnsi="宋体" w:eastAsia="宋体" w:cs="宋体"/>
                <w:b w:val="0"/>
                <w:sz w:val="24"/>
                <w:szCs w:val="24"/>
                <w:u w:val="single"/>
              </w:rPr>
              <w:t>程</w:t>
            </w:r>
          </w:p>
        </w:tc>
      </w:tr>
      <w:tr>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sz w:val="28"/>
          <w:szCs w:val="28"/>
        </w:rPr>
        <w:t>3</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2"/>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28"/>
        </w:rPr>
        <w:t>法定代表人身份证明书</w:t>
      </w:r>
    </w:p>
    <w:p>
      <w:pPr>
        <w:spacing w:line="500" w:lineRule="exact"/>
        <w:rPr>
          <w:b/>
          <w:bCs/>
          <w:szCs w:val="21"/>
        </w:rPr>
      </w:pPr>
    </w:p>
    <w:p>
      <w:pPr>
        <w:spacing w:before="120" w:beforeLines="50" w:after="120" w:afterLines="50" w:line="500" w:lineRule="exact"/>
        <w:ind w:firstLine="960" w:firstLineChars="400"/>
        <w:rPr>
          <w:rFonts w:ascii="宋体" w:hAnsi="宋体" w:cs="宋体"/>
          <w:sz w:val="24"/>
        </w:rPr>
      </w:pPr>
      <w:bookmarkStart w:id="13"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pPr>
        <w:spacing w:before="120" w:beforeLines="50" w:after="120" w:afterLines="50" w:line="500" w:lineRule="exact"/>
        <w:ind w:firstLine="537" w:firstLineChars="224"/>
        <w:rPr>
          <w:rFonts w:ascii="宋体" w:hAnsi="宋体" w:cs="宋体"/>
          <w:sz w:val="24"/>
        </w:rPr>
      </w:pPr>
    </w:p>
    <w:p>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pPr>
        <w:spacing w:before="120" w:beforeLines="50" w:after="120" w:afterLines="50" w:line="500" w:lineRule="exact"/>
        <w:ind w:firstLine="537" w:firstLineChars="224"/>
        <w:rPr>
          <w:rFonts w:hAnsi="宋体" w:cs="宋体"/>
          <w:sz w:val="24"/>
          <w:szCs w:val="28"/>
        </w:rPr>
      </w:pPr>
    </w:p>
    <w:p>
      <w:pPr>
        <w:spacing w:before="120" w:beforeLines="50" w:after="120" w:afterLines="50" w:line="500" w:lineRule="exact"/>
        <w:rPr>
          <w:rFonts w:ascii="宋体" w:hAnsi="宋体" w:cs="宋体"/>
          <w:sz w:val="24"/>
        </w:rPr>
      </w:pPr>
      <w:r>
        <w:rPr>
          <w:rFonts w:hint="eastAsia" w:hAnsi="宋体" w:cs="宋体"/>
          <w:sz w:val="24"/>
          <w:szCs w:val="28"/>
        </w:rPr>
        <w:t xml:space="preserve">日期：2023年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pPr>
        <w:spacing w:before="120" w:beforeLines="50" w:after="120" w:afterLines="50" w:line="500" w:lineRule="exact"/>
        <w:rPr>
          <w:rFonts w:ascii="宋体" w:hAnsi="宋体" w:cs="宋体"/>
          <w:sz w:val="24"/>
        </w:rPr>
      </w:pPr>
    </w:p>
    <w:p>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pPr>
        <w:spacing w:before="120" w:beforeLines="50" w:after="120" w:afterLines="50"/>
        <w:rPr>
          <w:sz w:val="20"/>
        </w:rPr>
      </w:pPr>
    </w:p>
    <w:p>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13"/>
    <w:p>
      <w:pPr>
        <w:spacing w:before="120" w:beforeLines="50" w:after="120" w:afterLines="50" w:line="360" w:lineRule="auto"/>
        <w:rPr>
          <w:rFonts w:ascii="宋体" w:hAnsi="宋体" w:cs="Arial"/>
          <w:color w:val="000000"/>
          <w:sz w:val="24"/>
          <w:szCs w:val="28"/>
        </w:rPr>
      </w:pPr>
    </w:p>
    <w:p>
      <w:pPr>
        <w:spacing w:before="120" w:beforeLines="50" w:after="120" w:afterLines="50" w:line="360" w:lineRule="auto"/>
        <w:rPr>
          <w:rFonts w:ascii="宋体" w:hAnsi="宋体" w:cs="Arial"/>
          <w:color w:val="000000"/>
          <w:sz w:val="30"/>
          <w:szCs w:val="30"/>
        </w:rPr>
      </w:pPr>
      <w:r>
        <w:rPr>
          <w:rFonts w:hint="eastAsia" w:ascii="宋体" w:hAnsi="宋体" w:cs="Arial"/>
          <w:color w:val="000000"/>
          <w:sz w:val="24"/>
          <w:szCs w:val="28"/>
        </w:rPr>
        <w:br w:type="page"/>
      </w:r>
      <w:r>
        <w:rPr>
          <w:rFonts w:hint="eastAsia" w:ascii="宋体" w:hAnsi="宋体" w:cs="黑体"/>
          <w:color w:val="000000"/>
          <w:sz w:val="30"/>
          <w:szCs w:val="30"/>
        </w:rPr>
        <w:t>附件4</w:t>
      </w:r>
    </w:p>
    <w:p>
      <w:pPr>
        <w:spacing w:line="500" w:lineRule="exact"/>
        <w:ind w:firstLine="1687" w:firstLineChars="600"/>
        <w:rPr>
          <w:rFonts w:eastAsia="黑体"/>
          <w:b/>
          <w:bCs/>
          <w:sz w:val="28"/>
        </w:rPr>
      </w:pPr>
      <w:r>
        <w:rPr>
          <w:rFonts w:hint="eastAsia" w:eastAsia="黑体"/>
          <w:b/>
          <w:bCs/>
          <w:sz w:val="28"/>
        </w:rPr>
        <w:t>法定代表人授权委托证明书</w:t>
      </w:r>
    </w:p>
    <w:p>
      <w:pPr>
        <w:pStyle w:val="29"/>
        <w:spacing w:line="360" w:lineRule="auto"/>
        <w:ind w:firstLine="424" w:firstLineChars="177"/>
        <w:rPr>
          <w:rFonts w:hAnsi="宋体"/>
          <w:bCs/>
          <w:sz w:val="24"/>
          <w:szCs w:val="24"/>
        </w:rPr>
      </w:pPr>
    </w:p>
    <w:p>
      <w:pPr>
        <w:pStyle w:val="29"/>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9"/>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（营业执照等）注册号码：</w:t>
      </w:r>
    </w:p>
    <w:p>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企业类型：</w:t>
      </w:r>
    </w:p>
    <w:p>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经营范围：</w:t>
      </w:r>
    </w:p>
    <w:p>
      <w:pPr>
        <w:pStyle w:val="29"/>
        <w:spacing w:before="120" w:beforeLines="50" w:after="120" w:afterLines="50" w:line="360" w:lineRule="auto"/>
        <w:ind w:firstLine="200"/>
        <w:rPr>
          <w:rFonts w:hAnsi="宋体"/>
          <w:sz w:val="24"/>
          <w:szCs w:val="24"/>
        </w:rPr>
      </w:pPr>
      <w:r>
        <w:rPr>
          <w:rFonts w:hint="eastAsia" w:hAnsi="宋体"/>
          <w:sz w:val="24"/>
          <w:szCs w:val="24"/>
        </w:rPr>
        <w:t>附：被授权人有效身份证正反面或其他身份证明材料复印　　　　　　　</w:t>
      </w:r>
    </w:p>
    <w:p>
      <w:pPr>
        <w:pStyle w:val="28"/>
        <w:spacing w:line="360" w:lineRule="auto"/>
        <w:jc w:val="both"/>
        <w:rPr>
          <w:rFonts w:hAnsi="宋体"/>
          <w:sz w:val="24"/>
          <w:szCs w:val="24"/>
        </w:rPr>
      </w:pPr>
    </w:p>
    <w:p>
      <w:pPr>
        <w:pStyle w:val="28"/>
        <w:spacing w:line="360" w:lineRule="auto"/>
        <w:jc w:val="both"/>
        <w:rPr>
          <w:rFonts w:hAnsi="宋体" w:eastAsia="宋体" w:cs="宋体"/>
          <w:sz w:val="28"/>
        </w:rPr>
      </w:pPr>
    </w:p>
    <w:p>
      <w:pPr>
        <w:pStyle w:val="28"/>
        <w:spacing w:line="360" w:lineRule="auto"/>
        <w:jc w:val="both"/>
        <w:rPr>
          <w:rFonts w:hAnsi="宋体" w:eastAsia="宋体" w:cs="宋体"/>
          <w:sz w:val="28"/>
        </w:rPr>
      </w:pPr>
    </w:p>
    <w:p>
      <w:pPr>
        <w:pStyle w:val="28"/>
        <w:spacing w:line="360" w:lineRule="auto"/>
        <w:jc w:val="both"/>
        <w:rPr>
          <w:rFonts w:hAnsi="宋体" w:eastAsia="宋体" w:cs="宋体"/>
          <w:sz w:val="28"/>
        </w:rPr>
      </w:pPr>
    </w:p>
    <w:p>
      <w:pPr>
        <w:pStyle w:val="28"/>
        <w:spacing w:line="360" w:lineRule="auto"/>
        <w:jc w:val="both"/>
        <w:rPr>
          <w:rFonts w:hAnsi="宋体" w:eastAsia="宋体" w:cs="宋体"/>
          <w:sz w:val="28"/>
        </w:rPr>
      </w:pPr>
    </w:p>
    <w:p>
      <w:pPr>
        <w:pStyle w:val="28"/>
        <w:spacing w:line="360" w:lineRule="auto"/>
        <w:jc w:val="both"/>
        <w:rPr>
          <w:rFonts w:hAnsi="宋体" w:eastAsia="宋体" w:cs="宋体"/>
          <w:sz w:val="28"/>
        </w:rPr>
      </w:pPr>
    </w:p>
    <w:p>
      <w:pPr>
        <w:pStyle w:val="28"/>
        <w:spacing w:line="360" w:lineRule="auto"/>
        <w:jc w:val="both"/>
        <w:rPr>
          <w:rFonts w:hAnsi="宋体" w:eastAsia="宋体" w:cs="宋体"/>
          <w:sz w:val="24"/>
          <w:szCs w:val="24"/>
        </w:rPr>
      </w:pPr>
      <w:r>
        <w:rPr>
          <w:rFonts w:hint="eastAsia" w:hAnsi="宋体" w:eastAsia="宋体" w:cs="宋体"/>
          <w:sz w:val="24"/>
          <w:szCs w:val="24"/>
        </w:rPr>
        <w:t>（单位盖章）：</w:t>
      </w:r>
    </w:p>
    <w:p>
      <w:pPr>
        <w:pStyle w:val="28"/>
        <w:spacing w:line="360" w:lineRule="auto"/>
        <w:jc w:val="both"/>
        <w:rPr>
          <w:rFonts w:hAnsi="宋体" w:eastAsia="宋体" w:cs="宋体"/>
          <w:sz w:val="24"/>
          <w:szCs w:val="24"/>
        </w:rPr>
      </w:pPr>
    </w:p>
    <w:p>
      <w:pPr>
        <w:pStyle w:val="28"/>
        <w:spacing w:line="360" w:lineRule="auto"/>
        <w:jc w:val="both"/>
        <w:rPr>
          <w:rFonts w:hAnsi="宋体" w:eastAsia="宋体" w:cs="宋体"/>
          <w:sz w:val="24"/>
          <w:szCs w:val="24"/>
        </w:rPr>
      </w:pPr>
      <w:bookmarkStart w:id="14" w:name="_Hlk33473384"/>
      <w:r>
        <w:rPr>
          <w:rFonts w:hint="eastAsia" w:hAnsi="宋体" w:eastAsia="宋体" w:cs="宋体"/>
          <w:sz w:val="24"/>
          <w:szCs w:val="24"/>
        </w:rPr>
        <w:t>法定代表人（签字或盖章）：</w:t>
      </w:r>
    </w:p>
    <w:p>
      <w:pPr>
        <w:pStyle w:val="2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8"/>
        <w:spacing w:line="360" w:lineRule="auto"/>
        <w:jc w:val="both"/>
        <w:rPr>
          <w:rFonts w:hAnsi="宋体" w:eastAsia="宋体" w:cs="宋体"/>
          <w:sz w:val="24"/>
          <w:szCs w:val="24"/>
        </w:rPr>
      </w:pPr>
      <w:r>
        <w:rPr>
          <w:rFonts w:hint="eastAsia" w:hAnsi="宋体" w:eastAsia="宋体" w:cs="宋体"/>
          <w:sz w:val="24"/>
          <w:szCs w:val="24"/>
        </w:rPr>
        <w:t>日期： 2023年   月  日</w:t>
      </w:r>
    </w:p>
    <w:p>
      <w:pPr>
        <w:rPr>
          <w:sz w:val="24"/>
        </w:rPr>
      </w:pPr>
      <w:r>
        <w:rPr>
          <w:rFonts w:hint="eastAsia" w:hAnsi="宋体" w:cs="宋体"/>
          <w:sz w:val="24"/>
          <w:lang w:val="zh-CN"/>
        </w:rPr>
        <w:t>说明：法定代表人亲自办理投标事宜的，无需提交本证明书。</w:t>
      </w:r>
    </w:p>
    <w:bookmarkEnd w:id="14"/>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ascii="宋体" w:hAnsi="宋体"/>
          <w:bCs/>
          <w:szCs w:val="21"/>
        </w:rPr>
      </w:pPr>
      <w:r>
        <w:rPr>
          <w:rFonts w:hint="eastAsia" w:ascii="宋体" w:hAnsi="宋体"/>
          <w:bCs/>
          <w:szCs w:val="21"/>
        </w:rPr>
        <w:t>项目名称：</w:t>
      </w:r>
      <w:r>
        <w:rPr>
          <w:rFonts w:hint="eastAsia" w:ascii="宋体" w:hAnsi="宋体" w:eastAsia="宋体" w:cs="宋体"/>
          <w:b w:val="0"/>
          <w:sz w:val="24"/>
          <w:szCs w:val="24"/>
          <w:u w:val="none"/>
        </w:rPr>
        <w:t>2023年冬季板换间旁通阀封堵及部分旁通阀更换工</w:t>
      </w:r>
      <w:r>
        <w:rPr>
          <w:rFonts w:hint="eastAsia" w:ascii="宋体" w:hAnsi="宋体" w:eastAsia="宋体" w:cs="宋体"/>
          <w:b w:val="0"/>
          <w:sz w:val="24"/>
          <w:szCs w:val="24"/>
          <w:u w:val="single"/>
        </w:rPr>
        <w:t>程</w:t>
      </w:r>
    </w:p>
    <w:tbl>
      <w:tblPr>
        <w:tblStyle w:val="20"/>
        <w:tblW w:w="84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pStyle w:val="38"/>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必须是具有独立承担民事责任能力的在中华人民共和国境内注册的法人，具备有效的工商营业执照、企业法人组织机构代码证书、税务登记证书（或三证合一），按国家法律经营。</w:t>
            </w:r>
          </w:p>
          <w:p>
            <w:pPr>
              <w:rPr>
                <w:rFonts w:ascii="宋体" w:hAnsi="宋体"/>
                <w:szCs w:val="21"/>
              </w:rPr>
            </w:pP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pStyle w:val="38"/>
              <w:numPr>
                <w:ilvl w:val="0"/>
                <w:numId w:val="0"/>
              </w:numPr>
              <w:spacing w:line="360" w:lineRule="auto"/>
              <w:jc w:val="left"/>
              <w:rPr>
                <w:rFonts w:ascii="宋体" w:hAnsi="宋体" w:cs="宋体"/>
                <w:szCs w:val="21"/>
              </w:rPr>
            </w:pPr>
            <w:r>
              <w:rPr>
                <w:rFonts w:hint="eastAsia" w:ascii="宋体" w:hAnsi="宋体" w:eastAsia="宋体" w:cs="宋体"/>
                <w:kern w:val="2"/>
                <w:sz w:val="21"/>
                <w:szCs w:val="21"/>
                <w:lang w:val="en-US" w:eastAsia="zh-CN" w:bidi="ar-SA"/>
              </w:rPr>
              <w:t>已办理合法税务登记，具有开具相应增值税专用发票资格。</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rPr>
              <w:t>3</w:t>
            </w:r>
          </w:p>
        </w:tc>
        <w:tc>
          <w:tcPr>
            <w:tcW w:w="6862" w:type="dxa"/>
            <w:shd w:val="clear" w:color="auto" w:fill="auto"/>
            <w:vAlign w:val="center"/>
          </w:tcPr>
          <w:p>
            <w:pPr>
              <w:pStyle w:val="38"/>
              <w:numPr>
                <w:ilvl w:val="0"/>
                <w:numId w:val="0"/>
              </w:numPr>
              <w:spacing w:line="360" w:lineRule="auto"/>
              <w:jc w:val="left"/>
              <w:rPr>
                <w:rFonts w:ascii="宋体" w:hAnsi="宋体" w:cs="宋体"/>
                <w:szCs w:val="21"/>
              </w:rPr>
            </w:pPr>
            <w:r>
              <w:rPr>
                <w:rFonts w:hint="eastAsia" w:ascii="宋体" w:hAnsi="宋体" w:eastAsia="宋体" w:cs="宋体"/>
                <w:kern w:val="2"/>
                <w:sz w:val="21"/>
                <w:szCs w:val="21"/>
                <w:lang w:val="en-US" w:eastAsia="zh-CN" w:bidi="ar-SA"/>
              </w:rPr>
              <w:t>具备建筑机电安装工程专业承包三级或以上资质。</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4</w:t>
            </w:r>
          </w:p>
        </w:tc>
        <w:tc>
          <w:tcPr>
            <w:tcW w:w="686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5</w:t>
            </w:r>
          </w:p>
        </w:tc>
        <w:tc>
          <w:tcPr>
            <w:tcW w:w="6862" w:type="dxa"/>
            <w:vAlign w:val="center"/>
          </w:tcPr>
          <w:p>
            <w:pPr>
              <w:rPr>
                <w:rFonts w:ascii="宋体" w:hAnsi="宋体" w:cs="宋体"/>
                <w:szCs w:val="21"/>
              </w:rPr>
            </w:pPr>
            <w:r>
              <w:rPr>
                <w:rFonts w:hint="eastAsia" w:ascii="宋体" w:hAnsi="宋体" w:cs="宋体"/>
                <w:szCs w:val="21"/>
              </w:rPr>
              <w:t>近3年内(20</w:t>
            </w:r>
            <w:r>
              <w:rPr>
                <w:rFonts w:ascii="宋体" w:hAnsi="宋体" w:cs="宋体"/>
                <w:szCs w:val="21"/>
              </w:rPr>
              <w:t>20</w:t>
            </w:r>
            <w:r>
              <w:rPr>
                <w:rFonts w:hint="eastAsia" w:ascii="宋体" w:hAnsi="宋体" w:cs="宋体"/>
                <w:szCs w:val="21"/>
              </w:rPr>
              <w:t>年1月1日至今) 完成过质量合格的类似项目施工业绩（需提供合同和验收报告等相关证明材料复印件）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sz w:val="24"/>
        </w:rPr>
      </w:pPr>
      <w:r>
        <w:rPr>
          <w:rFonts w:hint="eastAsia" w:ascii="宋体" w:hAnsi="宋体"/>
          <w:bCs/>
          <w:sz w:val="24"/>
        </w:rPr>
        <w:t>评委签名：    日 期：</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bCs/>
          <w:szCs w:val="21"/>
        </w:rPr>
      </w:pPr>
      <w:r>
        <w:rPr>
          <w:rFonts w:hint="eastAsia" w:ascii="宋体" w:hAnsi="宋体" w:cs="宋体"/>
          <w:b/>
          <w:bCs/>
          <w:sz w:val="36"/>
          <w:szCs w:val="36"/>
        </w:rPr>
        <w:t>投标文件有效性审查表</w:t>
      </w:r>
    </w:p>
    <w:p>
      <w:pPr>
        <w:spacing w:line="360" w:lineRule="auto"/>
        <w:rPr>
          <w:rFonts w:ascii="宋体" w:hAnsi="宋体"/>
          <w:b/>
          <w:sz w:val="24"/>
        </w:rPr>
      </w:pPr>
      <w:r>
        <w:rPr>
          <w:rFonts w:hint="eastAsia" w:ascii="宋体" w:hAnsi="宋体"/>
          <w:bCs/>
          <w:szCs w:val="21"/>
        </w:rPr>
        <w:t>项</w:t>
      </w:r>
      <w:r>
        <w:rPr>
          <w:rFonts w:hint="eastAsia" w:ascii="宋体" w:hAnsi="宋体"/>
          <w:bCs/>
          <w:sz w:val="24"/>
        </w:rPr>
        <w:t>目名称：</w:t>
      </w:r>
      <w:r>
        <w:rPr>
          <w:rFonts w:hint="eastAsia" w:ascii="宋体" w:hAnsi="宋体" w:eastAsia="宋体" w:cs="宋体"/>
          <w:b w:val="0"/>
          <w:sz w:val="24"/>
          <w:szCs w:val="24"/>
          <w:u w:val="none"/>
        </w:rPr>
        <w:t>2023年冬季板换间旁通阀封堵及部分旁通阀更换工</w:t>
      </w:r>
      <w:r>
        <w:rPr>
          <w:rFonts w:hint="eastAsia" w:ascii="宋体" w:hAnsi="宋体" w:eastAsia="宋体" w:cs="宋体"/>
          <w:b w:val="0"/>
          <w:sz w:val="24"/>
          <w:szCs w:val="24"/>
          <w:u w:val="single"/>
        </w:rPr>
        <w:t>程</w:t>
      </w:r>
    </w:p>
    <w:tbl>
      <w:tblPr>
        <w:tblStyle w:val="20"/>
        <w:tblW w:w="82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投标文件按竞选文件规定的格式填写，内容</w:t>
            </w:r>
            <w:r>
              <w:rPr>
                <w:rFonts w:hint="eastAsia" w:ascii="宋体" w:hAnsi="宋体"/>
                <w:szCs w:val="21"/>
                <w:lang w:val="en-US" w:eastAsia="zh-CN"/>
              </w:rPr>
              <w:t>无</w:t>
            </w:r>
            <w:r>
              <w:rPr>
                <w:rFonts w:hint="eastAsia" w:ascii="宋体" w:hAnsi="宋体"/>
                <w:szCs w:val="21"/>
              </w:rPr>
              <w:t>不全或关键字迹模糊、无法辩认</w:t>
            </w:r>
            <w:r>
              <w:rPr>
                <w:rFonts w:hint="eastAsia" w:ascii="宋体" w:hAnsi="宋体"/>
                <w:szCs w:val="21"/>
                <w:lang w:val="en-US" w:eastAsia="zh-CN"/>
              </w:rPr>
              <w:t>情形</w:t>
            </w:r>
            <w:r>
              <w:rPr>
                <w:rFonts w:hint="eastAsia" w:ascii="宋体" w:hAnsi="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w:t>
            </w:r>
            <w:r>
              <w:rPr>
                <w:rFonts w:hint="eastAsia" w:ascii="宋体" w:hAnsi="宋体" w:cs="宋体"/>
                <w:szCs w:val="21"/>
                <w:lang w:val="en-US" w:eastAsia="zh-CN"/>
              </w:rPr>
              <w:t>未</w:t>
            </w:r>
            <w:r>
              <w:rPr>
                <w:rFonts w:hint="eastAsia" w:ascii="宋体" w:hAnsi="宋体" w:cs="宋体"/>
                <w:szCs w:val="21"/>
              </w:rPr>
              <w:t>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w:t>
            </w:r>
            <w:r>
              <w:rPr>
                <w:rFonts w:hint="eastAsia" w:ascii="宋体" w:hAnsi="宋体" w:cs="宋体"/>
                <w:szCs w:val="21"/>
                <w:lang w:val="en-US" w:eastAsia="zh-CN"/>
              </w:rPr>
              <w:t>不</w:t>
            </w:r>
            <w:r>
              <w:rPr>
                <w:rFonts w:hint="eastAsia" w:ascii="宋体" w:hAnsi="宋体" w:cs="宋体"/>
                <w:szCs w:val="21"/>
              </w:rPr>
              <w:t>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w:t>
            </w:r>
            <w:r>
              <w:rPr>
                <w:rFonts w:hint="eastAsia" w:ascii="宋体" w:hAnsi="宋体" w:cs="宋体"/>
                <w:szCs w:val="21"/>
                <w:lang w:val="en-US" w:eastAsia="zh-CN"/>
              </w:rPr>
              <w:t>不</w:t>
            </w:r>
            <w:r>
              <w:rPr>
                <w:rFonts w:hint="eastAsia" w:ascii="宋体" w:hAnsi="宋体" w:cs="宋体"/>
                <w:szCs w:val="21"/>
              </w:rPr>
              <w:t>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w:t>
            </w:r>
            <w:r>
              <w:rPr>
                <w:rFonts w:hint="eastAsia" w:ascii="宋体" w:hAnsi="宋体" w:cs="宋体"/>
                <w:szCs w:val="21"/>
                <w:lang w:val="en-US" w:eastAsia="zh-CN"/>
              </w:rPr>
              <w:t>未</w:t>
            </w:r>
            <w:r>
              <w:rPr>
                <w:rFonts w:hint="eastAsia" w:ascii="宋体" w:hAnsi="宋体" w:cs="宋体"/>
                <w:szCs w:val="21"/>
              </w:rPr>
              <w:t>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6410" w:type="dxa"/>
            <w:shd w:val="clear" w:color="auto" w:fill="auto"/>
            <w:vAlign w:val="center"/>
          </w:tcPr>
          <w:p>
            <w:pPr>
              <w:rPr>
                <w:rFonts w:ascii="宋体" w:hAnsi="宋体" w:cs="宋体"/>
                <w:szCs w:val="21"/>
              </w:rPr>
            </w:pPr>
            <w:r>
              <w:rPr>
                <w:rFonts w:hint="eastAsia" w:ascii="宋体" w:hAnsi="宋体" w:cs="宋体"/>
                <w:szCs w:val="21"/>
              </w:rPr>
              <w:t>有效的安全员资格证</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rPr>
          <w:rFonts w:ascii="宋体" w:hAnsi="宋体"/>
          <w:sz w:val="24"/>
        </w:rPr>
      </w:pPr>
      <w:r>
        <w:rPr>
          <w:rFonts w:hint="eastAsia" w:ascii="宋体" w:hAnsi="宋体"/>
          <w:sz w:val="24"/>
        </w:rPr>
        <w:t>注：</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hint="eastAsia" w:ascii="宋体" w:hAnsi="宋体"/>
          <w:sz w:val="24"/>
        </w:rPr>
      </w:pPr>
      <w:r>
        <w:rPr>
          <w:rFonts w:hint="eastAsia" w:ascii="宋体" w:hAnsi="宋体"/>
          <w:bCs/>
          <w:sz w:val="24"/>
        </w:rPr>
        <w:t>评委签名：        日 期：</w:t>
      </w:r>
      <w:r>
        <w:rPr>
          <w:rFonts w:hint="eastAsia" w:ascii="宋体" w:hAnsi="宋体"/>
          <w:sz w:val="24"/>
        </w:rPr>
        <w:t xml:space="preserve">    年   月   日</w:t>
      </w:r>
    </w:p>
    <w:p>
      <w:pPr>
        <w:spacing w:line="360" w:lineRule="auto"/>
        <w:jc w:val="both"/>
        <w:rPr>
          <w:rFonts w:hint="eastAsia" w:ascii="宋体" w:hAnsi="宋体"/>
          <w:sz w:val="24"/>
          <w:lang w:val="en-US" w:eastAsia="zh-CN"/>
        </w:rPr>
      </w:pPr>
    </w:p>
    <w:p>
      <w:pPr>
        <w:spacing w:line="360" w:lineRule="auto"/>
        <w:jc w:val="both"/>
        <w:rPr>
          <w:rFonts w:hint="eastAsia" w:ascii="宋体" w:hAnsi="宋体"/>
          <w:sz w:val="24"/>
          <w:lang w:val="en-US" w:eastAsia="zh-CN"/>
        </w:rPr>
      </w:pPr>
    </w:p>
    <w:p>
      <w:pPr>
        <w:spacing w:line="360" w:lineRule="auto"/>
        <w:jc w:val="both"/>
        <w:rPr>
          <w:rFonts w:ascii="宋体" w:hAnsi="宋体"/>
          <w:b/>
          <w:bCs/>
          <w:sz w:val="24"/>
          <w:szCs w:val="24"/>
        </w:rPr>
      </w:pPr>
      <w:r>
        <w:rPr>
          <w:rFonts w:hint="eastAsia" w:ascii="宋体" w:hAnsi="宋体"/>
          <w:sz w:val="24"/>
          <w:lang w:val="en-US" w:eastAsia="zh-CN"/>
        </w:rPr>
        <w:t xml:space="preserve">附件7                </w:t>
      </w:r>
      <w:r>
        <w:rPr>
          <w:rFonts w:hint="eastAsia" w:ascii="宋体" w:hAnsi="宋体"/>
          <w:b/>
          <w:bCs/>
          <w:sz w:val="24"/>
          <w:szCs w:val="24"/>
        </w:rPr>
        <w:t>能源站冷却塔新增乙供材料</w:t>
      </w:r>
    </w:p>
    <w:p>
      <w:pPr>
        <w:spacing w:line="360" w:lineRule="auto"/>
        <w:jc w:val="center"/>
        <w:rPr>
          <w:rFonts w:ascii="宋体" w:hAnsi="宋体"/>
          <w:b/>
          <w:bCs/>
          <w:sz w:val="24"/>
          <w:szCs w:val="24"/>
        </w:rPr>
      </w:pPr>
      <w:r>
        <w:rPr>
          <w:rFonts w:hint="eastAsia" w:ascii="宋体" w:hAnsi="宋体"/>
          <w:b/>
          <w:bCs/>
          <w:sz w:val="24"/>
          <w:szCs w:val="24"/>
        </w:rPr>
        <w:t>技术需求书</w:t>
      </w:r>
    </w:p>
    <w:p>
      <w:pPr>
        <w:pStyle w:val="18"/>
      </w:pPr>
      <w:r>
        <w:rPr>
          <w:rFonts w:hint="eastAsia"/>
        </w:rPr>
        <w:t>一、阀门</w:t>
      </w:r>
    </w:p>
    <w:p>
      <w:pPr>
        <w:pStyle w:val="15"/>
        <w:spacing w:line="360" w:lineRule="auto"/>
        <w:rPr>
          <w:rFonts w:ascii="宋体" w:hAnsi="宋体"/>
          <w:sz w:val="24"/>
          <w:szCs w:val="24"/>
        </w:rPr>
      </w:pPr>
      <w:r>
        <w:rPr>
          <w:rFonts w:hint="eastAsia" w:ascii="宋体" w:hAnsi="宋体"/>
          <w:sz w:val="24"/>
          <w:szCs w:val="24"/>
        </w:rPr>
        <w:t>1.1总体技术要求</w:t>
      </w:r>
    </w:p>
    <w:p>
      <w:pPr>
        <w:spacing w:after="156" w:afterLines="50" w:line="360" w:lineRule="auto"/>
        <w:rPr>
          <w:rFonts w:ascii="宋体" w:hAnsi="宋体"/>
          <w:sz w:val="24"/>
          <w:szCs w:val="24"/>
        </w:rPr>
      </w:pPr>
      <w:r>
        <w:rPr>
          <w:rFonts w:hint="eastAsia" w:ascii="宋体" w:hAnsi="宋体"/>
          <w:sz w:val="24"/>
          <w:szCs w:val="24"/>
        </w:rPr>
        <w:t>1.1.1阀门工作温度：-10~90℃。</w:t>
      </w:r>
    </w:p>
    <w:p>
      <w:pPr>
        <w:spacing w:after="156" w:afterLines="50" w:line="360" w:lineRule="auto"/>
        <w:rPr>
          <w:rFonts w:ascii="宋体" w:hAnsi="宋体"/>
          <w:sz w:val="24"/>
          <w:szCs w:val="24"/>
        </w:rPr>
      </w:pPr>
      <w:r>
        <w:rPr>
          <w:rFonts w:hint="eastAsia" w:ascii="宋体" w:hAnsi="宋体"/>
          <w:sz w:val="24"/>
          <w:szCs w:val="24"/>
        </w:rPr>
        <w:t>1.1.2环境温度：-10~40℃。</w:t>
      </w:r>
    </w:p>
    <w:p>
      <w:pPr>
        <w:spacing w:after="156" w:afterLines="50" w:line="360" w:lineRule="auto"/>
        <w:rPr>
          <w:rFonts w:ascii="宋体" w:hAnsi="宋体"/>
          <w:sz w:val="24"/>
          <w:szCs w:val="24"/>
        </w:rPr>
      </w:pPr>
      <w:r>
        <w:rPr>
          <w:rFonts w:hint="eastAsia" w:ascii="宋体" w:hAnsi="宋体"/>
          <w:sz w:val="24"/>
          <w:szCs w:val="24"/>
        </w:rPr>
        <w:t>1.1.3介质及温度范围：水，温度：-10~60℃。</w:t>
      </w:r>
    </w:p>
    <w:p>
      <w:pPr>
        <w:spacing w:after="156" w:afterLines="50" w:line="360" w:lineRule="auto"/>
        <w:rPr>
          <w:rFonts w:ascii="宋体" w:hAnsi="宋体"/>
          <w:sz w:val="24"/>
          <w:szCs w:val="24"/>
        </w:rPr>
      </w:pPr>
      <w:r>
        <w:rPr>
          <w:rFonts w:hint="eastAsia" w:ascii="宋体" w:hAnsi="宋体"/>
          <w:sz w:val="24"/>
          <w:szCs w:val="24"/>
        </w:rPr>
        <w:t>1.1.4工作压力：1.0MPa。</w:t>
      </w:r>
    </w:p>
    <w:p>
      <w:pPr>
        <w:spacing w:after="156" w:afterLines="50" w:line="360" w:lineRule="auto"/>
        <w:rPr>
          <w:rFonts w:ascii="宋体" w:hAnsi="宋体"/>
          <w:sz w:val="24"/>
          <w:szCs w:val="24"/>
        </w:rPr>
      </w:pPr>
      <w:r>
        <w:rPr>
          <w:rFonts w:hint="eastAsia" w:ascii="宋体" w:hAnsi="宋体"/>
          <w:sz w:val="24"/>
          <w:szCs w:val="24"/>
        </w:rPr>
        <w:t>1.1.5所有供本工程使用的阀门和配件均必须为不含石棉物质的产品。</w:t>
      </w:r>
    </w:p>
    <w:p>
      <w:pPr>
        <w:spacing w:after="156" w:afterLines="50" w:line="360" w:lineRule="auto"/>
        <w:rPr>
          <w:rFonts w:ascii="宋体" w:hAnsi="宋体"/>
          <w:sz w:val="24"/>
          <w:szCs w:val="24"/>
        </w:rPr>
      </w:pPr>
      <w:r>
        <w:rPr>
          <w:rFonts w:hint="eastAsia" w:ascii="宋体" w:hAnsi="宋体"/>
          <w:sz w:val="24"/>
          <w:szCs w:val="24"/>
        </w:rPr>
        <w:t>1.1.6所有阀门的关闭压差≥700KPa。</w:t>
      </w:r>
    </w:p>
    <w:p>
      <w:pPr>
        <w:spacing w:after="156" w:afterLines="50" w:line="360" w:lineRule="auto"/>
        <w:rPr>
          <w:rFonts w:ascii="宋体" w:hAnsi="宋体"/>
          <w:sz w:val="24"/>
          <w:szCs w:val="24"/>
        </w:rPr>
      </w:pPr>
      <w:r>
        <w:rPr>
          <w:rFonts w:hint="eastAsia" w:ascii="宋体" w:hAnsi="宋体"/>
          <w:sz w:val="24"/>
          <w:szCs w:val="24"/>
        </w:rPr>
        <w:t>1.1.7阀体及操作机构等内外表面要进行喷砂处理，以除去铁锈、水分及油等杂质。商标及材质牌号铸在阀体上。</w:t>
      </w:r>
    </w:p>
    <w:p>
      <w:pPr>
        <w:spacing w:after="156" w:afterLines="50" w:line="360" w:lineRule="auto"/>
        <w:rPr>
          <w:rFonts w:ascii="宋体" w:hAnsi="宋体"/>
          <w:sz w:val="24"/>
          <w:szCs w:val="24"/>
        </w:rPr>
      </w:pPr>
      <w:r>
        <w:rPr>
          <w:rFonts w:hint="eastAsia" w:ascii="宋体" w:hAnsi="宋体"/>
          <w:sz w:val="24"/>
          <w:szCs w:val="24"/>
        </w:rPr>
        <w:t>1.1.8阀体（含蜗轮蜗杆、电动驱动装置等）外部及操作机构应采用无毒环氧树脂粉体涂装，防止生锈和流体腐蚀，颜色采用灰色。</w:t>
      </w:r>
    </w:p>
    <w:p>
      <w:pPr>
        <w:spacing w:after="156" w:afterLines="50" w:line="360" w:lineRule="auto"/>
        <w:rPr>
          <w:rFonts w:ascii="宋体" w:hAnsi="宋体"/>
          <w:sz w:val="24"/>
          <w:szCs w:val="24"/>
        </w:rPr>
      </w:pPr>
      <w:r>
        <w:rPr>
          <w:rFonts w:hint="eastAsia" w:ascii="宋体" w:hAnsi="宋体"/>
          <w:sz w:val="24"/>
          <w:szCs w:val="24"/>
        </w:rPr>
        <w:t>1.1.9除橡胶、铜及不锈钢外，阀体等铸件在完全除锈、除水之后内外表面均需以卫生级无毒环氧树脂粉末涂敷（静电喷涂烧结法）。涂层应光滑均匀无缺陷，涂料干后不溶解于水，不影响水质，并不因空气温度变化而分解。</w:t>
      </w:r>
    </w:p>
    <w:p>
      <w:pPr>
        <w:spacing w:after="156" w:afterLines="50" w:line="360" w:lineRule="auto"/>
        <w:rPr>
          <w:rFonts w:ascii="宋体" w:hAnsi="宋体"/>
          <w:sz w:val="24"/>
          <w:szCs w:val="24"/>
        </w:rPr>
      </w:pPr>
      <w:r>
        <w:rPr>
          <w:rFonts w:hint="eastAsia" w:ascii="宋体" w:hAnsi="宋体"/>
          <w:sz w:val="24"/>
          <w:szCs w:val="24"/>
        </w:rPr>
        <w:t>1.1.10阀门内外应经高压喷砂除锈处理后（达到</w:t>
      </w:r>
      <w:r>
        <w:rPr>
          <w:rFonts w:ascii="宋体" w:hAnsi="宋体"/>
          <w:sz w:val="24"/>
          <w:szCs w:val="24"/>
        </w:rPr>
        <w:t>Sa2.5</w:t>
      </w:r>
      <w:r>
        <w:rPr>
          <w:rFonts w:hint="eastAsia" w:ascii="宋体" w:hAnsi="宋体"/>
          <w:sz w:val="24"/>
          <w:szCs w:val="24"/>
        </w:rPr>
        <w:t>级），喷涂环氧树脂涂层，厚度大于</w:t>
      </w:r>
      <w:r>
        <w:rPr>
          <w:rFonts w:ascii="宋体" w:hAnsi="宋体"/>
          <w:sz w:val="24"/>
          <w:szCs w:val="24"/>
        </w:rPr>
        <w:t>200µm</w:t>
      </w:r>
      <w:r>
        <w:rPr>
          <w:rFonts w:hint="eastAsia" w:ascii="宋体" w:hAnsi="宋体"/>
          <w:sz w:val="24"/>
          <w:szCs w:val="24"/>
        </w:rPr>
        <w:t>。</w:t>
      </w:r>
    </w:p>
    <w:p>
      <w:pPr>
        <w:spacing w:after="156" w:afterLines="50" w:line="360" w:lineRule="auto"/>
        <w:rPr>
          <w:rFonts w:ascii="宋体" w:hAnsi="宋体"/>
          <w:sz w:val="24"/>
          <w:szCs w:val="24"/>
        </w:rPr>
      </w:pPr>
      <w:r>
        <w:rPr>
          <w:rFonts w:hint="eastAsia" w:ascii="宋体" w:hAnsi="宋体"/>
          <w:sz w:val="24"/>
          <w:szCs w:val="24"/>
        </w:rPr>
        <w:t>1.1.11阀体结构长度系列按GB12221标准。</w:t>
      </w:r>
    </w:p>
    <w:p>
      <w:pPr>
        <w:spacing w:after="156" w:afterLines="50" w:line="360" w:lineRule="auto"/>
        <w:rPr>
          <w:rFonts w:ascii="宋体" w:hAnsi="宋体"/>
          <w:sz w:val="24"/>
          <w:szCs w:val="24"/>
        </w:rPr>
      </w:pPr>
      <w:r>
        <w:rPr>
          <w:rFonts w:hint="eastAsia" w:ascii="宋体" w:hAnsi="宋体"/>
          <w:sz w:val="24"/>
          <w:szCs w:val="24"/>
        </w:rPr>
        <w:t>1.1.12阀门压力试验应满足GB-T 13927-2008 工业阀门压力试验要求。</w:t>
      </w:r>
    </w:p>
    <w:p>
      <w:pPr>
        <w:spacing w:after="156" w:afterLines="50" w:line="360" w:lineRule="auto"/>
        <w:rPr>
          <w:rFonts w:ascii="宋体" w:hAnsi="宋体"/>
          <w:sz w:val="24"/>
          <w:szCs w:val="24"/>
        </w:rPr>
      </w:pPr>
      <w:r>
        <w:rPr>
          <w:rFonts w:hint="eastAsia" w:ascii="宋体" w:hAnsi="宋体"/>
          <w:sz w:val="24"/>
          <w:szCs w:val="24"/>
        </w:rPr>
        <w:t>1.1.13阀门的包装及贮运应符合标准JB/T7928的规定。</w:t>
      </w:r>
    </w:p>
    <w:p>
      <w:pPr>
        <w:spacing w:after="156" w:afterLines="50" w:line="360" w:lineRule="auto"/>
        <w:rPr>
          <w:rFonts w:ascii="宋体" w:hAnsi="宋体"/>
          <w:sz w:val="24"/>
          <w:szCs w:val="24"/>
        </w:rPr>
      </w:pPr>
      <w:r>
        <w:rPr>
          <w:rFonts w:hint="eastAsia" w:ascii="宋体" w:hAnsi="宋体"/>
          <w:sz w:val="24"/>
          <w:szCs w:val="24"/>
        </w:rPr>
        <w:t>1.1.14操作执行机构连接按ISO5211标准。</w:t>
      </w:r>
    </w:p>
    <w:p>
      <w:pPr>
        <w:spacing w:after="156" w:afterLines="50" w:line="360" w:lineRule="auto"/>
        <w:rPr>
          <w:rFonts w:ascii="宋体" w:hAnsi="宋体"/>
          <w:sz w:val="24"/>
          <w:szCs w:val="24"/>
        </w:rPr>
      </w:pPr>
      <w:r>
        <w:rPr>
          <w:rFonts w:hint="eastAsia" w:ascii="宋体" w:hAnsi="宋体"/>
          <w:sz w:val="24"/>
          <w:szCs w:val="24"/>
        </w:rPr>
        <w:t>1.1.15启闭次数需达到1.5万次以上﹐不得有渗漏</w:t>
      </w:r>
      <w:r>
        <w:rPr>
          <w:rFonts w:hint="eastAsia" w:ascii="微软雅黑" w:hAnsi="微软雅黑" w:eastAsia="微软雅黑" w:cs="微软雅黑"/>
          <w:sz w:val="24"/>
          <w:szCs w:val="24"/>
        </w:rPr>
        <w:t>｡</w:t>
      </w:r>
    </w:p>
    <w:p>
      <w:pPr>
        <w:pStyle w:val="15"/>
        <w:spacing w:line="360" w:lineRule="auto"/>
        <w:rPr>
          <w:rFonts w:ascii="宋体" w:hAnsi="宋体"/>
          <w:sz w:val="24"/>
          <w:szCs w:val="24"/>
        </w:rPr>
      </w:pPr>
      <w:r>
        <w:rPr>
          <w:rFonts w:hint="eastAsia" w:ascii="宋体" w:hAnsi="宋体"/>
          <w:sz w:val="24"/>
          <w:szCs w:val="24"/>
        </w:rPr>
        <w:t>1.2手动蝶阀</w:t>
      </w:r>
    </w:p>
    <w:p>
      <w:pPr>
        <w:spacing w:after="156" w:afterLines="50" w:line="360" w:lineRule="auto"/>
        <w:rPr>
          <w:rFonts w:ascii="宋体" w:hAnsi="宋体"/>
          <w:sz w:val="24"/>
          <w:szCs w:val="24"/>
        </w:rPr>
      </w:pPr>
      <w:r>
        <w:rPr>
          <w:rFonts w:hint="eastAsia" w:ascii="宋体" w:hAnsi="宋体"/>
          <w:sz w:val="24"/>
          <w:szCs w:val="24"/>
        </w:rPr>
        <w:t>1.2.1结构形式：对夹式软密封蝶阀</w:t>
      </w:r>
    </w:p>
    <w:p>
      <w:pPr>
        <w:spacing w:after="156" w:afterLines="50" w:line="360" w:lineRule="auto"/>
        <w:rPr>
          <w:rFonts w:ascii="宋体" w:hAnsi="宋体"/>
          <w:sz w:val="24"/>
          <w:szCs w:val="24"/>
        </w:rPr>
      </w:pPr>
      <w:r>
        <w:rPr>
          <w:rFonts w:hint="eastAsia" w:ascii="宋体" w:hAnsi="宋体"/>
          <w:sz w:val="24"/>
          <w:szCs w:val="24"/>
        </w:rPr>
        <w:t>1.2.2材料要求</w:t>
      </w:r>
    </w:p>
    <w:p>
      <w:pPr>
        <w:spacing w:after="156" w:afterLines="50" w:line="360" w:lineRule="auto"/>
        <w:ind w:left="420"/>
        <w:rPr>
          <w:rFonts w:ascii="宋体" w:hAnsi="宋体"/>
          <w:sz w:val="24"/>
          <w:szCs w:val="24"/>
        </w:rPr>
      </w:pPr>
      <w:r>
        <w:rPr>
          <w:rFonts w:hint="eastAsia" w:ascii="宋体" w:hAnsi="宋体"/>
          <w:sz w:val="24"/>
          <w:szCs w:val="24"/>
        </w:rPr>
        <w:t>1）阀体：球墨铸铁（QT450-10），相应的物理化学主要控制指标详见国家标准（GB12227）。</w:t>
      </w:r>
    </w:p>
    <w:p>
      <w:pPr>
        <w:spacing w:after="156" w:afterLines="50" w:line="360" w:lineRule="auto"/>
        <w:ind w:left="420"/>
        <w:rPr>
          <w:rFonts w:ascii="宋体" w:hAnsi="宋体"/>
          <w:sz w:val="24"/>
          <w:szCs w:val="24"/>
        </w:rPr>
      </w:pPr>
      <w:r>
        <w:rPr>
          <w:rFonts w:hint="eastAsia" w:ascii="宋体" w:hAnsi="宋体"/>
          <w:sz w:val="24"/>
          <w:szCs w:val="24"/>
        </w:rPr>
        <w:t>2）阀瓣：法兰式采用球墨铸铁（QT450-10）。相应的物理化学主要控制指标详见国家标准（GB3280）和（GB12227）。</w:t>
      </w:r>
    </w:p>
    <w:p>
      <w:pPr>
        <w:spacing w:after="156" w:afterLines="50" w:line="360" w:lineRule="auto"/>
        <w:ind w:left="420"/>
        <w:rPr>
          <w:rFonts w:ascii="宋体" w:hAnsi="宋体"/>
          <w:sz w:val="24"/>
          <w:szCs w:val="24"/>
        </w:rPr>
      </w:pPr>
      <w:r>
        <w:rPr>
          <w:rFonts w:hint="eastAsia" w:ascii="宋体" w:hAnsi="宋体"/>
          <w:sz w:val="24"/>
          <w:szCs w:val="24"/>
        </w:rPr>
        <w:t>3）阀轴：不锈钢（2Cr13），相应的物理化学主要控制指标详见国家标准（GB1220）。</w:t>
      </w:r>
    </w:p>
    <w:p>
      <w:pPr>
        <w:spacing w:after="156" w:afterLines="50" w:line="360" w:lineRule="auto"/>
        <w:ind w:left="420"/>
        <w:rPr>
          <w:rFonts w:ascii="宋体" w:hAnsi="宋体"/>
          <w:sz w:val="24"/>
          <w:szCs w:val="24"/>
        </w:rPr>
      </w:pPr>
      <w:r>
        <w:rPr>
          <w:rFonts w:hint="eastAsia" w:ascii="宋体" w:hAnsi="宋体"/>
          <w:sz w:val="24"/>
          <w:szCs w:val="24"/>
        </w:rPr>
        <w:t>4）阀座：采用铸铁。</w:t>
      </w:r>
    </w:p>
    <w:p>
      <w:pPr>
        <w:spacing w:after="156" w:afterLines="50" w:line="360" w:lineRule="auto"/>
        <w:ind w:firstLine="420"/>
        <w:rPr>
          <w:rFonts w:ascii="宋体" w:hAnsi="宋体"/>
          <w:sz w:val="24"/>
          <w:szCs w:val="24"/>
        </w:rPr>
      </w:pPr>
      <w:r>
        <w:rPr>
          <w:rFonts w:hint="eastAsia" w:ascii="宋体" w:hAnsi="宋体"/>
          <w:sz w:val="24"/>
          <w:szCs w:val="24"/>
        </w:rPr>
        <w:t>5）涡轮蜗杆；按耐用性和使用场合条件满足国家相关的规范要求。</w:t>
      </w:r>
    </w:p>
    <w:p>
      <w:pPr>
        <w:spacing w:after="156" w:afterLines="50" w:line="360" w:lineRule="auto"/>
        <w:rPr>
          <w:rFonts w:ascii="宋体" w:hAnsi="宋体"/>
          <w:sz w:val="24"/>
          <w:szCs w:val="24"/>
        </w:rPr>
      </w:pPr>
      <w:r>
        <w:rPr>
          <w:rFonts w:hint="eastAsia" w:ascii="宋体" w:hAnsi="宋体"/>
          <w:sz w:val="24"/>
          <w:szCs w:val="24"/>
        </w:rPr>
        <w:t>1.2.3性能要求</w:t>
      </w:r>
    </w:p>
    <w:p>
      <w:pPr>
        <w:spacing w:after="156" w:afterLines="50" w:line="360" w:lineRule="auto"/>
        <w:ind w:left="420"/>
        <w:rPr>
          <w:rFonts w:ascii="宋体" w:hAnsi="宋体"/>
          <w:sz w:val="24"/>
          <w:szCs w:val="24"/>
        </w:rPr>
      </w:pPr>
      <w:r>
        <w:rPr>
          <w:rFonts w:hint="eastAsia" w:ascii="宋体" w:hAnsi="宋体"/>
          <w:sz w:val="24"/>
          <w:szCs w:val="24"/>
        </w:rPr>
        <w:t>1）蝶阀的结构形式应采用法兰式软密封设计，能够双向密封。关闭时蝶板和阀座密封性能良好，要求密封等级为双向气泡VI级。蝶板在关闭角度为±2~4度（相对蝶板关闭角度0度）的情况下，阀门保持100%零泄漏，且密封件之间的磨擦小。正常使用时，保证密封性能完好的前提下，可经受十五万次以上的启闭操作，橡胶寿命应可达20年。</w:t>
      </w:r>
    </w:p>
    <w:p>
      <w:pPr>
        <w:spacing w:after="156" w:afterLines="50" w:line="360" w:lineRule="auto"/>
        <w:ind w:left="420"/>
        <w:rPr>
          <w:rFonts w:ascii="宋体" w:hAnsi="宋体"/>
          <w:sz w:val="24"/>
          <w:szCs w:val="24"/>
        </w:rPr>
      </w:pPr>
      <w:r>
        <w:rPr>
          <w:rFonts w:hint="eastAsia" w:ascii="宋体" w:hAnsi="宋体" w:cs="宋体"/>
          <w:sz w:val="24"/>
          <w:szCs w:val="24"/>
        </w:rPr>
        <w:t>2）偏心蝶阀的橡胶阀座采用可脱卸设计，橡胶密封座为一整体圆环，无须粘接，通过压板将其紧固在阀板上，通过调整压板上螺栓的紧固力来调整阀门密封的过盈量。不锈钢密封座为整体不锈钢圆环，固定在阀体上，不允许采用堆焊不锈钢的型式</w:t>
      </w:r>
      <w:r>
        <w:rPr>
          <w:rFonts w:hint="eastAsia" w:ascii="宋体" w:hAnsi="宋体"/>
          <w:sz w:val="24"/>
          <w:szCs w:val="24"/>
        </w:rPr>
        <w:t>。</w:t>
      </w:r>
    </w:p>
    <w:p>
      <w:pPr>
        <w:pStyle w:val="38"/>
        <w:numPr>
          <w:ilvl w:val="0"/>
          <w:numId w:val="20"/>
        </w:numPr>
        <w:spacing w:after="156" w:afterLines="50" w:line="360" w:lineRule="auto"/>
        <w:ind w:firstLineChars="0"/>
        <w:rPr>
          <w:rFonts w:ascii="宋体" w:hAnsi="宋体"/>
          <w:sz w:val="24"/>
          <w:szCs w:val="24"/>
        </w:rPr>
      </w:pPr>
      <w:r>
        <w:rPr>
          <w:rFonts w:hint="eastAsia" w:ascii="宋体" w:hAnsi="宋体"/>
          <w:sz w:val="24"/>
          <w:szCs w:val="24"/>
        </w:rPr>
        <w:t>阀瓣应采用流线型设计，可双向使用，流阻小，流量特性优异。</w:t>
      </w:r>
    </w:p>
    <w:p>
      <w:pPr>
        <w:pStyle w:val="38"/>
        <w:numPr>
          <w:ilvl w:val="0"/>
          <w:numId w:val="20"/>
        </w:numPr>
        <w:spacing w:after="156" w:afterLines="50" w:line="360" w:lineRule="auto"/>
        <w:ind w:left="0" w:firstLine="420" w:firstLineChars="0"/>
        <w:rPr>
          <w:rFonts w:ascii="宋体" w:hAnsi="宋体"/>
          <w:sz w:val="24"/>
          <w:szCs w:val="24"/>
        </w:rPr>
      </w:pPr>
      <w:r>
        <w:rPr>
          <w:rFonts w:hint="eastAsia" w:ascii="宋体" w:hAnsi="宋体"/>
          <w:sz w:val="24"/>
          <w:szCs w:val="24"/>
        </w:rPr>
        <w:t>阀瓣与阀轴的连接转动平稳，密封可靠，</w:t>
      </w:r>
      <w:r>
        <w:rPr>
          <w:rFonts w:ascii="宋体" w:hAnsi="宋体" w:cs="宋体"/>
          <w:sz w:val="24"/>
          <w:szCs w:val="24"/>
        </w:rPr>
        <w:t>蝶板应启闭灵活，无卡涩、跳动现象</w:t>
      </w:r>
      <w:r>
        <w:rPr>
          <w:rFonts w:hint="eastAsia" w:ascii="宋体" w:hAnsi="宋体" w:cs="宋体"/>
          <w:sz w:val="24"/>
          <w:szCs w:val="24"/>
        </w:rPr>
        <w:t>。</w:t>
      </w:r>
    </w:p>
    <w:p>
      <w:pPr>
        <w:spacing w:after="156" w:afterLines="50" w:line="360" w:lineRule="auto"/>
        <w:ind w:firstLine="420"/>
        <w:rPr>
          <w:rFonts w:ascii="宋体" w:hAnsi="宋体" w:cs="宋体"/>
          <w:sz w:val="24"/>
          <w:szCs w:val="24"/>
        </w:rPr>
      </w:pPr>
      <w:r>
        <w:rPr>
          <w:rFonts w:hint="eastAsia" w:ascii="宋体" w:hAnsi="宋体" w:cs="宋体"/>
          <w:sz w:val="24"/>
          <w:szCs w:val="24"/>
        </w:rPr>
        <w:t>5）涡轮蜗杆要求：蜗轮箱采用免维护设计，在使用寿命内，不需要添加润滑油。蜗轮箱应采用不低于球墨铸铁（QT450-10）壳体，环氧树脂涂层；内部齿轮及蜗杆应采用不低于SUS304材质的。整体保护等级不低于IP67。</w:t>
      </w:r>
    </w:p>
    <w:p>
      <w:pPr>
        <w:spacing w:after="156" w:afterLines="50" w:line="360" w:lineRule="auto"/>
        <w:rPr>
          <w:rFonts w:ascii="宋体" w:hAnsi="宋体"/>
          <w:b/>
          <w:sz w:val="24"/>
          <w:szCs w:val="24"/>
        </w:rPr>
      </w:pPr>
      <w:r>
        <w:rPr>
          <w:rFonts w:hint="eastAsia" w:ascii="宋体" w:hAnsi="宋体"/>
          <w:b/>
          <w:sz w:val="24"/>
          <w:szCs w:val="24"/>
        </w:rPr>
        <w:t>1.2.4品牌等同于或相当于以下厂家的产品：</w:t>
      </w:r>
    </w:p>
    <w:p>
      <w:pPr>
        <w:spacing w:line="360" w:lineRule="auto"/>
        <w:ind w:firstLine="964" w:firstLineChars="400"/>
        <w:rPr>
          <w:rFonts w:ascii="宋体" w:hAnsi="宋体"/>
          <w:b/>
          <w:sz w:val="24"/>
          <w:szCs w:val="24"/>
        </w:rPr>
      </w:pPr>
      <w:r>
        <w:rPr>
          <w:rFonts w:hint="eastAsia" w:ascii="宋体" w:hAnsi="宋体"/>
          <w:b/>
          <w:sz w:val="24"/>
          <w:szCs w:val="24"/>
        </w:rPr>
        <w:t>浙江班尼戈流体控制有限公司</w:t>
      </w:r>
    </w:p>
    <w:p>
      <w:pPr>
        <w:spacing w:line="360" w:lineRule="auto"/>
        <w:ind w:firstLine="964" w:firstLineChars="400"/>
        <w:rPr>
          <w:rFonts w:ascii="宋体" w:hAnsi="宋体"/>
          <w:b/>
          <w:sz w:val="24"/>
          <w:szCs w:val="24"/>
        </w:rPr>
      </w:pPr>
      <w:r>
        <w:rPr>
          <w:rFonts w:hint="eastAsia" w:ascii="宋体" w:hAnsi="宋体"/>
          <w:b/>
          <w:sz w:val="24"/>
          <w:szCs w:val="24"/>
        </w:rPr>
        <w:t>广东永泉阀门科技有限公司</w:t>
      </w:r>
    </w:p>
    <w:p>
      <w:pPr>
        <w:spacing w:line="360" w:lineRule="auto"/>
        <w:ind w:firstLine="964" w:firstLineChars="400"/>
        <w:rPr>
          <w:rFonts w:ascii="宋体" w:hAnsi="宋体"/>
          <w:b/>
          <w:sz w:val="24"/>
          <w:szCs w:val="24"/>
        </w:rPr>
      </w:pPr>
      <w:r>
        <w:rPr>
          <w:rFonts w:hint="eastAsia" w:ascii="宋体" w:hAnsi="宋体"/>
          <w:b/>
          <w:sz w:val="24"/>
          <w:szCs w:val="24"/>
        </w:rPr>
        <w:t>上海冠龙阀门节能设备股份有限公司</w:t>
      </w:r>
    </w:p>
    <w:p>
      <w:pPr>
        <w:spacing w:line="360" w:lineRule="auto"/>
        <w:ind w:firstLine="964" w:firstLineChars="400"/>
        <w:rPr>
          <w:rFonts w:ascii="宋体" w:hAnsi="宋体"/>
          <w:b/>
          <w:sz w:val="24"/>
          <w:szCs w:val="24"/>
        </w:rPr>
      </w:pPr>
      <w:r>
        <w:rPr>
          <w:rFonts w:hint="eastAsia" w:ascii="宋体" w:hAnsi="宋体"/>
          <w:b/>
          <w:sz w:val="24"/>
          <w:szCs w:val="24"/>
        </w:rPr>
        <w:t>沃茨水设备制造（宁波）有限公司</w:t>
      </w:r>
    </w:p>
    <w:p>
      <w:pPr>
        <w:spacing w:line="360" w:lineRule="auto"/>
        <w:ind w:firstLine="964" w:firstLineChars="400"/>
        <w:rPr>
          <w:rFonts w:ascii="宋体" w:hAnsi="宋体"/>
          <w:b/>
          <w:sz w:val="24"/>
          <w:szCs w:val="24"/>
        </w:rPr>
      </w:pPr>
      <w:r>
        <w:rPr>
          <w:rFonts w:hint="eastAsia" w:ascii="宋体" w:hAnsi="宋体"/>
          <w:b/>
          <w:sz w:val="24"/>
          <w:szCs w:val="24"/>
        </w:rPr>
        <w:t>博雷（中国）控制系统有限公司</w:t>
      </w:r>
    </w:p>
    <w:p>
      <w:pPr>
        <w:pStyle w:val="18"/>
      </w:pPr>
      <w:r>
        <w:rPr>
          <w:rFonts w:hint="eastAsia"/>
        </w:rPr>
        <w:t>二、管道</w:t>
      </w:r>
    </w:p>
    <w:p>
      <w:pPr>
        <w:spacing w:line="360" w:lineRule="auto"/>
        <w:rPr>
          <w:rFonts w:ascii="宋体" w:hAnsi="宋体"/>
          <w:sz w:val="24"/>
          <w:szCs w:val="24"/>
        </w:rPr>
      </w:pPr>
      <w:r>
        <w:rPr>
          <w:rFonts w:ascii="宋体" w:hAnsi="宋体"/>
          <w:sz w:val="24"/>
          <w:szCs w:val="24"/>
        </w:rPr>
        <w:tab/>
      </w:r>
      <w:r>
        <w:rPr>
          <w:rFonts w:hint="eastAsia" w:ascii="宋体" w:hAnsi="宋体"/>
          <w:sz w:val="24"/>
          <w:szCs w:val="24"/>
        </w:rPr>
        <w:t>2.1</w:t>
      </w:r>
      <w:r>
        <w:rPr>
          <w:rFonts w:ascii="宋体" w:hAnsi="宋体"/>
          <w:sz w:val="24"/>
          <w:szCs w:val="24"/>
        </w:rPr>
        <w:t xml:space="preserve"> </w:t>
      </w:r>
      <w:r>
        <w:rPr>
          <w:rFonts w:hint="eastAsia" w:ascii="宋体" w:hAnsi="宋体" w:cs="宋体"/>
          <w:kern w:val="0"/>
          <w:sz w:val="24"/>
          <w:szCs w:val="24"/>
        </w:rPr>
        <w:t>工作钢管技术参数要求</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1）工作管采用无缝钢管。</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2）管材执行标准：GB/T9711-2011《石油天然气工业 管线输送系统用钢管》</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材    质：Q235B</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化学成分：GB700-88</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屈服极限：235MPa</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抗拉强度：430MPa</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伸 长 率：8%</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弹性模量：20600MPa</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线膨胀系数：0.12×10-8m/℃</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密      度：7850㎏/m3</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进行100%X光探伤</w:t>
      </w:r>
    </w:p>
    <w:tbl>
      <w:tblPr>
        <w:tblStyle w:val="20"/>
        <w:tblW w:w="9435" w:type="dxa"/>
        <w:jc w:val="center"/>
        <w:tblLayout w:type="fixed"/>
        <w:tblCellMar>
          <w:top w:w="0" w:type="dxa"/>
          <w:left w:w="0" w:type="dxa"/>
          <w:bottom w:w="0" w:type="dxa"/>
          <w:right w:w="0" w:type="dxa"/>
        </w:tblCellMar>
      </w:tblPr>
      <w:tblGrid>
        <w:gridCol w:w="1382"/>
        <w:gridCol w:w="784"/>
        <w:gridCol w:w="1211"/>
        <w:gridCol w:w="750"/>
        <w:gridCol w:w="1244"/>
        <w:gridCol w:w="897"/>
        <w:gridCol w:w="871"/>
        <w:gridCol w:w="750"/>
        <w:gridCol w:w="750"/>
        <w:gridCol w:w="796"/>
      </w:tblGrid>
      <w:tr>
        <w:tblPrEx>
          <w:tblCellMar>
            <w:top w:w="0" w:type="dxa"/>
            <w:left w:w="0" w:type="dxa"/>
            <w:bottom w:w="0" w:type="dxa"/>
            <w:right w:w="0" w:type="dxa"/>
          </w:tblCellMar>
        </w:tblPrEx>
        <w:trPr>
          <w:jc w:val="center"/>
        </w:trPr>
        <w:tc>
          <w:tcPr>
            <w:tcW w:w="1381" w:type="dxa"/>
            <w:tcBorders>
              <w:top w:val="single" w:color="000000" w:sz="2" w:space="0"/>
              <w:left w:val="single" w:color="000000" w:sz="2"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标准号</w:t>
            </w:r>
          </w:p>
        </w:tc>
        <w:tc>
          <w:tcPr>
            <w:tcW w:w="783" w:type="dxa"/>
            <w:tcBorders>
              <w:top w:val="single" w:color="000000" w:sz="2" w:space="0"/>
              <w:left w:val="single" w:color="000000" w:sz="6"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牌号</w:t>
            </w:r>
          </w:p>
        </w:tc>
        <w:tc>
          <w:tcPr>
            <w:tcW w:w="1210" w:type="dxa"/>
            <w:tcBorders>
              <w:top w:val="single" w:color="000000" w:sz="2" w:space="0"/>
              <w:left w:val="single" w:color="000000" w:sz="6"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C</w:t>
            </w:r>
          </w:p>
        </w:tc>
        <w:tc>
          <w:tcPr>
            <w:tcW w:w="750" w:type="dxa"/>
            <w:tcBorders>
              <w:top w:val="single" w:color="000000" w:sz="2" w:space="0"/>
              <w:left w:val="single" w:color="000000" w:sz="6"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Si</w:t>
            </w:r>
          </w:p>
        </w:tc>
        <w:tc>
          <w:tcPr>
            <w:tcW w:w="1244" w:type="dxa"/>
            <w:tcBorders>
              <w:top w:val="single" w:color="000000" w:sz="2" w:space="0"/>
              <w:left w:val="single" w:color="000000" w:sz="6"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Mn</w:t>
            </w:r>
          </w:p>
        </w:tc>
        <w:tc>
          <w:tcPr>
            <w:tcW w:w="897" w:type="dxa"/>
            <w:tcBorders>
              <w:top w:val="single" w:color="000000" w:sz="2" w:space="0"/>
              <w:left w:val="single" w:color="000000" w:sz="6"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P</w:t>
            </w:r>
          </w:p>
        </w:tc>
        <w:tc>
          <w:tcPr>
            <w:tcW w:w="871" w:type="dxa"/>
            <w:tcBorders>
              <w:top w:val="single" w:color="000000" w:sz="2" w:space="0"/>
              <w:left w:val="single" w:color="000000" w:sz="6"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S</w:t>
            </w:r>
          </w:p>
        </w:tc>
        <w:tc>
          <w:tcPr>
            <w:tcW w:w="750" w:type="dxa"/>
            <w:tcBorders>
              <w:top w:val="single" w:color="000000" w:sz="2" w:space="0"/>
              <w:left w:val="single" w:color="000000" w:sz="6"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Cr</w:t>
            </w:r>
          </w:p>
        </w:tc>
        <w:tc>
          <w:tcPr>
            <w:tcW w:w="750" w:type="dxa"/>
            <w:tcBorders>
              <w:top w:val="single" w:color="000000" w:sz="2" w:space="0"/>
              <w:left w:val="single" w:color="000000" w:sz="6" w:space="0"/>
              <w:bottom w:val="single" w:color="000000" w:sz="6"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Ni</w:t>
            </w:r>
          </w:p>
        </w:tc>
        <w:tc>
          <w:tcPr>
            <w:tcW w:w="796" w:type="dxa"/>
            <w:tcBorders>
              <w:top w:val="single" w:color="000000" w:sz="2" w:space="0"/>
              <w:left w:val="single" w:color="000000" w:sz="6" w:space="0"/>
              <w:bottom w:val="single" w:color="000000" w:sz="6" w:space="0"/>
              <w:right w:val="single" w:color="000000" w:sz="2"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Cu</w:t>
            </w:r>
          </w:p>
        </w:tc>
      </w:tr>
      <w:tr>
        <w:tblPrEx>
          <w:tblCellMar>
            <w:top w:w="0" w:type="dxa"/>
            <w:left w:w="0" w:type="dxa"/>
            <w:bottom w:w="0" w:type="dxa"/>
            <w:right w:w="0" w:type="dxa"/>
          </w:tblCellMar>
        </w:tblPrEx>
        <w:trPr>
          <w:jc w:val="center"/>
        </w:trPr>
        <w:tc>
          <w:tcPr>
            <w:tcW w:w="1381" w:type="dxa"/>
            <w:tcBorders>
              <w:top w:val="single" w:color="000000" w:sz="6" w:space="0"/>
              <w:left w:val="single" w:color="000000" w:sz="2"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GB/T9711-97</w:t>
            </w:r>
          </w:p>
        </w:tc>
        <w:tc>
          <w:tcPr>
            <w:tcW w:w="783" w:type="dxa"/>
            <w:tcBorders>
              <w:top w:val="single" w:color="000000" w:sz="6" w:space="0"/>
              <w:left w:val="single" w:color="000000" w:sz="6"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Q235B</w:t>
            </w:r>
          </w:p>
        </w:tc>
        <w:tc>
          <w:tcPr>
            <w:tcW w:w="1210" w:type="dxa"/>
            <w:tcBorders>
              <w:top w:val="single" w:color="000000" w:sz="6" w:space="0"/>
              <w:left w:val="single" w:color="000000" w:sz="6"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0.12-0.20</w:t>
            </w:r>
          </w:p>
        </w:tc>
        <w:tc>
          <w:tcPr>
            <w:tcW w:w="750" w:type="dxa"/>
            <w:tcBorders>
              <w:top w:val="single" w:color="000000" w:sz="6" w:space="0"/>
              <w:left w:val="single" w:color="000000" w:sz="6"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≤0.30</w:t>
            </w:r>
          </w:p>
        </w:tc>
        <w:tc>
          <w:tcPr>
            <w:tcW w:w="1244" w:type="dxa"/>
            <w:tcBorders>
              <w:top w:val="single" w:color="000000" w:sz="6" w:space="0"/>
              <w:left w:val="single" w:color="000000" w:sz="6"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0.30-0.70</w:t>
            </w:r>
          </w:p>
        </w:tc>
        <w:tc>
          <w:tcPr>
            <w:tcW w:w="897" w:type="dxa"/>
            <w:tcBorders>
              <w:top w:val="single" w:color="000000" w:sz="6" w:space="0"/>
              <w:left w:val="single" w:color="000000" w:sz="6"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≤0.045</w:t>
            </w:r>
          </w:p>
        </w:tc>
        <w:tc>
          <w:tcPr>
            <w:tcW w:w="871" w:type="dxa"/>
            <w:tcBorders>
              <w:top w:val="single" w:color="000000" w:sz="6" w:space="0"/>
              <w:left w:val="single" w:color="000000" w:sz="6"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0.045</w:t>
            </w:r>
          </w:p>
        </w:tc>
        <w:tc>
          <w:tcPr>
            <w:tcW w:w="750" w:type="dxa"/>
            <w:tcBorders>
              <w:top w:val="single" w:color="000000" w:sz="6" w:space="0"/>
              <w:left w:val="single" w:color="000000" w:sz="6"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≤0.30</w:t>
            </w:r>
          </w:p>
        </w:tc>
        <w:tc>
          <w:tcPr>
            <w:tcW w:w="750" w:type="dxa"/>
            <w:tcBorders>
              <w:top w:val="single" w:color="000000" w:sz="6" w:space="0"/>
              <w:left w:val="single" w:color="000000" w:sz="6" w:space="0"/>
              <w:bottom w:val="single" w:color="000000" w:sz="2" w:space="0"/>
              <w:right w:val="single" w:color="000000" w:sz="6"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≤0.30</w:t>
            </w:r>
          </w:p>
        </w:tc>
        <w:tc>
          <w:tcPr>
            <w:tcW w:w="796" w:type="dxa"/>
            <w:tcBorders>
              <w:top w:val="single" w:color="000000" w:sz="6" w:space="0"/>
              <w:left w:val="single" w:color="000000" w:sz="6" w:space="0"/>
              <w:bottom w:val="single" w:color="000000" w:sz="2" w:space="0"/>
              <w:right w:val="single" w:color="000000" w:sz="2" w:space="0"/>
            </w:tcBorders>
            <w:vAlign w:val="bottom"/>
          </w:tcPr>
          <w:p>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≤0.30</w:t>
            </w:r>
          </w:p>
        </w:tc>
      </w:tr>
    </w:tbl>
    <w:p>
      <w:pPr>
        <w:widowControl/>
        <w:adjustRightInd w:val="0"/>
        <w:snapToGrid w:val="0"/>
        <w:spacing w:line="360" w:lineRule="auto"/>
        <w:ind w:firstLine="480"/>
        <w:rPr>
          <w:rFonts w:ascii="宋体" w:hAnsi="宋体" w:cs="宋体"/>
          <w:kern w:val="0"/>
          <w:sz w:val="24"/>
          <w:szCs w:val="24"/>
        </w:rPr>
      </w:pP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3）管道焊接应符合下列要求：</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ab/>
      </w:r>
      <w:r>
        <w:rPr>
          <w:rFonts w:hint="eastAsia" w:ascii="宋体" w:hAnsi="宋体" w:cs="宋体"/>
          <w:kern w:val="0"/>
          <w:sz w:val="24"/>
          <w:szCs w:val="24"/>
        </w:rPr>
        <w:t>a）工作管的对接焊缝应采用氩弧焊接打底配以CO2气体保护焊或电弧焊盖面，角焊缝宜采用CO2气体保护焊或电弧焊。</w:t>
      </w:r>
    </w:p>
    <w:p>
      <w:pPr>
        <w:widowControl/>
        <w:adjustRightInd w:val="0"/>
        <w:snapToGrid w:val="0"/>
        <w:spacing w:line="360" w:lineRule="auto"/>
        <w:ind w:left="420" w:firstLine="480"/>
        <w:rPr>
          <w:rFonts w:ascii="宋体" w:hAnsi="宋体" w:cs="宋体"/>
          <w:kern w:val="0"/>
          <w:sz w:val="24"/>
          <w:szCs w:val="24"/>
        </w:rPr>
      </w:pPr>
      <w:r>
        <w:rPr>
          <w:rFonts w:hint="eastAsia" w:ascii="宋体" w:hAnsi="宋体" w:cs="宋体"/>
          <w:kern w:val="0"/>
          <w:sz w:val="24"/>
          <w:szCs w:val="24"/>
        </w:rPr>
        <w:t>b）焊接前，端面应进行坡口加工。</w:t>
      </w:r>
    </w:p>
    <w:p>
      <w:pPr>
        <w:widowControl/>
        <w:adjustRightInd w:val="0"/>
        <w:snapToGrid w:val="0"/>
        <w:spacing w:line="360" w:lineRule="auto"/>
        <w:ind w:left="420" w:firstLine="480"/>
        <w:rPr>
          <w:rFonts w:ascii="宋体" w:hAnsi="宋体" w:cs="宋体"/>
          <w:kern w:val="0"/>
          <w:sz w:val="24"/>
          <w:szCs w:val="24"/>
        </w:rPr>
      </w:pPr>
      <w:r>
        <w:rPr>
          <w:rFonts w:hint="eastAsia" w:ascii="宋体" w:hAnsi="宋体" w:cs="宋体"/>
          <w:kern w:val="0"/>
          <w:sz w:val="24"/>
          <w:szCs w:val="24"/>
        </w:rPr>
        <w:t>c）对接焊缝应进行100%超声波无损探伤。</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4）所有钢管均按公称外径和公称壁厚交货（即公称外径×公称壁厚），各管径管道外径及壁厚详见供货范围表。</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5） 钢管应按定尺长度12m，长度偏差为-20，+50mm。</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6）任一钢管的每米弯曲度应符合如下规定：</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 xml:space="preserve">          钢管弯曲度不得大于1.5mm/m；</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 xml:space="preserve">          同时，任一钢管的全长弯曲度应不大于钢管总长度的1.5‰。</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7）任一钢管同一截面的不圆度和壁厚不均应分别不超过外径和壁厚公差的80％。</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8）端头外形：钢管两端端面应与钢管轴线切成直角，并清除毛刺。</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9）交货钢管实际重量与理论重量的偏差应符合如下规定：</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 xml:space="preserve">      单根钢管为±5％，同时每批最小10吨的钢管为±3.5％。</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10）钢管的包装、标志和质量证明书应符合GB/T 2102-2006《钢管的验收、包装、标志和质量证明书》的规定。其中包装应能避免钢管在正常装卸、运输、贮存中松散和受损；标志应至少包含以下内容：制造厂名称或商标、产品标准号、钢的牌号、产品规格及可追踪性识别号码；每批交货的钢管应附有证明该钢管符合订货合同和产品标准规定的质量证明书。</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11）钢管应进行弯曲试验。</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12）钢管应逐根进行液压试验，可以采用涡流探伤、漏磁探伤或超声波探伤代替液压试验。</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 xml:space="preserve">13）表面质量 </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钢管的内外表面不允许有裂纹、折叠、结疤、轧折和离层。这些缺陷应完全清除掉，清除深度应不超过公称壁厚的负偏差，清理处的实际壁厚应不得小于壁厚偏差所允许的最小值。</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14）工作管的表面锈蚀等级应符合GB 8923.1-2011《涂覆涂料前钢材表面处理 表面清洁度的目视评定 第1部分：未涂覆过的钢材表面和全面清除原有涂层后的钢材表面的锈蚀等级和处理等级》中A级、B级的规定。</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15)螺旋钢管供应厂家应为国内通过ISO9000认证的大型生产厂家，中标人需提供钢管采购合同、付款凭证、购货发票等资料。</w:t>
      </w:r>
    </w:p>
    <w:p>
      <w:pPr>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5.弯头、三通、变径技术参数要求与直管段相同，板厚详清单。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884"/>
        <w:gridCol w:w="951"/>
        <w:gridCol w:w="1418"/>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序号</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公称直径</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管道壁厚</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序号</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公称直径</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管道壁厚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DN50</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60*3.5</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10</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350</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2</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DN70</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76*3.5</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11</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400</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426*8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3</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80</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89*4</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12</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500</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529*8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4</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DN100</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108*4.5</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13</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600</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630*10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5</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DN125</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133*4.5</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14</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700</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6</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DN150</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159*5</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15</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800</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820*10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7</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DN200</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219*7</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16</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900</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8</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DN250</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273*7</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17</w:t>
            </w: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highlight w:val="yellow"/>
              </w:rPr>
            </w:pPr>
            <w:r>
              <w:rPr>
                <w:rFonts w:hint="eastAsia" w:ascii="宋体" w:hAnsi="宋体" w:cs="*Adobe Heiti Std R-26616-Identi"/>
                <w:color w:val="262626"/>
                <w:kern w:val="0"/>
                <w:sz w:val="24"/>
                <w:szCs w:val="24"/>
              </w:rPr>
              <w:t>DN100</w:t>
            </w:r>
            <w:r>
              <w:rPr>
                <w:rFonts w:ascii="宋体" w:hAnsi="宋体" w:cs="*Adobe Heiti Std R-26616-Identi"/>
                <w:color w:val="262626"/>
                <w:kern w:val="0"/>
                <w:sz w:val="24"/>
                <w:szCs w:val="24"/>
              </w:rPr>
              <w:t>0</w:t>
            </w: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highlight w:val="yellow"/>
              </w:rPr>
            </w:pPr>
            <w:r>
              <w:rPr>
                <w:rFonts w:hint="eastAsia" w:ascii="宋体" w:hAnsi="宋体" w:cs="*Adobe Heiti Std R-26616-Identi"/>
                <w:color w:val="262626"/>
                <w:kern w:val="0"/>
                <w:sz w:val="24"/>
                <w:szCs w:val="24"/>
              </w:rPr>
              <w:t>Ф10</w:t>
            </w:r>
            <w:r>
              <w:rPr>
                <w:rFonts w:ascii="宋体" w:hAnsi="宋体" w:cs="*Adobe Heiti Std R-26616-Identi"/>
                <w:color w:val="262626"/>
                <w:kern w:val="0"/>
                <w:sz w:val="24"/>
                <w:szCs w:val="24"/>
              </w:rPr>
              <w:t>20*1</w:t>
            </w:r>
            <w:r>
              <w:rPr>
                <w:rFonts w:hint="eastAsia" w:ascii="宋体" w:hAnsi="宋体" w:cs="*Adobe Heiti Std R-26616-Identi"/>
                <w:color w:val="262626"/>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9</w:t>
            </w:r>
          </w:p>
        </w:tc>
        <w:tc>
          <w:tcPr>
            <w:tcW w:w="1417"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DN</w:t>
            </w:r>
            <w:r>
              <w:rPr>
                <w:rFonts w:ascii="宋体" w:hAnsi="宋体" w:cs="*Adobe Heiti Std R-26616-Identi"/>
                <w:color w:val="262626"/>
                <w:kern w:val="0"/>
                <w:sz w:val="24"/>
                <w:szCs w:val="24"/>
              </w:rPr>
              <w:t>300</w:t>
            </w:r>
          </w:p>
        </w:tc>
        <w:tc>
          <w:tcPr>
            <w:tcW w:w="1884" w:type="dxa"/>
          </w:tcPr>
          <w:p>
            <w:pPr>
              <w:autoSpaceDE w:val="0"/>
              <w:autoSpaceDN w:val="0"/>
              <w:adjustRightInd w:val="0"/>
              <w:spacing w:line="360" w:lineRule="auto"/>
              <w:jc w:val="left"/>
              <w:rPr>
                <w:rFonts w:ascii="宋体" w:hAnsi="宋体" w:cs="*Adobe Heiti Std R-26616-Identi"/>
                <w:color w:val="262626"/>
                <w:kern w:val="0"/>
                <w:sz w:val="24"/>
                <w:szCs w:val="24"/>
              </w:rPr>
            </w:pPr>
            <w:r>
              <w:rPr>
                <w:rFonts w:hint="eastAsia" w:ascii="宋体" w:hAnsi="宋体" w:cs="*Adobe Heiti Std R-26616-Identi"/>
                <w:color w:val="262626"/>
                <w:kern w:val="0"/>
                <w:sz w:val="24"/>
                <w:szCs w:val="24"/>
              </w:rPr>
              <w:t>Ф</w:t>
            </w:r>
            <w:r>
              <w:rPr>
                <w:rFonts w:ascii="宋体" w:hAnsi="宋体" w:cs="*Adobe Heiti Std R-26616-Identi"/>
                <w:color w:val="262626"/>
                <w:kern w:val="0"/>
                <w:sz w:val="24"/>
                <w:szCs w:val="24"/>
              </w:rPr>
              <w:t>325*8</w:t>
            </w:r>
          </w:p>
        </w:tc>
        <w:tc>
          <w:tcPr>
            <w:tcW w:w="951" w:type="dxa"/>
          </w:tcPr>
          <w:p>
            <w:pPr>
              <w:autoSpaceDE w:val="0"/>
              <w:autoSpaceDN w:val="0"/>
              <w:adjustRightInd w:val="0"/>
              <w:spacing w:line="360" w:lineRule="auto"/>
              <w:jc w:val="left"/>
              <w:rPr>
                <w:rFonts w:ascii="宋体" w:hAnsi="宋体" w:cs="*Adobe Heiti Std R-26616-Identi"/>
                <w:color w:val="262626"/>
                <w:kern w:val="0"/>
                <w:sz w:val="24"/>
                <w:szCs w:val="24"/>
              </w:rPr>
            </w:pPr>
          </w:p>
        </w:tc>
        <w:tc>
          <w:tcPr>
            <w:tcW w:w="1418" w:type="dxa"/>
          </w:tcPr>
          <w:p>
            <w:pPr>
              <w:autoSpaceDE w:val="0"/>
              <w:autoSpaceDN w:val="0"/>
              <w:adjustRightInd w:val="0"/>
              <w:spacing w:line="360" w:lineRule="auto"/>
              <w:jc w:val="left"/>
              <w:rPr>
                <w:rFonts w:ascii="宋体" w:hAnsi="宋体" w:cs="*Adobe Heiti Std R-26616-Identi"/>
                <w:color w:val="262626"/>
                <w:kern w:val="0"/>
                <w:sz w:val="24"/>
                <w:szCs w:val="24"/>
              </w:rPr>
            </w:pPr>
          </w:p>
        </w:tc>
        <w:tc>
          <w:tcPr>
            <w:tcW w:w="1780" w:type="dxa"/>
          </w:tcPr>
          <w:p>
            <w:pPr>
              <w:autoSpaceDE w:val="0"/>
              <w:autoSpaceDN w:val="0"/>
              <w:adjustRightInd w:val="0"/>
              <w:spacing w:line="360" w:lineRule="auto"/>
              <w:jc w:val="left"/>
              <w:rPr>
                <w:rFonts w:ascii="宋体" w:hAnsi="宋体" w:cs="*Adobe Heiti Std R-26616-Identi"/>
                <w:color w:val="262626"/>
                <w:kern w:val="0"/>
                <w:sz w:val="24"/>
                <w:szCs w:val="24"/>
              </w:rPr>
            </w:pPr>
          </w:p>
        </w:tc>
      </w:tr>
    </w:tbl>
    <w:p>
      <w:pPr>
        <w:pStyle w:val="18"/>
      </w:pPr>
      <w:r>
        <w:rPr>
          <w:rFonts w:hint="eastAsia"/>
        </w:rPr>
        <w:t>三、油漆</w:t>
      </w:r>
    </w:p>
    <w:p>
      <w:pPr>
        <w:spacing w:line="360" w:lineRule="auto"/>
        <w:rPr>
          <w:sz w:val="24"/>
          <w:szCs w:val="24"/>
        </w:rPr>
      </w:pPr>
      <w:r>
        <w:rPr>
          <w:sz w:val="24"/>
          <w:szCs w:val="24"/>
        </w:rPr>
        <w:tab/>
      </w:r>
      <w:r>
        <w:rPr>
          <w:rFonts w:hint="eastAsia"/>
          <w:sz w:val="24"/>
          <w:szCs w:val="24"/>
        </w:rPr>
        <w:t>底漆品牌等同或优于江苏兰陵化工集团有限公司、中远关西涂料（上海）有限公司、佐敦牌。</w:t>
      </w:r>
    </w:p>
    <w:p>
      <w:pPr>
        <w:pStyle w:val="18"/>
      </w:pPr>
      <w:r>
        <w:rPr>
          <w:rFonts w:hint="eastAsia"/>
        </w:rPr>
        <w:t>四、保温</w:t>
      </w:r>
    </w:p>
    <w:p>
      <w:pPr>
        <w:pStyle w:val="5"/>
        <w:ind w:firstLine="480"/>
      </w:pPr>
      <w:r>
        <w:rPr>
          <w:rFonts w:hint="eastAsia"/>
        </w:rPr>
        <w:t>（1）表观密度≤50Kg/m3；</w:t>
      </w:r>
    </w:p>
    <w:p>
      <w:pPr>
        <w:pStyle w:val="5"/>
        <w:ind w:firstLine="480"/>
      </w:pPr>
      <w:r>
        <w:rPr>
          <w:rFonts w:hint="eastAsia"/>
        </w:rPr>
        <w:t>（2）产品0℃导热系数：≤0.033 W/m·K；20℃时≤0.036 W/m·K；湿阻因子≥ 10000，需提供国家认可的检验报告。</w:t>
      </w:r>
    </w:p>
    <w:p>
      <w:pPr>
        <w:pStyle w:val="5"/>
        <w:ind w:firstLine="480"/>
      </w:pPr>
      <w:r>
        <w:rPr>
          <w:rFonts w:hint="eastAsia"/>
        </w:rPr>
        <w:t>（3）材料防火性能要求：燃烧性能等级满足GB8624-2012 标准B1 级，氧指数大于等于35，通过CQC防火安全性能B1级认证（需提供国家防火建筑材料质量监督检验中心检验报告）。</w:t>
      </w:r>
    </w:p>
    <w:p>
      <w:pPr>
        <w:pStyle w:val="5"/>
        <w:ind w:firstLine="480"/>
      </w:pPr>
      <w:r>
        <w:rPr>
          <w:rFonts w:hint="eastAsia"/>
        </w:rPr>
        <w:t>（4）全系列厚度产品及管道支撑、胶水均通过FM认证。</w:t>
      </w:r>
    </w:p>
    <w:p>
      <w:pPr>
        <w:pStyle w:val="5"/>
        <w:ind w:firstLine="480"/>
      </w:pPr>
      <w:r>
        <w:rPr>
          <w:rFonts w:hint="eastAsia"/>
        </w:rPr>
        <w:t>（5）板材添加Microban抗菌防霉因子，达到ASTM G21防霉0级，至少进行6种菌种测试验证。或者材料需具有抗菌防霉作用，达到ASTM G21防霉0级，至少进行6种菌种测试验证。并且采用的抗菌防霉技术须经权威机构证明可用于室内，不得对人有危害。</w:t>
      </w:r>
    </w:p>
    <w:p>
      <w:pPr>
        <w:pStyle w:val="5"/>
        <w:ind w:firstLine="480"/>
      </w:pPr>
      <w:r>
        <w:rPr>
          <w:rFonts w:hint="eastAsia"/>
        </w:rPr>
        <w:t>（6）材料不得含有甲醛、SCCPs(短链氯化石蜡)等有害物质和CFC、HCFC等破坏臭氧层的工质。</w:t>
      </w:r>
    </w:p>
    <w:p>
      <w:pPr>
        <w:pStyle w:val="5"/>
        <w:ind w:firstLine="480"/>
      </w:pPr>
      <w:r>
        <w:rPr>
          <w:rFonts w:hint="eastAsia"/>
        </w:rPr>
        <w:t>（7）符合有害物质限制指令RoHS要求(需提供SGS检验报告)。</w:t>
      </w:r>
    </w:p>
    <w:p>
      <w:pPr>
        <w:pStyle w:val="5"/>
        <w:ind w:firstLine="480"/>
      </w:pPr>
      <w:r>
        <w:rPr>
          <w:rFonts w:hint="eastAsia"/>
        </w:rPr>
        <w:t>（8）产品通过绿色卫士认证（或者产品的TVOC释放量≤0.22mg/m3）以保证室内良好的空气品质。</w:t>
      </w:r>
    </w:p>
    <w:p>
      <w:pPr>
        <w:pStyle w:val="5"/>
        <w:ind w:firstLine="480"/>
      </w:pPr>
      <w:r>
        <w:rPr>
          <w:rFonts w:hint="eastAsia"/>
        </w:rPr>
        <w:t>（9）通过UL环保产品声明认证（EPD）。</w:t>
      </w:r>
    </w:p>
    <w:p>
      <w:pPr>
        <w:pStyle w:val="5"/>
        <w:ind w:firstLine="480"/>
      </w:pPr>
      <w:r>
        <w:rPr>
          <w:rFonts w:hint="eastAsia"/>
        </w:rPr>
        <w:t>（10）配套胶水符合RoHS和REACH相关毒性要求且符合GB18583-2008《室内装饰装修材料胶粘剂中有害物质限量》要求。</w:t>
      </w:r>
    </w:p>
    <w:p>
      <w:pPr>
        <w:pStyle w:val="5"/>
        <w:ind w:firstLine="480"/>
        <w:rPr>
          <w:rFonts w:hint="default" w:ascii="宋体" w:hAnsi="宋体" w:eastAsia="宋体"/>
          <w:sz w:val="24"/>
          <w:lang w:val="en-US" w:eastAsia="zh-CN"/>
        </w:rPr>
      </w:pPr>
      <w:r>
        <w:rPr>
          <w:rFonts w:hint="eastAsia"/>
        </w:rPr>
        <w:t xml:space="preserve"> 推荐品牌（或厂家）（相当于或优于以下品牌（或厂家）的产品）：阿乐斯绝热材料（广州）有限公司、杜肯新材料（武汉）集团股份有限公司、力索兰特（苏州）绝热材料有限公司。</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dobe Heiti Std R-26616-Identi">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155D"/>
    <w:multiLevelType w:val="singleLevel"/>
    <w:tmpl w:val="86F9155D"/>
    <w:lvl w:ilvl="0" w:tentative="0">
      <w:start w:val="1"/>
      <w:numFmt w:val="decimal"/>
      <w:lvlText w:val="%1."/>
      <w:lvlJc w:val="left"/>
      <w:pPr>
        <w:ind w:left="425" w:hanging="425"/>
      </w:pPr>
      <w:rPr>
        <w:rFonts w:hint="default"/>
      </w:rPr>
    </w:lvl>
  </w:abstractNum>
  <w:abstractNum w:abstractNumId="1">
    <w:nsid w:val="8E74B31F"/>
    <w:multiLevelType w:val="singleLevel"/>
    <w:tmpl w:val="8E74B31F"/>
    <w:lvl w:ilvl="0" w:tentative="0">
      <w:start w:val="1"/>
      <w:numFmt w:val="decimal"/>
      <w:lvlText w:val="%1."/>
      <w:lvlJc w:val="left"/>
      <w:pPr>
        <w:ind w:left="425" w:hanging="425"/>
      </w:pPr>
      <w:rPr>
        <w:rFonts w:hint="default"/>
      </w:rPr>
    </w:lvl>
  </w:abstractNum>
  <w:abstractNum w:abstractNumId="2">
    <w:nsid w:val="AF1469F0"/>
    <w:multiLevelType w:val="singleLevel"/>
    <w:tmpl w:val="AF1469F0"/>
    <w:lvl w:ilvl="0" w:tentative="0">
      <w:start w:val="1"/>
      <w:numFmt w:val="chineseCounting"/>
      <w:suff w:val="space"/>
      <w:lvlText w:val="(%1)"/>
      <w:lvlJc w:val="left"/>
      <w:rPr>
        <w:rFonts w:hint="eastAsia"/>
      </w:rPr>
    </w:lvl>
  </w:abstractNum>
  <w:abstractNum w:abstractNumId="3">
    <w:nsid w:val="BC04E352"/>
    <w:multiLevelType w:val="singleLevel"/>
    <w:tmpl w:val="BC04E352"/>
    <w:lvl w:ilvl="0" w:tentative="0">
      <w:start w:val="1"/>
      <w:numFmt w:val="decimal"/>
      <w:lvlText w:val="%1."/>
      <w:lvlJc w:val="left"/>
      <w:pPr>
        <w:ind w:left="425" w:hanging="425"/>
      </w:pPr>
      <w:rPr>
        <w:rFonts w:hint="default"/>
      </w:rPr>
    </w:lvl>
  </w:abstractNum>
  <w:abstractNum w:abstractNumId="4">
    <w:nsid w:val="C4A0B9A8"/>
    <w:multiLevelType w:val="singleLevel"/>
    <w:tmpl w:val="C4A0B9A8"/>
    <w:lvl w:ilvl="0" w:tentative="0">
      <w:start w:val="1"/>
      <w:numFmt w:val="decimal"/>
      <w:lvlText w:val="%1."/>
      <w:lvlJc w:val="left"/>
      <w:pPr>
        <w:ind w:left="425" w:hanging="425"/>
      </w:pPr>
      <w:rPr>
        <w:rFonts w:hint="default"/>
      </w:rPr>
    </w:lvl>
  </w:abstractNum>
  <w:abstractNum w:abstractNumId="5">
    <w:nsid w:val="CBFB7E46"/>
    <w:multiLevelType w:val="singleLevel"/>
    <w:tmpl w:val="CBFB7E46"/>
    <w:lvl w:ilvl="0" w:tentative="0">
      <w:start w:val="1"/>
      <w:numFmt w:val="decimal"/>
      <w:lvlText w:val="%1."/>
      <w:lvlJc w:val="left"/>
      <w:pPr>
        <w:ind w:left="425" w:hanging="425"/>
      </w:pPr>
      <w:rPr>
        <w:rFonts w:hint="default"/>
      </w:rPr>
    </w:lvl>
  </w:abstractNum>
  <w:abstractNum w:abstractNumId="6">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1F417B3"/>
    <w:multiLevelType w:val="multilevel"/>
    <w:tmpl w:val="01F417B3"/>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CCA363A"/>
    <w:multiLevelType w:val="multilevel"/>
    <w:tmpl w:val="1CCA363A"/>
    <w:lvl w:ilvl="0" w:tentative="0">
      <w:start w:val="3"/>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0">
    <w:nsid w:val="202217D5"/>
    <w:multiLevelType w:val="singleLevel"/>
    <w:tmpl w:val="202217D5"/>
    <w:lvl w:ilvl="0" w:tentative="0">
      <w:start w:val="1"/>
      <w:numFmt w:val="decimal"/>
      <w:lvlText w:val="%1."/>
      <w:lvlJc w:val="left"/>
      <w:pPr>
        <w:ind w:left="425" w:hanging="425"/>
      </w:pPr>
      <w:rPr>
        <w:rFonts w:hint="default"/>
      </w:rPr>
    </w:lvl>
  </w:abstractNum>
  <w:abstractNum w:abstractNumId="11">
    <w:nsid w:val="22C3228C"/>
    <w:multiLevelType w:val="singleLevel"/>
    <w:tmpl w:val="22C3228C"/>
    <w:lvl w:ilvl="0" w:tentative="0">
      <w:start w:val="1"/>
      <w:numFmt w:val="chineseCounting"/>
      <w:suff w:val="nothing"/>
      <w:lvlText w:val="（%1）"/>
      <w:lvlJc w:val="left"/>
      <w:pPr>
        <w:ind w:left="0" w:firstLine="420"/>
      </w:pPr>
      <w:rPr>
        <w:rFonts w:hint="eastAsia"/>
      </w:rPr>
    </w:lvl>
  </w:abstractNum>
  <w:abstractNum w:abstractNumId="12">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572DE5B4"/>
    <w:multiLevelType w:val="singleLevel"/>
    <w:tmpl w:val="572DE5B4"/>
    <w:lvl w:ilvl="0" w:tentative="0">
      <w:start w:val="1"/>
      <w:numFmt w:val="decimal"/>
      <w:suff w:val="nothing"/>
      <w:lvlText w:val="%1."/>
      <w:lvlJc w:val="left"/>
    </w:lvl>
  </w:abstractNum>
  <w:abstractNum w:abstractNumId="14">
    <w:nsid w:val="6028045D"/>
    <w:multiLevelType w:val="singleLevel"/>
    <w:tmpl w:val="6028045D"/>
    <w:lvl w:ilvl="0" w:tentative="0">
      <w:start w:val="1"/>
      <w:numFmt w:val="chineseCounting"/>
      <w:suff w:val="nothing"/>
      <w:lvlText w:val="（%1）"/>
      <w:lvlJc w:val="left"/>
      <w:pPr>
        <w:ind w:left="0" w:firstLine="420"/>
      </w:pPr>
      <w:rPr>
        <w:rFonts w:hint="eastAsia"/>
      </w:rPr>
    </w:lvl>
  </w:abstractNum>
  <w:abstractNum w:abstractNumId="15">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68FDA0AA"/>
    <w:multiLevelType w:val="singleLevel"/>
    <w:tmpl w:val="68FDA0AA"/>
    <w:lvl w:ilvl="0" w:tentative="0">
      <w:start w:val="4"/>
      <w:numFmt w:val="chineseCounting"/>
      <w:suff w:val="space"/>
      <w:lvlText w:val="%1、"/>
      <w:lvlJc w:val="left"/>
      <w:rPr>
        <w:rFonts w:hint="eastAsia"/>
      </w:rPr>
    </w:lvl>
  </w:abstractNum>
  <w:abstractNum w:abstractNumId="17">
    <w:nsid w:val="76B22AF0"/>
    <w:multiLevelType w:val="singleLevel"/>
    <w:tmpl w:val="76B22AF0"/>
    <w:lvl w:ilvl="0" w:tentative="0">
      <w:start w:val="1"/>
      <w:numFmt w:val="chineseCounting"/>
      <w:suff w:val="nothing"/>
      <w:lvlText w:val="（%1）"/>
      <w:lvlJc w:val="left"/>
      <w:pPr>
        <w:ind w:left="0" w:firstLine="420"/>
      </w:pPr>
      <w:rPr>
        <w:rFonts w:hint="eastAsia"/>
      </w:rPr>
    </w:lvl>
  </w:abstractNum>
  <w:abstractNum w:abstractNumId="18">
    <w:nsid w:val="7CE70E6D"/>
    <w:multiLevelType w:val="singleLevel"/>
    <w:tmpl w:val="7CE70E6D"/>
    <w:lvl w:ilvl="0" w:tentative="0">
      <w:start w:val="1"/>
      <w:numFmt w:val="decimal"/>
      <w:suff w:val="nothing"/>
      <w:lvlText w:val="%1."/>
      <w:lvlJc w:val="left"/>
    </w:lvl>
  </w:abstractNum>
  <w:abstractNum w:abstractNumId="19">
    <w:nsid w:val="7E9F7280"/>
    <w:multiLevelType w:val="singleLevel"/>
    <w:tmpl w:val="7E9F7280"/>
    <w:lvl w:ilvl="0" w:tentative="0">
      <w:start w:val="1"/>
      <w:numFmt w:val="decimal"/>
      <w:lvlText w:val="%1."/>
      <w:lvlJc w:val="left"/>
      <w:pPr>
        <w:ind w:left="425" w:hanging="425"/>
      </w:pPr>
      <w:rPr>
        <w:rFonts w:hint="default"/>
      </w:rPr>
    </w:lvl>
  </w:abstractNum>
  <w:num w:numId="1">
    <w:abstractNumId w:val="9"/>
  </w:num>
  <w:num w:numId="2">
    <w:abstractNumId w:val="12"/>
  </w:num>
  <w:num w:numId="3">
    <w:abstractNumId w:val="15"/>
  </w:num>
  <w:num w:numId="4">
    <w:abstractNumId w:val="16"/>
  </w:num>
  <w:num w:numId="5">
    <w:abstractNumId w:val="2"/>
  </w:num>
  <w:num w:numId="6">
    <w:abstractNumId w:val="10"/>
  </w:num>
  <w:num w:numId="7">
    <w:abstractNumId w:val="5"/>
  </w:num>
  <w:num w:numId="8">
    <w:abstractNumId w:val="1"/>
  </w:num>
  <w:num w:numId="9">
    <w:abstractNumId w:val="4"/>
  </w:num>
  <w:num w:numId="10">
    <w:abstractNumId w:val="17"/>
  </w:num>
  <w:num w:numId="11">
    <w:abstractNumId w:val="0"/>
  </w:num>
  <w:num w:numId="12">
    <w:abstractNumId w:val="3"/>
  </w:num>
  <w:num w:numId="13">
    <w:abstractNumId w:val="11"/>
  </w:num>
  <w:num w:numId="14">
    <w:abstractNumId w:val="19"/>
  </w:num>
  <w:num w:numId="15">
    <w:abstractNumId w:val="6"/>
  </w:num>
  <w:num w:numId="16">
    <w:abstractNumId w:val="7"/>
  </w:num>
  <w:num w:numId="17">
    <w:abstractNumId w:val="14"/>
  </w:num>
  <w:num w:numId="18">
    <w:abstractNumId w:val="13"/>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4381"/>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278D2"/>
    <w:rsid w:val="0033236B"/>
    <w:rsid w:val="0034406B"/>
    <w:rsid w:val="00344D24"/>
    <w:rsid w:val="003461DC"/>
    <w:rsid w:val="00353699"/>
    <w:rsid w:val="0035380F"/>
    <w:rsid w:val="00360802"/>
    <w:rsid w:val="0036491C"/>
    <w:rsid w:val="003673C1"/>
    <w:rsid w:val="00375441"/>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173"/>
    <w:rsid w:val="004139C0"/>
    <w:rsid w:val="00414044"/>
    <w:rsid w:val="0041689F"/>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38F"/>
    <w:rsid w:val="00696E4A"/>
    <w:rsid w:val="006A0EE2"/>
    <w:rsid w:val="006A3B53"/>
    <w:rsid w:val="006A7A3B"/>
    <w:rsid w:val="006B10D1"/>
    <w:rsid w:val="006B34D9"/>
    <w:rsid w:val="006B36E7"/>
    <w:rsid w:val="006B3C5F"/>
    <w:rsid w:val="006B6C86"/>
    <w:rsid w:val="006C00BF"/>
    <w:rsid w:val="006C7D87"/>
    <w:rsid w:val="006D1B89"/>
    <w:rsid w:val="006D1C3B"/>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B6"/>
    <w:rsid w:val="008C7560"/>
    <w:rsid w:val="008D1A5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14F4"/>
    <w:rsid w:val="009C3EE0"/>
    <w:rsid w:val="009C64AE"/>
    <w:rsid w:val="009C65A2"/>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57C47"/>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706FF"/>
    <w:rsid w:val="00C74CE8"/>
    <w:rsid w:val="00C90657"/>
    <w:rsid w:val="00C93217"/>
    <w:rsid w:val="00C9536A"/>
    <w:rsid w:val="00CA1AC9"/>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2A17"/>
    <w:rsid w:val="00F05829"/>
    <w:rsid w:val="00F10A08"/>
    <w:rsid w:val="00F12359"/>
    <w:rsid w:val="00F1271D"/>
    <w:rsid w:val="00F1300D"/>
    <w:rsid w:val="00F21F0A"/>
    <w:rsid w:val="00F2251B"/>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14E7260"/>
    <w:rsid w:val="13033C28"/>
    <w:rsid w:val="13B94E90"/>
    <w:rsid w:val="16FA62BC"/>
    <w:rsid w:val="214926E0"/>
    <w:rsid w:val="279138A3"/>
    <w:rsid w:val="33957634"/>
    <w:rsid w:val="3C823756"/>
    <w:rsid w:val="3C9B5EFD"/>
    <w:rsid w:val="3E13186C"/>
    <w:rsid w:val="3F5A60F4"/>
    <w:rsid w:val="3FA13F86"/>
    <w:rsid w:val="3FF32979"/>
    <w:rsid w:val="4170285A"/>
    <w:rsid w:val="43E86C5F"/>
    <w:rsid w:val="4ABD443D"/>
    <w:rsid w:val="50055DC9"/>
    <w:rsid w:val="524B628E"/>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szCs w:val="24"/>
    </w:rPr>
  </w:style>
  <w:style w:type="paragraph" w:styleId="6">
    <w:name w:val="annotation text"/>
    <w:basedOn w:val="1"/>
    <w:link w:val="36"/>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41"/>
    <w:semiHidden/>
    <w:unhideWhenUsed/>
    <w:qFormat/>
    <w:uiPriority w:val="99"/>
    <w:pPr>
      <w:spacing w:after="120"/>
    </w:pPr>
  </w:style>
  <w:style w:type="paragraph" w:styleId="9">
    <w:name w:val="Body Text Indent"/>
    <w:basedOn w:val="1"/>
    <w:link w:val="39"/>
    <w:qFormat/>
    <w:uiPriority w:val="0"/>
    <w:pPr>
      <w:spacing w:after="120"/>
      <w:ind w:left="420" w:leftChars="200"/>
    </w:pPr>
    <w:rPr>
      <w:rFonts w:ascii="Calibri" w:hAnsi="Calibri"/>
      <w:szCs w:val="22"/>
    </w:rPr>
  </w:style>
  <w:style w:type="paragraph" w:styleId="10">
    <w:name w:val="Plain Text"/>
    <w:basedOn w:val="1"/>
    <w:link w:val="3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50"/>
    <w:semiHidden/>
    <w:unhideWhenUsed/>
    <w:qFormat/>
    <w:uiPriority w:val="99"/>
    <w:pPr>
      <w:snapToGrid w:val="0"/>
      <w:jc w:val="left"/>
    </w:pPr>
  </w:style>
  <w:style w:type="paragraph" w:styleId="12">
    <w:name w:val="Balloon Text"/>
    <w:basedOn w:val="1"/>
    <w:link w:val="45"/>
    <w:qFormat/>
    <w:uiPriority w:val="0"/>
    <w:rPr>
      <w:sz w:val="18"/>
      <w:szCs w:val="18"/>
    </w:rPr>
  </w:style>
  <w:style w:type="paragraph" w:styleId="13">
    <w:name w:val="footer"/>
    <w:basedOn w:val="1"/>
    <w:link w:val="31"/>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11"/>
    <w:pPr>
      <w:spacing w:before="240" w:after="60" w:line="312" w:lineRule="auto"/>
      <w:outlineLvl w:val="1"/>
    </w:pPr>
    <w:rPr>
      <w:rFonts w:asciiTheme="minorHAnsi" w:hAnsiTheme="minorHAnsi" w:cstheme="minorBidi"/>
      <w:b/>
      <w:bCs/>
      <w:kern w:val="28"/>
      <w:sz w:val="30"/>
      <w:szCs w:val="32"/>
    </w:rPr>
  </w:style>
  <w:style w:type="paragraph" w:styleId="16">
    <w:name w:val="HTML Preformatted"/>
    <w:basedOn w:val="1"/>
    <w:link w:val="4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10"/>
    <w:pPr>
      <w:spacing w:before="240" w:after="60"/>
      <w:outlineLvl w:val="0"/>
    </w:pPr>
    <w:rPr>
      <w:rFonts w:asciiTheme="majorHAnsi" w:hAnsiTheme="majorHAnsi" w:cstheme="majorBidi"/>
      <w:b/>
      <w:bCs/>
      <w:sz w:val="32"/>
      <w:szCs w:val="32"/>
    </w:rPr>
  </w:style>
  <w:style w:type="paragraph" w:styleId="19">
    <w:name w:val="annotation subject"/>
    <w:basedOn w:val="6"/>
    <w:next w:val="6"/>
    <w:link w:val="37"/>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endnote reference"/>
    <w:basedOn w:val="22"/>
    <w:semiHidden/>
    <w:unhideWhenUsed/>
    <w:qFormat/>
    <w:uiPriority w:val="99"/>
    <w:rPr>
      <w:vertAlign w:val="superscript"/>
    </w:rPr>
  </w:style>
  <w:style w:type="character" w:styleId="25">
    <w:name w:val="Emphasis"/>
    <w:qFormat/>
    <w:uiPriority w:val="20"/>
    <w:rPr>
      <w:i/>
      <w:iCs/>
    </w:rPr>
  </w:style>
  <w:style w:type="character" w:styleId="26">
    <w:name w:val="Hyperlink"/>
    <w:basedOn w:val="22"/>
    <w:unhideWhenUsed/>
    <w:qFormat/>
    <w:uiPriority w:val="0"/>
    <w:rPr>
      <w:color w:val="0000FF"/>
      <w:u w:val="single"/>
    </w:rPr>
  </w:style>
  <w:style w:type="character" w:styleId="27">
    <w:name w:val="annotation reference"/>
    <w:basedOn w:val="22"/>
    <w:semiHidden/>
    <w:unhideWhenUsed/>
    <w:qFormat/>
    <w:uiPriority w:val="99"/>
    <w:rPr>
      <w:sz w:val="21"/>
      <w:szCs w:val="21"/>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paragraph" w:customStyle="1" w:styleId="3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1">
    <w:name w:val="页脚 字符"/>
    <w:link w:val="13"/>
    <w:qFormat/>
    <w:uiPriority w:val="0"/>
    <w:rPr>
      <w:kern w:val="2"/>
      <w:sz w:val="18"/>
      <w:szCs w:val="18"/>
    </w:rPr>
  </w:style>
  <w:style w:type="character" w:customStyle="1" w:styleId="32">
    <w:name w:val="apple-style-span"/>
    <w:basedOn w:val="22"/>
    <w:qFormat/>
    <w:uiPriority w:val="0"/>
  </w:style>
  <w:style w:type="character" w:customStyle="1" w:styleId="33">
    <w:name w:val="页眉 字符"/>
    <w:link w:val="14"/>
    <w:qFormat/>
    <w:uiPriority w:val="0"/>
    <w:rPr>
      <w:kern w:val="2"/>
      <w:sz w:val="18"/>
      <w:szCs w:val="18"/>
    </w:rPr>
  </w:style>
  <w:style w:type="character" w:customStyle="1" w:styleId="34">
    <w:name w:val="style141"/>
    <w:qFormat/>
    <w:uiPriority w:val="0"/>
    <w:rPr>
      <w:rFonts w:hint="eastAsia" w:ascii="宋体" w:hAnsi="宋体" w:eastAsia="宋体"/>
      <w:sz w:val="18"/>
      <w:szCs w:val="18"/>
    </w:rPr>
  </w:style>
  <w:style w:type="character" w:customStyle="1" w:styleId="35">
    <w:name w:val="纯文本 字符"/>
    <w:basedOn w:val="22"/>
    <w:link w:val="10"/>
    <w:qFormat/>
    <w:uiPriority w:val="0"/>
    <w:rPr>
      <w:rFonts w:ascii="宋体" w:hAnsi="Courier New" w:eastAsia="微软雅黑" w:cs="Courier New"/>
      <w:sz w:val="22"/>
      <w:szCs w:val="21"/>
    </w:rPr>
  </w:style>
  <w:style w:type="character" w:customStyle="1" w:styleId="36">
    <w:name w:val="批注文字 字符"/>
    <w:basedOn w:val="22"/>
    <w:link w:val="6"/>
    <w:semiHidden/>
    <w:qFormat/>
    <w:uiPriority w:val="99"/>
    <w:rPr>
      <w:kern w:val="2"/>
      <w:sz w:val="21"/>
      <w:szCs w:val="24"/>
    </w:rPr>
  </w:style>
  <w:style w:type="character" w:customStyle="1" w:styleId="37">
    <w:name w:val="批注主题 字符"/>
    <w:basedOn w:val="36"/>
    <w:link w:val="19"/>
    <w:semiHidden/>
    <w:qFormat/>
    <w:uiPriority w:val="99"/>
    <w:rPr>
      <w:b/>
      <w:bCs/>
      <w:kern w:val="2"/>
      <w:sz w:val="21"/>
      <w:szCs w:val="24"/>
    </w:rPr>
  </w:style>
  <w:style w:type="paragraph" w:styleId="38">
    <w:name w:val="List Paragraph"/>
    <w:basedOn w:val="1"/>
    <w:qFormat/>
    <w:uiPriority w:val="34"/>
    <w:pPr>
      <w:ind w:firstLine="420" w:firstLineChars="200"/>
    </w:pPr>
  </w:style>
  <w:style w:type="character" w:customStyle="1" w:styleId="39">
    <w:name w:val="正文文本缩进 字符"/>
    <w:basedOn w:val="22"/>
    <w:link w:val="9"/>
    <w:qFormat/>
    <w:uiPriority w:val="0"/>
    <w:rPr>
      <w:rFonts w:ascii="Calibri" w:hAnsi="Calibri"/>
      <w:kern w:val="2"/>
      <w:sz w:val="21"/>
      <w:szCs w:val="22"/>
    </w:rPr>
  </w:style>
  <w:style w:type="paragraph" w:customStyle="1" w:styleId="40">
    <w:name w:val="p18"/>
    <w:basedOn w:val="1"/>
    <w:qFormat/>
    <w:uiPriority w:val="0"/>
    <w:pPr>
      <w:widowControl/>
      <w:adjustRightInd w:val="0"/>
      <w:spacing w:line="312" w:lineRule="atLeast"/>
    </w:pPr>
    <w:rPr>
      <w:rFonts w:ascii="宋体" w:hAnsi="宋体" w:cs="宋体"/>
      <w:kern w:val="0"/>
      <w:sz w:val="24"/>
    </w:rPr>
  </w:style>
  <w:style w:type="character" w:customStyle="1" w:styleId="41">
    <w:name w:val="正文文本 字符"/>
    <w:basedOn w:val="22"/>
    <w:link w:val="8"/>
    <w:semiHidden/>
    <w:qFormat/>
    <w:uiPriority w:val="99"/>
    <w:rPr>
      <w:kern w:val="2"/>
      <w:sz w:val="21"/>
      <w:szCs w:val="24"/>
    </w:rPr>
  </w:style>
  <w:style w:type="character" w:customStyle="1" w:styleId="42">
    <w:name w:val="标题 1 字符"/>
    <w:basedOn w:val="22"/>
    <w:qFormat/>
    <w:uiPriority w:val="0"/>
    <w:rPr>
      <w:b/>
      <w:bCs/>
      <w:kern w:val="44"/>
      <w:sz w:val="44"/>
      <w:szCs w:val="44"/>
    </w:rPr>
  </w:style>
  <w:style w:type="character" w:customStyle="1" w:styleId="43">
    <w:name w:val="标题 2 字符"/>
    <w:basedOn w:val="22"/>
    <w:link w:val="3"/>
    <w:qFormat/>
    <w:uiPriority w:val="0"/>
    <w:rPr>
      <w:rFonts w:ascii="Arial" w:hAnsi="Arial" w:eastAsia="黑体"/>
      <w:b/>
      <w:bCs/>
      <w:kern w:val="2"/>
      <w:sz w:val="32"/>
      <w:szCs w:val="32"/>
    </w:rPr>
  </w:style>
  <w:style w:type="character" w:customStyle="1" w:styleId="44">
    <w:name w:val="标题 3 字符"/>
    <w:basedOn w:val="22"/>
    <w:link w:val="4"/>
    <w:qFormat/>
    <w:uiPriority w:val="0"/>
    <w:rPr>
      <w:b/>
      <w:bCs/>
      <w:kern w:val="2"/>
      <w:sz w:val="32"/>
      <w:szCs w:val="32"/>
    </w:rPr>
  </w:style>
  <w:style w:type="character" w:customStyle="1" w:styleId="45">
    <w:name w:val="批注框文本 字符"/>
    <w:basedOn w:val="22"/>
    <w:link w:val="12"/>
    <w:qFormat/>
    <w:uiPriority w:val="0"/>
    <w:rPr>
      <w:kern w:val="2"/>
      <w:sz w:val="18"/>
      <w:szCs w:val="18"/>
    </w:rPr>
  </w:style>
  <w:style w:type="character" w:customStyle="1" w:styleId="46">
    <w:name w:val="HTML 预设格式 字符"/>
    <w:basedOn w:val="22"/>
    <w:link w:val="16"/>
    <w:qFormat/>
    <w:uiPriority w:val="99"/>
    <w:rPr>
      <w:rFonts w:ascii="宋体" w:hAnsi="宋体" w:cs="宋体"/>
      <w:sz w:val="24"/>
      <w:szCs w:val="24"/>
    </w:rPr>
  </w:style>
  <w:style w:type="character" w:customStyle="1" w:styleId="47">
    <w:name w:val="标题 1 字符1"/>
    <w:link w:val="2"/>
    <w:qFormat/>
    <w:uiPriority w:val="0"/>
    <w:rPr>
      <w:b/>
      <w:bCs/>
      <w:kern w:val="44"/>
      <w:sz w:val="44"/>
      <w:szCs w:val="44"/>
    </w:rPr>
  </w:style>
  <w:style w:type="character" w:customStyle="1" w:styleId="48">
    <w:name w:val="页眉 Char"/>
    <w:qFormat/>
    <w:uiPriority w:val="0"/>
    <w:rPr>
      <w:kern w:val="2"/>
      <w:sz w:val="18"/>
      <w:szCs w:val="18"/>
      <w:lang w:val="zh-CN" w:eastAsia="zh-CN"/>
    </w:rPr>
  </w:style>
  <w:style w:type="character" w:customStyle="1" w:styleId="49">
    <w:name w:val="页脚 Char"/>
    <w:qFormat/>
    <w:uiPriority w:val="0"/>
    <w:rPr>
      <w:kern w:val="2"/>
      <w:sz w:val="18"/>
      <w:szCs w:val="18"/>
      <w:lang w:val="zh-CN" w:eastAsia="zh-CN"/>
    </w:rPr>
  </w:style>
  <w:style w:type="character" w:customStyle="1" w:styleId="50">
    <w:name w:val="尾注文本 字符"/>
    <w:basedOn w:val="22"/>
    <w:link w:val="11"/>
    <w:semiHidden/>
    <w:qFormat/>
    <w:uiPriority w:val="99"/>
    <w:rPr>
      <w:kern w:val="2"/>
      <w:sz w:val="21"/>
      <w:szCs w:val="24"/>
    </w:rPr>
  </w:style>
  <w:style w:type="paragraph" w:customStyle="1" w:styleId="5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97157-3ACD-49CE-8DBB-1292E643EAEB}">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15</Pages>
  <Words>949</Words>
  <Characters>5410</Characters>
  <Lines>45</Lines>
  <Paragraphs>12</Paragraphs>
  <TotalTime>5</TotalTime>
  <ScaleCrop>false</ScaleCrop>
  <LinksUpToDate>false</LinksUpToDate>
  <CharactersWithSpaces>6347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云上晴</cp:lastModifiedBy>
  <cp:lastPrinted>2011-11-29T08:47:00Z</cp:lastPrinted>
  <dcterms:modified xsi:type="dcterms:W3CDTF">2023-10-20T02:25:12Z</dcterms:modified>
  <dc:title>广州大学城投资经营管理有限公司</dc:title>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328B9E7822264C31A1DE5A9C0090FB9F_13</vt:lpwstr>
  </property>
</Properties>
</file>