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Calibri" w:hAnsi="Calibri"/>
          <w:b/>
          <w:bCs/>
          <w:sz w:val="28"/>
          <w:szCs w:val="28"/>
          <w:highlight w:val="none"/>
        </w:rPr>
      </w:pPr>
      <w:r>
        <w:rPr>
          <w:rFonts w:hint="eastAsia" w:ascii="Calibri" w:hAnsi="Calibri"/>
          <w:b/>
          <w:bCs/>
          <w:sz w:val="28"/>
          <w:szCs w:val="28"/>
          <w:highlight w:val="none"/>
          <w:lang w:val="en-US" w:eastAsia="zh-CN"/>
        </w:rPr>
        <w:t>广州城投综合能源</w:t>
      </w:r>
      <w:r>
        <w:rPr>
          <w:rFonts w:hint="eastAsia" w:ascii="Calibri" w:hAnsi="Calibri"/>
          <w:b/>
          <w:bCs/>
          <w:sz w:val="28"/>
          <w:szCs w:val="28"/>
          <w:highlight w:val="none"/>
        </w:rPr>
        <w:t>投资经营管理有限公司</w:t>
      </w:r>
    </w:p>
    <w:p>
      <w:pPr>
        <w:spacing w:line="360" w:lineRule="auto"/>
        <w:jc w:val="center"/>
        <w:rPr>
          <w:rFonts w:ascii="Calibri" w:hAnsi="Calibri"/>
          <w:b/>
          <w:bCs/>
          <w:sz w:val="28"/>
          <w:szCs w:val="28"/>
          <w:highlight w:val="none"/>
        </w:rPr>
      </w:pPr>
      <w:r>
        <w:rPr>
          <w:rFonts w:hint="eastAsia" w:asciiTheme="minorHAnsi" w:hAnsiTheme="minorHAnsi" w:eastAsiaTheme="minorEastAsia" w:cstheme="minorBidi"/>
          <w:b/>
          <w:sz w:val="32"/>
          <w:szCs w:val="32"/>
          <w:highlight w:val="none"/>
        </w:rPr>
        <w:t>新型物联网中央空调计时型温控器研发应用示范</w:t>
      </w:r>
      <w:r>
        <w:rPr>
          <w:rFonts w:hint="eastAsia" w:cs="Arial" w:asciiTheme="majorEastAsia" w:hAnsiTheme="majorEastAsia" w:eastAsiaTheme="majorEastAsia"/>
          <w:b/>
          <w:color w:val="000000"/>
          <w:sz w:val="28"/>
          <w:szCs w:val="28"/>
          <w:highlight w:val="none"/>
        </w:rPr>
        <w:t>竞选文件</w:t>
      </w:r>
    </w:p>
    <w:p>
      <w:pPr>
        <w:pStyle w:val="28"/>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highlight w:val="none"/>
        </w:rPr>
      </w:pPr>
      <w:r>
        <w:rPr>
          <w:rFonts w:hint="eastAsia" w:asciiTheme="minorEastAsia" w:hAnsiTheme="minorEastAsia"/>
          <w:b/>
          <w:sz w:val="24"/>
          <w:szCs w:val="24"/>
          <w:highlight w:val="none"/>
        </w:rPr>
        <w:t>项目基本情况</w:t>
      </w:r>
    </w:p>
    <w:p>
      <w:pPr>
        <w:pStyle w:val="28"/>
        <w:numPr>
          <w:ilvl w:val="1"/>
          <w:numId w:val="2"/>
        </w:numPr>
        <w:spacing w:before="120" w:beforeLines="50" w:after="120" w:afterLines="50" w:line="360" w:lineRule="auto"/>
        <w:ind w:left="567" w:hanging="567" w:firstLineChars="0"/>
        <w:rPr>
          <w:rFonts w:asciiTheme="minorEastAsia" w:hAnsiTheme="minorEastAsia"/>
          <w:sz w:val="24"/>
          <w:szCs w:val="24"/>
          <w:highlight w:val="none"/>
        </w:rPr>
      </w:pPr>
      <w:r>
        <w:rPr>
          <w:rFonts w:hint="eastAsia" w:asciiTheme="minorEastAsia" w:hAnsiTheme="minorEastAsia"/>
          <w:sz w:val="24"/>
          <w:szCs w:val="24"/>
          <w:highlight w:val="none"/>
        </w:rPr>
        <w:t>项目名称：</w:t>
      </w:r>
      <w:r>
        <w:rPr>
          <w:rFonts w:hint="eastAsia" w:ascii="宋体" w:hAnsi="宋体" w:eastAsia="宋体" w:cs="宋体"/>
          <w:b w:val="0"/>
          <w:sz w:val="24"/>
          <w:szCs w:val="24"/>
          <w:highlight w:val="none"/>
          <w:u w:val="none"/>
        </w:rPr>
        <w:t>新型物联网中央空调计时型温控器研发应用示范</w:t>
      </w:r>
    </w:p>
    <w:p>
      <w:pPr>
        <w:pStyle w:val="28"/>
        <w:numPr>
          <w:ilvl w:val="1"/>
          <w:numId w:val="2"/>
        </w:numPr>
        <w:spacing w:before="120" w:beforeLines="50" w:after="120" w:afterLines="50" w:line="360" w:lineRule="auto"/>
        <w:ind w:left="567" w:hanging="567" w:firstLineChars="0"/>
        <w:rPr>
          <w:rFonts w:asciiTheme="minorEastAsia" w:hAnsiTheme="minorEastAsia"/>
          <w:sz w:val="24"/>
          <w:szCs w:val="24"/>
          <w:highlight w:val="none"/>
        </w:rPr>
      </w:pPr>
      <w:r>
        <w:rPr>
          <w:rFonts w:hint="eastAsia" w:asciiTheme="minorEastAsia" w:hAnsiTheme="minorEastAsia"/>
          <w:sz w:val="24"/>
          <w:szCs w:val="24"/>
          <w:highlight w:val="none"/>
        </w:rPr>
        <w:t>项目地点：广州大学城</w:t>
      </w:r>
    </w:p>
    <w:p>
      <w:pPr>
        <w:pStyle w:val="28"/>
        <w:numPr>
          <w:ilvl w:val="1"/>
          <w:numId w:val="2"/>
        </w:numPr>
        <w:spacing w:before="120" w:beforeLines="50" w:after="120" w:afterLines="50" w:line="360" w:lineRule="auto"/>
        <w:ind w:left="567" w:hanging="567" w:firstLineChars="0"/>
        <w:rPr>
          <w:rFonts w:asciiTheme="minorEastAsia" w:hAnsiTheme="minorEastAsia"/>
          <w:sz w:val="24"/>
          <w:szCs w:val="24"/>
          <w:highlight w:val="none"/>
        </w:rPr>
      </w:pPr>
      <w:r>
        <w:rPr>
          <w:rFonts w:asciiTheme="minorEastAsia" w:hAnsiTheme="minorEastAsia"/>
          <w:sz w:val="24"/>
          <w:szCs w:val="24"/>
          <w:highlight w:val="none"/>
        </w:rPr>
        <w:t>采购限价</w:t>
      </w:r>
      <w:r>
        <w:rPr>
          <w:rFonts w:hint="eastAsia" w:asciiTheme="minorEastAsia" w:hAnsiTheme="minorEastAsia"/>
          <w:sz w:val="24"/>
          <w:szCs w:val="24"/>
          <w:highlight w:val="none"/>
        </w:rPr>
        <w:t>：人民币</w:t>
      </w:r>
      <w:r>
        <w:rPr>
          <w:rFonts w:hint="eastAsia" w:asciiTheme="minorEastAsia" w:hAnsiTheme="minorEastAsia"/>
          <w:sz w:val="24"/>
          <w:szCs w:val="24"/>
          <w:highlight w:val="none"/>
          <w:lang w:val="en-US" w:eastAsia="zh-CN"/>
        </w:rPr>
        <w:t>33</w:t>
      </w:r>
      <w:r>
        <w:rPr>
          <w:rFonts w:hint="eastAsia" w:asciiTheme="minorEastAsia" w:hAnsiTheme="minorEastAsia"/>
          <w:sz w:val="24"/>
          <w:szCs w:val="24"/>
          <w:highlight w:val="none"/>
        </w:rPr>
        <w:t>万元</w:t>
      </w:r>
    </w:p>
    <w:p>
      <w:pPr>
        <w:pStyle w:val="28"/>
        <w:numPr>
          <w:ilvl w:val="1"/>
          <w:numId w:val="2"/>
        </w:numPr>
        <w:spacing w:before="120" w:beforeLines="50" w:after="120" w:afterLines="50" w:line="360" w:lineRule="auto"/>
        <w:ind w:left="567" w:hanging="567" w:firstLineChars="0"/>
        <w:rPr>
          <w:rFonts w:asciiTheme="minorEastAsia" w:hAnsiTheme="minorEastAsia"/>
          <w:sz w:val="24"/>
          <w:szCs w:val="24"/>
          <w:highlight w:val="none"/>
        </w:rPr>
      </w:pPr>
      <w:r>
        <w:rPr>
          <w:rFonts w:hint="eastAsia" w:asciiTheme="minorEastAsia" w:hAnsiTheme="minorEastAsia"/>
          <w:sz w:val="24"/>
          <w:szCs w:val="24"/>
          <w:highlight w:val="none"/>
        </w:rPr>
        <w:t>项目内容：</w:t>
      </w:r>
    </w:p>
    <w:p>
      <w:pPr>
        <w:pStyle w:val="26"/>
        <w:numPr>
          <w:ilvl w:val="-1"/>
          <w:numId w:val="0"/>
        </w:numPr>
        <w:tabs>
          <w:tab w:val="left" w:pos="420"/>
        </w:tabs>
        <w:spacing w:line="360" w:lineRule="auto"/>
        <w:ind w:left="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采购新型物联网中央空调计时型温控器硬件开发资料、云平台软件对接和生产制造500台样机等相关服务，使系统能达到《新型物联网中央空调计时型温控器研发应用示范技术方案》中所述要求</w:t>
      </w:r>
      <w:r>
        <w:rPr>
          <w:rFonts w:hint="eastAsia" w:ascii="宋体" w:hAnsi="宋体" w:eastAsia="宋体" w:cs="宋体"/>
          <w:sz w:val="24"/>
          <w:szCs w:val="24"/>
          <w:highlight w:val="none"/>
          <w:lang w:eastAsia="zh-CN"/>
        </w:rPr>
        <w:t>。</w:t>
      </w:r>
    </w:p>
    <w:p>
      <w:pPr>
        <w:numPr>
          <w:ilvl w:val="-1"/>
          <w:numId w:val="0"/>
        </w:numPr>
        <w:spacing w:before="120" w:beforeLines="50" w:after="120" w:afterLines="50" w:line="360" w:lineRule="auto"/>
        <w:ind w:left="0" w:firstLine="0" w:firstLineChars="0"/>
        <w:jc w:val="left"/>
        <w:rPr>
          <w:rFonts w:cs="Arial" w:asciiTheme="minorEastAsia" w:hAnsiTheme="minorEastAsia"/>
          <w:sz w:val="24"/>
          <w:szCs w:val="24"/>
          <w:highlight w:val="none"/>
        </w:rPr>
      </w:pPr>
      <w:r>
        <w:rPr>
          <w:rFonts w:hint="eastAsia" w:cs="Arial" w:asciiTheme="minorEastAsia" w:hAnsiTheme="minorEastAsia"/>
          <w:sz w:val="24"/>
          <w:szCs w:val="24"/>
          <w:highlight w:val="none"/>
        </w:rPr>
        <w:t>具体内容详见附件</w:t>
      </w:r>
      <w:r>
        <w:rPr>
          <w:rFonts w:hint="eastAsia" w:cs="Arial" w:asciiTheme="minorEastAsia" w:hAnsiTheme="minorEastAsia"/>
          <w:sz w:val="24"/>
          <w:szCs w:val="24"/>
          <w:highlight w:val="none"/>
          <w:lang w:val="en-US" w:eastAsia="zh-CN"/>
        </w:rPr>
        <w:t>7</w:t>
      </w:r>
      <w:r>
        <w:rPr>
          <w:rFonts w:hint="eastAsia" w:cs="Arial" w:asciiTheme="minorEastAsia" w:hAnsiTheme="minorEastAsia"/>
          <w:sz w:val="24"/>
          <w:szCs w:val="24"/>
          <w:highlight w:val="none"/>
        </w:rPr>
        <w:t>《采购需求书》。</w:t>
      </w:r>
    </w:p>
    <w:p>
      <w:pPr>
        <w:pStyle w:val="28"/>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highlight w:val="none"/>
        </w:rPr>
      </w:pPr>
      <w:r>
        <w:rPr>
          <w:rFonts w:hint="eastAsia" w:asciiTheme="minorEastAsia" w:hAnsiTheme="minorEastAsia"/>
          <w:b/>
          <w:sz w:val="24"/>
          <w:szCs w:val="24"/>
          <w:highlight w:val="none"/>
        </w:rPr>
        <w:t>合格投标人资格要求</w:t>
      </w:r>
    </w:p>
    <w:p>
      <w:pPr>
        <w:pStyle w:val="28"/>
        <w:numPr>
          <w:ilvl w:val="1"/>
          <w:numId w:val="0"/>
        </w:numPr>
        <w:spacing w:before="120" w:beforeLines="50" w:after="120" w:afterLines="50" w:line="360" w:lineRule="auto"/>
        <w:ind w:left="567" w:hanging="567" w:firstLineChars="0"/>
        <w:rPr>
          <w:rFonts w:asciiTheme="minorEastAsia" w:hAnsiTheme="minorEastAsia"/>
          <w:sz w:val="24"/>
          <w:szCs w:val="24"/>
          <w:highlight w:val="none"/>
        </w:rPr>
      </w:pPr>
      <w:r>
        <w:rPr>
          <w:rFonts w:hint="eastAsia" w:asciiTheme="minorEastAsia" w:hAnsiTheme="minorEastAsia" w:cstheme="minorBidi"/>
          <w:kern w:val="2"/>
          <w:sz w:val="24"/>
          <w:szCs w:val="24"/>
          <w:highlight w:val="none"/>
          <w:lang w:val="en-US" w:eastAsia="zh-CN" w:bidi="ar-SA"/>
        </w:rPr>
        <w:t>2</w:t>
      </w:r>
      <w:r>
        <w:rPr>
          <w:rFonts w:hint="default" w:asciiTheme="minorEastAsia" w:hAnsiTheme="minorEastAsia" w:eastAsiaTheme="minorEastAsia" w:cstheme="minorBidi"/>
          <w:kern w:val="2"/>
          <w:sz w:val="24"/>
          <w:szCs w:val="24"/>
          <w:highlight w:val="none"/>
          <w:lang w:val="en-US" w:eastAsia="zh-CN" w:bidi="ar-SA"/>
        </w:rPr>
        <w:t>.1.</w:t>
      </w:r>
      <w:r>
        <w:rPr>
          <w:rFonts w:cs="Arial" w:asciiTheme="minorEastAsia" w:hAnsiTheme="minorEastAsia"/>
          <w:sz w:val="24"/>
          <w:szCs w:val="24"/>
          <w:highlight w:val="none"/>
        </w:rPr>
        <w:t>必须是具</w:t>
      </w:r>
      <w:r>
        <w:rPr>
          <w:rFonts w:asciiTheme="minorEastAsia" w:hAnsiTheme="minorEastAsia"/>
          <w:sz w:val="24"/>
          <w:szCs w:val="24"/>
          <w:highlight w:val="none"/>
        </w:rPr>
        <w:t>有独立承担民事责任能力的在中华人民共和国境内注册的法人，</w:t>
      </w:r>
      <w:r>
        <w:rPr>
          <w:rFonts w:hint="eastAsia" w:asciiTheme="minorEastAsia" w:hAnsiTheme="minorEastAsia"/>
          <w:sz w:val="24"/>
          <w:szCs w:val="24"/>
          <w:highlight w:val="none"/>
        </w:rPr>
        <w:t>具备有效的工商营业执照、企业法人组织机构代码证书、税务登记证书（或三证合一），按国家法律经营。</w:t>
      </w:r>
    </w:p>
    <w:p>
      <w:pPr>
        <w:pStyle w:val="28"/>
        <w:numPr>
          <w:ilvl w:val="1"/>
          <w:numId w:val="0"/>
        </w:numPr>
        <w:spacing w:before="120" w:beforeLines="50" w:after="120" w:afterLines="50" w:line="360" w:lineRule="auto"/>
        <w:ind w:left="567" w:hanging="567" w:firstLineChars="0"/>
        <w:rPr>
          <w:rFonts w:cs="Arial" w:asciiTheme="minorEastAsia" w:hAnsiTheme="minorEastAsia"/>
          <w:sz w:val="24"/>
          <w:szCs w:val="24"/>
          <w:highlight w:val="none"/>
        </w:rPr>
      </w:pPr>
      <w:r>
        <w:rPr>
          <w:rFonts w:hint="eastAsia" w:cs="Arial" w:asciiTheme="minorEastAsia" w:hAnsiTheme="minorEastAsia"/>
          <w:kern w:val="2"/>
          <w:sz w:val="24"/>
          <w:szCs w:val="24"/>
          <w:highlight w:val="none"/>
          <w:lang w:val="en-US" w:eastAsia="zh-CN" w:bidi="ar-SA"/>
        </w:rPr>
        <w:t>2</w:t>
      </w:r>
      <w:r>
        <w:rPr>
          <w:rFonts w:hint="default" w:cs="Arial" w:asciiTheme="minorEastAsia" w:hAnsiTheme="minorEastAsia" w:eastAsiaTheme="minorEastAsia"/>
          <w:kern w:val="2"/>
          <w:sz w:val="24"/>
          <w:szCs w:val="24"/>
          <w:highlight w:val="none"/>
          <w:lang w:val="en-US" w:eastAsia="zh-CN" w:bidi="ar-SA"/>
        </w:rPr>
        <w:t>.2.</w:t>
      </w:r>
      <w:r>
        <w:rPr>
          <w:rFonts w:hint="eastAsia" w:asciiTheme="minorEastAsia" w:hAnsiTheme="minorEastAsia"/>
          <w:sz w:val="24"/>
          <w:szCs w:val="24"/>
          <w:highlight w:val="none"/>
        </w:rPr>
        <w:t>投标人未被</w:t>
      </w:r>
      <w:r>
        <w:rPr>
          <w:rFonts w:hint="eastAsia" w:cs="Arial" w:asciiTheme="minorEastAsia" w:hAnsiTheme="minorEastAsia"/>
          <w:sz w:val="24"/>
          <w:szCs w:val="24"/>
          <w:highlight w:val="none"/>
        </w:rPr>
        <w:t>列入“信用中国”网站（www.creditchina.gov.cn）记录失信被执行人或重大税收违法案件当事人名单，投标人须提供《信用记录承诺函》附“信用中国”网站（www.creditchina.gov.cn）的信用记录查询结果截图并打印页面加盖公章。</w:t>
      </w:r>
    </w:p>
    <w:p>
      <w:pPr>
        <w:pStyle w:val="28"/>
        <w:numPr>
          <w:ilvl w:val="1"/>
          <w:numId w:val="0"/>
        </w:numPr>
        <w:spacing w:before="120" w:beforeLines="50" w:after="120" w:afterLines="50" w:line="360" w:lineRule="auto"/>
        <w:ind w:left="567" w:hanging="567" w:firstLineChars="0"/>
        <w:rPr>
          <w:rFonts w:cs="Arial" w:asciiTheme="minorEastAsia" w:hAnsiTheme="minorEastAsia"/>
          <w:sz w:val="24"/>
          <w:szCs w:val="24"/>
          <w:highlight w:val="none"/>
        </w:rPr>
      </w:pPr>
      <w:r>
        <w:rPr>
          <w:rFonts w:hint="eastAsia" w:cs="Arial" w:asciiTheme="minorEastAsia" w:hAnsiTheme="minorEastAsia"/>
          <w:kern w:val="2"/>
          <w:sz w:val="24"/>
          <w:szCs w:val="24"/>
          <w:highlight w:val="none"/>
          <w:lang w:val="en-US" w:eastAsia="zh-CN" w:bidi="ar-SA"/>
        </w:rPr>
        <w:t>2</w:t>
      </w:r>
      <w:r>
        <w:rPr>
          <w:rFonts w:hint="default" w:cs="Arial" w:asciiTheme="minorEastAsia" w:hAnsiTheme="minorEastAsia" w:eastAsiaTheme="minorEastAsia"/>
          <w:kern w:val="2"/>
          <w:sz w:val="24"/>
          <w:szCs w:val="24"/>
          <w:highlight w:val="none"/>
          <w:lang w:val="en-US" w:eastAsia="zh-CN" w:bidi="ar-SA"/>
        </w:rPr>
        <w:t>.3.</w:t>
      </w:r>
      <w:r>
        <w:rPr>
          <w:rFonts w:hint="eastAsia" w:cs="Arial" w:asciiTheme="minorEastAsia" w:hAnsiTheme="minorEastAsia"/>
          <w:sz w:val="24"/>
          <w:szCs w:val="24"/>
          <w:highlight w:val="none"/>
        </w:rPr>
        <w:t>投标人没有处于被责令停业或破产状态，且资产未被重组、接管和冻结，声明在投标活动中3年内没有重大违法活动和涉嫌违规行为。（格式自拟）</w:t>
      </w:r>
    </w:p>
    <w:p>
      <w:pPr>
        <w:pStyle w:val="28"/>
        <w:numPr>
          <w:ilvl w:val="1"/>
          <w:numId w:val="0"/>
        </w:numPr>
        <w:spacing w:before="120" w:beforeLines="50" w:after="120" w:afterLines="50" w:line="360" w:lineRule="auto"/>
        <w:ind w:left="567" w:hanging="567" w:firstLineChars="0"/>
        <w:rPr>
          <w:rFonts w:asciiTheme="minorEastAsia" w:hAnsiTheme="minorEastAsia"/>
          <w:sz w:val="24"/>
          <w:szCs w:val="24"/>
          <w:highlight w:val="none"/>
        </w:rPr>
      </w:pPr>
      <w:r>
        <w:rPr>
          <w:rFonts w:hint="eastAsia" w:asciiTheme="minorEastAsia" w:hAnsiTheme="minorEastAsia" w:cstheme="minorBidi"/>
          <w:kern w:val="2"/>
          <w:sz w:val="24"/>
          <w:szCs w:val="24"/>
          <w:highlight w:val="none"/>
          <w:lang w:val="en-US" w:eastAsia="zh-CN" w:bidi="ar-SA"/>
        </w:rPr>
        <w:t>2</w:t>
      </w:r>
      <w:r>
        <w:rPr>
          <w:rFonts w:hint="default" w:asciiTheme="minorEastAsia" w:hAnsiTheme="minorEastAsia" w:eastAsiaTheme="minorEastAsia" w:cstheme="minorBidi"/>
          <w:kern w:val="2"/>
          <w:sz w:val="24"/>
          <w:szCs w:val="24"/>
          <w:highlight w:val="none"/>
          <w:lang w:val="en-US" w:eastAsia="zh-CN" w:bidi="ar-SA"/>
        </w:rPr>
        <w:t>.</w:t>
      </w:r>
      <w:r>
        <w:rPr>
          <w:rFonts w:hint="eastAsia" w:asciiTheme="minorEastAsia" w:hAnsiTheme="minorEastAsia" w:cstheme="minorBidi"/>
          <w:kern w:val="2"/>
          <w:sz w:val="24"/>
          <w:szCs w:val="24"/>
          <w:highlight w:val="none"/>
          <w:lang w:val="en-US" w:eastAsia="zh-CN" w:bidi="ar-SA"/>
        </w:rPr>
        <w:t>4</w:t>
      </w:r>
      <w:r>
        <w:rPr>
          <w:rFonts w:hint="default" w:asciiTheme="minorEastAsia" w:hAnsiTheme="minorEastAsia" w:eastAsiaTheme="minorEastAsia" w:cstheme="minorBidi"/>
          <w:kern w:val="2"/>
          <w:sz w:val="24"/>
          <w:szCs w:val="24"/>
          <w:highlight w:val="none"/>
          <w:lang w:val="en-US" w:eastAsia="zh-CN" w:bidi="ar-SA"/>
        </w:rPr>
        <w:t>.</w:t>
      </w:r>
      <w:r>
        <w:rPr>
          <w:rFonts w:hint="eastAsia" w:cs="Arial" w:asciiTheme="minorEastAsia" w:hAnsiTheme="minorEastAsia"/>
          <w:sz w:val="24"/>
          <w:szCs w:val="24"/>
          <w:highlight w:val="none"/>
        </w:rPr>
        <w:t>本项目不接受联</w:t>
      </w:r>
      <w:r>
        <w:rPr>
          <w:rFonts w:hint="eastAsia" w:asciiTheme="minorEastAsia" w:hAnsiTheme="minorEastAsia"/>
          <w:sz w:val="24"/>
          <w:szCs w:val="24"/>
          <w:highlight w:val="none"/>
        </w:rPr>
        <w:t>合体报价。</w:t>
      </w:r>
    </w:p>
    <w:p>
      <w:pPr>
        <w:pStyle w:val="28"/>
        <w:numPr>
          <w:ilvl w:val="-1"/>
          <w:numId w:val="0"/>
        </w:numPr>
        <w:spacing w:before="120" w:beforeLines="50" w:after="120" w:afterLines="50" w:line="360" w:lineRule="auto"/>
        <w:ind w:left="0" w:leftChars="0" w:firstLine="0" w:firstLineChars="0"/>
        <w:rPr>
          <w:rFonts w:asciiTheme="minorEastAsia" w:hAnsiTheme="minorEastAsia"/>
          <w:sz w:val="24"/>
          <w:szCs w:val="24"/>
          <w:highlight w:val="none"/>
        </w:rPr>
      </w:pPr>
    </w:p>
    <w:p>
      <w:pPr>
        <w:pStyle w:val="28"/>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highlight w:val="none"/>
        </w:rPr>
      </w:pPr>
      <w:r>
        <w:rPr>
          <w:rFonts w:hint="eastAsia" w:asciiTheme="minorEastAsia" w:hAnsiTheme="minorEastAsia"/>
          <w:b/>
          <w:sz w:val="24"/>
          <w:szCs w:val="24"/>
          <w:highlight w:val="none"/>
          <w:lang w:val="en-US" w:eastAsia="zh-CN"/>
        </w:rPr>
        <w:t>特别说明</w:t>
      </w:r>
      <w:r>
        <w:rPr>
          <w:rFonts w:hint="eastAsia" w:asciiTheme="minorEastAsia" w:hAnsiTheme="minorEastAsia"/>
          <w:b/>
          <w:sz w:val="24"/>
          <w:szCs w:val="24"/>
          <w:highlight w:val="none"/>
        </w:rPr>
        <w:t>项目内容及要求</w:t>
      </w:r>
    </w:p>
    <w:p>
      <w:pPr>
        <w:pStyle w:val="26"/>
        <w:numPr>
          <w:ilvl w:val="-1"/>
          <w:numId w:val="0"/>
        </w:numPr>
        <w:tabs>
          <w:tab w:val="left" w:pos="420"/>
        </w:tabs>
        <w:spacing w:before="156" w:beforeLines="50" w:after="156" w:afterLines="50" w:line="360" w:lineRule="auto"/>
        <w:ind w:left="420" w:leftChars="200" w:firstLine="0" w:firstLineChars="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本竞选文件和用户需求书中标有“★”的条款为必须完全满足的项目，任何偏离将导致废标。凡上一级条目带★号，则表示该条目向下的所有条目均为带★号内容，如1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条带★号，则表示1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条向下的1.1.1、1.1.2等所有条目均为带★号内容。</w:t>
      </w:r>
    </w:p>
    <w:p>
      <w:pPr>
        <w:pStyle w:val="26"/>
        <w:numPr>
          <w:ilvl w:val="-1"/>
          <w:numId w:val="0"/>
        </w:numPr>
        <w:tabs>
          <w:tab w:val="left" w:pos="420"/>
        </w:tabs>
        <w:spacing w:before="156" w:beforeLines="50" w:after="156" w:afterLines="50" w:line="360" w:lineRule="auto"/>
        <w:ind w:left="420" w:leftChars="200" w:firstLine="0" w:firstLineChars="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3.2.</w:t>
      </w:r>
      <w:r>
        <w:rPr>
          <w:rFonts w:hint="eastAsia" w:ascii="宋体" w:hAnsi="宋体" w:eastAsia="宋体" w:cs="宋体"/>
          <w:sz w:val="24"/>
          <w:szCs w:val="24"/>
          <w:highlight w:val="none"/>
        </w:rPr>
        <w:t>本竞选文件和用户需求书中的要求为最低要求。投标供应商在响应建议中必须列出具体内容。</w:t>
      </w:r>
    </w:p>
    <w:p>
      <w:pPr>
        <w:pStyle w:val="28"/>
        <w:numPr>
          <w:ilvl w:val="-1"/>
          <w:numId w:val="0"/>
        </w:numPr>
        <w:tabs>
          <w:tab w:val="left" w:pos="540"/>
          <w:tab w:val="left" w:pos="720"/>
        </w:tabs>
        <w:spacing w:before="120" w:beforeLines="50" w:after="120" w:afterLines="50" w:line="360" w:lineRule="auto"/>
        <w:ind w:left="420" w:leftChars="200" w:firstLine="0" w:firstLineChars="0"/>
        <w:rPr>
          <w:rFonts w:hint="eastAsia" w:eastAsia="宋体" w:asciiTheme="minorEastAsia" w:hAnsiTheme="minorEastAsia"/>
          <w:b/>
          <w:sz w:val="24"/>
          <w:szCs w:val="24"/>
          <w:highlight w:val="none"/>
          <w:lang w:val="en-US" w:eastAsia="zh-CN"/>
        </w:rPr>
      </w:pPr>
      <w:r>
        <w:rPr>
          <w:rFonts w:hint="eastAsia" w:ascii="宋体" w:hAnsi="宋体" w:eastAsia="宋体" w:cs="宋体"/>
          <w:sz w:val="24"/>
          <w:szCs w:val="24"/>
          <w:highlight w:val="none"/>
          <w:lang w:val="en-US" w:eastAsia="zh-CN"/>
        </w:rPr>
        <w:t>3.3.</w:t>
      </w:r>
      <w:r>
        <w:rPr>
          <w:rFonts w:hint="eastAsia" w:ascii="宋体" w:hAnsi="宋体" w:eastAsia="宋体" w:cs="宋体"/>
          <w:sz w:val="24"/>
          <w:szCs w:val="24"/>
          <w:highlight w:val="none"/>
        </w:rPr>
        <w:t>投标人没有在报价文件中注明偏离（文字说明或在技术、商务偏离表注明）的参数、配置、条款视为被投标供应商完全接</w:t>
      </w:r>
      <w:r>
        <w:rPr>
          <w:rFonts w:hint="eastAsia" w:ascii="宋体" w:hAnsi="宋体" w:eastAsia="宋体" w:cs="宋体"/>
          <w:sz w:val="24"/>
          <w:szCs w:val="24"/>
          <w:highlight w:val="none"/>
          <w:lang w:val="en-US" w:eastAsia="zh-CN"/>
        </w:rPr>
        <w:t>受。</w:t>
      </w:r>
    </w:p>
    <w:p>
      <w:pPr>
        <w:pStyle w:val="28"/>
        <w:numPr>
          <w:ilvl w:val="-1"/>
          <w:numId w:val="0"/>
        </w:numPr>
        <w:tabs>
          <w:tab w:val="left" w:pos="540"/>
          <w:tab w:val="left" w:pos="720"/>
        </w:tabs>
        <w:spacing w:before="120" w:beforeLines="50" w:after="120" w:afterLines="50" w:line="360" w:lineRule="auto"/>
        <w:ind w:left="420" w:leftChars="200" w:firstLine="0" w:firstLineChars="0"/>
        <w:rPr>
          <w:rFonts w:asciiTheme="minorEastAsia" w:hAnsiTheme="minorEastAsia"/>
          <w:b/>
          <w:sz w:val="24"/>
          <w:szCs w:val="24"/>
          <w:highlight w:val="none"/>
        </w:rPr>
      </w:pPr>
    </w:p>
    <w:p>
      <w:pPr>
        <w:pStyle w:val="28"/>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highlight w:val="none"/>
        </w:rPr>
      </w:pPr>
      <w:r>
        <w:rPr>
          <w:rFonts w:hint="eastAsia" w:asciiTheme="minorEastAsia" w:hAnsiTheme="minorEastAsia"/>
          <w:b/>
          <w:sz w:val="24"/>
          <w:szCs w:val="24"/>
          <w:highlight w:val="none"/>
          <w:lang w:val="en-US" w:eastAsia="zh-CN"/>
        </w:rPr>
        <w:t>项目内容及要求</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4.1.</w:t>
      </w:r>
      <w:r>
        <w:rPr>
          <w:rFonts w:hint="eastAsia" w:ascii="宋体" w:hAnsi="宋体" w:eastAsia="宋体" w:cs="宋体"/>
          <w:sz w:val="24"/>
          <w:szCs w:val="24"/>
          <w:highlight w:val="none"/>
        </w:rPr>
        <w:t>采购内容</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新型物联网中央空调计时型温控器硬件开发资料、云平台软件对接和生产制造500台样机等相关服务，使系统能达到《新型物联网中央空调计时型温控器研发应用示范技术方案》中所述要求。采购内容和要求如下：</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4</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新型物联网中央空调计时型温控器硬件开发。硬件完成开发后，中标方需提供硬件开发的所有资料，确保甲方能利用这些资料向主流制造商直接下单制造，在生产过程中中标方无偿提供技术支持。硬件开发资料包括但不限于PCB版电路图、开模数据、芯片选择、芯片的软件程序、加密资料、通讯模块资料等。温控器的技术指标和要求见“★”条款。</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4.1.2.</w:t>
      </w:r>
      <w:r>
        <w:rPr>
          <w:rFonts w:hint="eastAsia" w:ascii="宋体" w:hAnsi="宋体" w:eastAsia="宋体" w:cs="宋体"/>
          <w:sz w:val="24"/>
          <w:szCs w:val="24"/>
          <w:highlight w:val="none"/>
        </w:rPr>
        <w:t>云平台软件对接。甲方云平台由第三方开发，中标方负责温控器与云平台软件对接，保证温控器能接入甲方云平台。软件功能见“附件：物联网温控器管理平台软件功能介绍”。</w:t>
      </w:r>
    </w:p>
    <w:p>
      <w:pPr>
        <w:pStyle w:val="28"/>
        <w:spacing w:before="120" w:beforeLines="50" w:after="120" w:afterLines="50" w:line="36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4.1.3.</w:t>
      </w:r>
      <w:r>
        <w:rPr>
          <w:rFonts w:hint="eastAsia" w:ascii="宋体" w:hAnsi="宋体" w:eastAsia="宋体" w:cs="宋体"/>
          <w:sz w:val="24"/>
          <w:szCs w:val="24"/>
          <w:highlight w:val="none"/>
        </w:rPr>
        <w:t>新型物联网中央空调计时型温控器生产制造样机500台。温控器的软件和硬件开发测试完成后，由中标方生产制造500台符合要求的样机交付给甲方使用，甲方安装测试过程中由中标方无偿提供技术支持，如产品出现质量问题，在质保期内由中标方负责维修或者更换新的温控器。温控器技术指标和要求见“★”条款</w:t>
      </w:r>
      <w:r>
        <w:rPr>
          <w:rFonts w:hint="eastAsia" w:ascii="宋体" w:hAnsi="宋体" w:eastAsia="宋体" w:cs="宋体"/>
          <w:sz w:val="24"/>
          <w:szCs w:val="24"/>
          <w:highlight w:val="none"/>
          <w:lang w:eastAsia="zh-CN"/>
        </w:rPr>
        <w:t>。</w:t>
      </w:r>
    </w:p>
    <w:p>
      <w:pPr>
        <w:pStyle w:val="28"/>
        <w:spacing w:before="120" w:beforeLines="50" w:after="120" w:afterLines="50"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 技术指标需求</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用户需求书及技术方案所涉及技术参数为最低要求，并未对一切细节作出规定，未充分引述有关标准和规范的条文，投标方应保证提供符合本用户需求书及技术方案和相关最新工业标准的产品。在签订合同前，招标人保留对本技术规格及要求提出补充要求和修改的权力，投标方应承诺予以无条件配合。本用户需求书及技术方案所使用标准如与投标方所执行标准发生矛盾时，按较高标准执行。</w:t>
      </w:r>
    </w:p>
    <w:p>
      <w:pPr>
        <w:ind w:firstLine="480" w:firstLineChars="200"/>
        <w:rPr>
          <w:rFonts w:hint="eastAsia" w:ascii="宋体" w:hAnsi="宋体" w:eastAsia="宋体" w:cs="宋体"/>
          <w:sz w:val="24"/>
          <w:highlight w:val="none"/>
        </w:rPr>
      </w:pPr>
      <w:r>
        <w:rPr>
          <w:rFonts w:hint="eastAsia" w:ascii="宋体" w:hAnsi="宋体" w:eastAsia="宋体" w:cs="宋体"/>
          <w:sz w:val="24"/>
          <w:szCs w:val="24"/>
          <w:highlight w:val="none"/>
        </w:rPr>
        <w:t xml:space="preserve">   技术指标需求见《</w:t>
      </w:r>
      <w:r>
        <w:rPr>
          <w:rFonts w:hint="eastAsia" w:ascii="宋体" w:hAnsi="宋体" w:eastAsia="宋体" w:cs="宋体"/>
          <w:bCs w:val="0"/>
          <w:sz w:val="24"/>
          <w:szCs w:val="24"/>
          <w:highlight w:val="none"/>
        </w:rPr>
        <w:t>新型物联网中央空调计时型温控器研发应用示范方案</w:t>
      </w:r>
      <w:r>
        <w:rPr>
          <w:rFonts w:hint="eastAsia" w:ascii="宋体" w:hAnsi="宋体" w:eastAsia="宋体" w:cs="宋体"/>
          <w:sz w:val="24"/>
          <w:szCs w:val="24"/>
          <w:highlight w:val="none"/>
        </w:rPr>
        <w:t>》中“</w:t>
      </w:r>
      <w:bookmarkStart w:id="0" w:name="_Toc407611891"/>
      <w:r>
        <w:rPr>
          <w:rFonts w:hint="eastAsia" w:ascii="宋体" w:hAnsi="宋体" w:eastAsia="宋体" w:cs="宋体"/>
          <w:sz w:val="24"/>
          <w:szCs w:val="24"/>
          <w:highlight w:val="none"/>
        </w:rPr>
        <w:t>三、</w:t>
      </w:r>
      <w:r>
        <w:rPr>
          <w:rFonts w:hint="eastAsia" w:ascii="宋体" w:hAnsi="宋体" w:eastAsia="宋体" w:cs="宋体"/>
          <w:b w:val="0"/>
          <w:sz w:val="24"/>
          <w:szCs w:val="24"/>
          <w:highlight w:val="none"/>
        </w:rPr>
        <w:t>主要设备</w:t>
      </w:r>
      <w:bookmarkEnd w:id="0"/>
      <w:r>
        <w:rPr>
          <w:rFonts w:hint="eastAsia" w:ascii="宋体" w:hAnsi="宋体" w:eastAsia="宋体" w:cs="宋体"/>
          <w:b w:val="0"/>
          <w:sz w:val="24"/>
          <w:szCs w:val="24"/>
          <w:highlight w:val="none"/>
        </w:rPr>
        <w:t>技术指标（带</w:t>
      </w:r>
      <w:r>
        <w:rPr>
          <w:rFonts w:hint="eastAsia" w:ascii="宋体" w:hAnsi="宋体" w:eastAsia="宋体" w:cs="宋体"/>
          <w:b w:val="0"/>
          <w:color w:val="auto"/>
          <w:sz w:val="24"/>
          <w:szCs w:val="24"/>
          <w:highlight w:val="none"/>
        </w:rPr>
        <w:t>★号为必要条件</w:t>
      </w:r>
      <w:r>
        <w:rPr>
          <w:rFonts w:hint="eastAsia" w:ascii="宋体" w:hAnsi="宋体" w:eastAsia="宋体" w:cs="宋体"/>
          <w:b w:val="0"/>
          <w:sz w:val="24"/>
          <w:szCs w:val="24"/>
          <w:highlight w:val="none"/>
        </w:rPr>
        <w:t>）</w:t>
      </w:r>
      <w:r>
        <w:rPr>
          <w:rFonts w:hint="eastAsia" w:ascii="宋体" w:hAnsi="宋体" w:eastAsia="宋体" w:cs="宋体"/>
          <w:sz w:val="24"/>
          <w:szCs w:val="24"/>
          <w:highlight w:val="none"/>
        </w:rPr>
        <w:t>”:</w:t>
      </w:r>
    </w:p>
    <w:p>
      <w:pPr>
        <w:widowControl/>
        <w:spacing w:line="360" w:lineRule="auto"/>
        <w:ind w:left="142"/>
        <w:jc w:val="left"/>
        <w:rPr>
          <w:rFonts w:hint="eastAsia" w:ascii="宋体" w:hAnsi="宋体" w:eastAsia="宋体" w:cs="宋体"/>
          <w:bCs w:val="0"/>
          <w:color w:val="auto"/>
          <w:sz w:val="24"/>
          <w:szCs w:val="24"/>
          <w:highlight w:val="none"/>
        </w:rPr>
      </w:pPr>
      <w:r>
        <w:rPr>
          <w:rFonts w:hint="eastAsia" w:ascii="宋体" w:hAnsi="宋体" w:eastAsia="宋体" w:cs="宋体"/>
          <w:b w:val="0"/>
          <w:color w:val="auto"/>
          <w:sz w:val="24"/>
          <w:highlight w:val="none"/>
        </w:rPr>
        <w:t>★（2）</w:t>
      </w:r>
      <w:r>
        <w:rPr>
          <w:rFonts w:hint="eastAsia" w:ascii="宋体" w:hAnsi="宋体" w:eastAsia="宋体" w:cs="宋体"/>
          <w:bCs w:val="0"/>
          <w:color w:val="auto"/>
          <w:sz w:val="24"/>
          <w:szCs w:val="24"/>
          <w:highlight w:val="none"/>
        </w:rPr>
        <w:t xml:space="preserve">中央空调联网计时型温控器需求： </w:t>
      </w:r>
    </w:p>
    <w:p>
      <w:pPr>
        <w:widowControl/>
        <w:spacing w:line="360" w:lineRule="auto"/>
        <w:ind w:left="284"/>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A、基本功能：</w:t>
      </w:r>
    </w:p>
    <w:p>
      <w:pPr>
        <w:widowControl/>
        <w:spacing w:line="360" w:lineRule="auto"/>
        <w:ind w:left="567"/>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1）电子式液晶中央空调温控器</w:t>
      </w:r>
    </w:p>
    <w:p>
      <w:pPr>
        <w:widowControl/>
        <w:spacing w:line="360" w:lineRule="auto"/>
        <w:ind w:left="567"/>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2）内置感温元件：NTC；</w:t>
      </w:r>
    </w:p>
    <w:p>
      <w:pPr>
        <w:widowControl/>
        <w:spacing w:line="360" w:lineRule="auto"/>
        <w:ind w:left="567"/>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3）可设定温度范围：5℃~35℃；</w:t>
      </w:r>
    </w:p>
    <w:p>
      <w:pPr>
        <w:widowControl/>
        <w:spacing w:line="360" w:lineRule="auto"/>
        <w:ind w:left="567"/>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4）控温精度：±1℃；</w:t>
      </w:r>
    </w:p>
    <w:p>
      <w:pPr>
        <w:widowControl/>
        <w:spacing w:line="360" w:lineRule="auto"/>
        <w:ind w:left="567"/>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5）有高、中、低、自动风速设定；</w:t>
      </w:r>
    </w:p>
    <w:p>
      <w:pPr>
        <w:widowControl/>
        <w:spacing w:line="360" w:lineRule="auto"/>
        <w:ind w:left="567"/>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6）自耗功率：&lt;1W；</w:t>
      </w:r>
    </w:p>
    <w:p>
      <w:pPr>
        <w:widowControl/>
        <w:spacing w:line="360" w:lineRule="auto"/>
        <w:ind w:left="567"/>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7）工作电压：200-240VAC，50/60HZ；</w:t>
      </w:r>
    </w:p>
    <w:p>
      <w:pPr>
        <w:widowControl/>
        <w:spacing w:line="360" w:lineRule="auto"/>
        <w:ind w:left="567"/>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8）负载电流：≤3A；</w:t>
      </w:r>
    </w:p>
    <w:p>
      <w:pPr>
        <w:widowControl/>
        <w:spacing w:line="360" w:lineRule="auto"/>
        <w:ind w:left="567"/>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9）外壳材料：PC+ABS（阻燃）；</w:t>
      </w:r>
    </w:p>
    <w:p>
      <w:pPr>
        <w:widowControl/>
        <w:spacing w:line="360" w:lineRule="auto"/>
        <w:ind w:left="567"/>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10）外形尺寸：86X86X13mm（标准86盒）；</w:t>
      </w:r>
    </w:p>
    <w:p>
      <w:pPr>
        <w:widowControl/>
        <w:spacing w:line="360" w:lineRule="auto"/>
        <w:ind w:left="567"/>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11）高中低风速三挡应具有自复位的过电流短路保护装置。</w:t>
      </w:r>
    </w:p>
    <w:p>
      <w:pPr>
        <w:widowControl/>
        <w:spacing w:line="360" w:lineRule="auto"/>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B、定制功能：</w:t>
      </w:r>
    </w:p>
    <w:p>
      <w:pPr>
        <w:widowControl/>
        <w:spacing w:line="360" w:lineRule="auto"/>
        <w:ind w:left="567"/>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1）通讯方式：温控器内置4G无线通信模块； </w:t>
      </w:r>
    </w:p>
    <w:p>
      <w:pPr>
        <w:widowControl/>
        <w:spacing w:line="360" w:lineRule="auto"/>
        <w:ind w:left="567"/>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2）前置面板激光刻印大学城能源公司商标LOGO和“客服热线400-8876-540”；</w:t>
      </w:r>
    </w:p>
    <w:p>
      <w:pPr>
        <w:widowControl/>
        <w:spacing w:line="360" w:lineRule="auto"/>
        <w:ind w:left="567"/>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3）具有记忆功能，能设定在开机状态下断电重启后选择是关机状态还是开机状态；</w:t>
      </w:r>
    </w:p>
    <w:p>
      <w:pPr>
        <w:widowControl/>
        <w:spacing w:line="360" w:lineRule="auto"/>
        <w:ind w:left="567"/>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4）具有远程调温功能和远程限温功能，系统下发可调温度区间命令后，则用户只能在温控器限定的温度区间进行调温，例如限定用户只能在22℃~28℃区间内调温，区间外的调温不能操作。</w:t>
      </w:r>
    </w:p>
    <w:p>
      <w:pPr>
        <w:widowControl/>
        <w:spacing w:line="360" w:lineRule="auto"/>
        <w:ind w:left="567"/>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5）具有远程调风速档功能和远程限风速档功能，例如系统下发限中档命令后，则用户不能操作其他档位，风速限定在中档；</w:t>
      </w:r>
    </w:p>
    <w:p>
      <w:pPr>
        <w:widowControl/>
        <w:spacing w:line="360" w:lineRule="auto"/>
        <w:ind w:left="567"/>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6）具有远程开关温控器功能；</w:t>
      </w:r>
    </w:p>
    <w:p>
      <w:pPr>
        <w:widowControl/>
        <w:spacing w:line="360" w:lineRule="auto"/>
        <w:ind w:left="567"/>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7）具有远程锁定功能，下发远程锁定命令后，除开关外其余功能全部锁定，例如禁止调温，禁止调档，用户只能开和关；</w:t>
      </w:r>
    </w:p>
    <w:p>
      <w:pPr>
        <w:widowControl/>
        <w:spacing w:line="360" w:lineRule="auto"/>
        <w:ind w:left="567"/>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8）具有远程禁用功能，下发远程禁用命令后，全部功能禁用，用户在温控器面板不能任何操作包括开关操作，取消禁用操作后温控器处于关机待机状态；</w:t>
      </w:r>
    </w:p>
    <w:p>
      <w:pPr>
        <w:widowControl/>
        <w:spacing w:line="360" w:lineRule="auto"/>
        <w:ind w:left="567"/>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9）液晶面板能切换显示六位数累计时间和六位数剩余时间，显示单位是小时，远程读取的单位精确到分钟；</w:t>
      </w:r>
    </w:p>
    <w:p>
      <w:pPr>
        <w:widowControl/>
        <w:spacing w:line="360" w:lineRule="auto"/>
        <w:ind w:left="426"/>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10）温控器兼容两种计时方式，风机计时和二通阀当量时间计时，可通过本地按键操作切换计时方式。风机计时方式为开机即开风机进行计时，关机即关风机结束计时，二通阀当量时间计时方式为采集二通阀通断的累计时间；</w:t>
      </w:r>
    </w:p>
    <w:p>
      <w:pPr>
        <w:widowControl/>
        <w:spacing w:line="360" w:lineRule="auto"/>
        <w:ind w:left="426"/>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11）累计时间和剩余时间都具有储存和远程读写功能，即使网络断线也不影响就地使用，累计时间为递增，剩余时间为递减，当递减为0时能自动关闭并禁用温控器；</w:t>
      </w:r>
    </w:p>
    <w:p>
      <w:pPr>
        <w:widowControl/>
        <w:spacing w:line="360" w:lineRule="auto"/>
        <w:ind w:left="426"/>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12）温控器本地能储存三挡风速系数和22℃~28℃的温度系数，能远程读写。风机计时方式的累计时间和剩余时间由高中低三挡风机运行采集时间乘以温度系数和风速系数得出，二通阀当量时间计时方式的累计时间和剩余时间由高中低三挡二通阀运行采集时间乘以风速系数得出，即得出的累计时间和剩余时间是折算成26℃低档标准节能工况下的时间； </w:t>
      </w:r>
    </w:p>
    <w:p>
      <w:pPr>
        <w:widowControl/>
        <w:spacing w:line="360" w:lineRule="auto"/>
        <w:ind w:left="426"/>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13）加密芯片功能：电源部分无法通过简单电平信号控制，需要面板进行加密数据通信，才可正常进行风机和阀门控制。</w:t>
      </w:r>
    </w:p>
    <w:p>
      <w:pPr>
        <w:widowControl/>
        <w:spacing w:line="360" w:lineRule="auto"/>
        <w:ind w:left="426"/>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14）防盗装置：温控器应具有防拆功能，内三角防盗螺丝封装或设置防盗铅封装置（专用标记及编码由中标人提供）。</w:t>
      </w:r>
    </w:p>
    <w:p>
      <w:pPr>
        <w:widowControl/>
        <w:spacing w:line="360" w:lineRule="auto"/>
        <w:ind w:left="426"/>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15）状态主动上报功能：温控器需具备定时主动上报状态的功能，方便后台查询温控器的实时状态。</w:t>
      </w:r>
    </w:p>
    <w:p>
      <w:pPr>
        <w:widowControl/>
        <w:spacing w:line="360" w:lineRule="auto"/>
        <w:ind w:left="426"/>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16）通信运营服务：本定制温控器使用的4G卡必须由当地通讯运营商提供。同时提供3年或以上物联网温控器数据通信服务（每台温控器的流量不低于500M/年）。</w:t>
      </w:r>
    </w:p>
    <w:p>
      <w:pPr>
        <w:widowControl/>
        <w:spacing w:line="360" w:lineRule="auto"/>
        <w:ind w:left="426"/>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17）备用温控器流转：购方负责拆下并邮寄到中标方进行更换或维修，来回运费由中标方负责，修复或更换的新温控器需10日内寄回采购方，时间戳点以收货时间为准。中标方免费提供2%总量温控器备表存放在采购方作维修更换流转使用，故障表由采购方寄回给中标方。</w:t>
      </w:r>
    </w:p>
    <w:p>
      <w:pPr>
        <w:widowControl/>
        <w:spacing w:line="360" w:lineRule="auto"/>
        <w:ind w:left="426"/>
        <w:jc w:val="left"/>
        <w:rPr>
          <w:rFonts w:hint="eastAsia" w:ascii="宋体" w:hAnsi="宋体" w:eastAsia="宋体" w:cs="宋体"/>
          <w:bCs w:val="0"/>
          <w:sz w:val="24"/>
          <w:szCs w:val="24"/>
          <w:highlight w:val="none"/>
        </w:rPr>
      </w:pPr>
      <w:r>
        <w:rPr>
          <w:rFonts w:hint="eastAsia" w:ascii="宋体" w:hAnsi="宋体" w:eastAsia="宋体" w:cs="宋体"/>
          <w:bCs w:val="0"/>
          <w:color w:val="auto"/>
          <w:sz w:val="24"/>
          <w:szCs w:val="24"/>
          <w:highlight w:val="none"/>
        </w:rPr>
        <w:t>18）中标方需要在合同约定时间内对接完成，满足物联网温控器管理平台软件功能要求（</w:t>
      </w:r>
      <w:r>
        <w:rPr>
          <w:rFonts w:hint="eastAsia" w:ascii="宋体" w:hAnsi="宋体" w:eastAsia="宋体" w:cs="宋体"/>
          <w:sz w:val="24"/>
          <w:szCs w:val="24"/>
          <w:highlight w:val="none"/>
        </w:rPr>
        <w:t>附件：物联网温控器管理平台软件功能介绍</w:t>
      </w:r>
      <w:r>
        <w:rPr>
          <w:rFonts w:hint="eastAsia" w:ascii="宋体" w:hAnsi="宋体" w:eastAsia="宋体" w:cs="宋体"/>
          <w:bCs w:val="0"/>
          <w:color w:val="auto"/>
          <w:sz w:val="24"/>
          <w:szCs w:val="24"/>
          <w:highlight w:val="none"/>
        </w:rPr>
        <w:t>）。</w:t>
      </w:r>
    </w:p>
    <w:p>
      <w:pPr>
        <w:rPr>
          <w:rFonts w:ascii="宋体" w:hAnsi="宋体" w:eastAsia="宋体" w:cs="宋体"/>
          <w:sz w:val="24"/>
          <w:szCs w:val="24"/>
          <w:highlight w:val="none"/>
        </w:rPr>
      </w:pPr>
      <w:r>
        <w:rPr>
          <w:rFonts w:hint="eastAsia" w:ascii="宋体" w:hAnsi="宋体" w:eastAsia="宋体" w:cs="宋体"/>
          <w:bCs w:val="0"/>
          <w:sz w:val="24"/>
          <w:szCs w:val="24"/>
          <w:highlight w:val="none"/>
          <w:lang w:val="en-US" w:eastAsia="zh-CN"/>
        </w:rPr>
        <w:t>4.3.</w:t>
      </w:r>
      <w:r>
        <w:rPr>
          <w:rFonts w:hint="eastAsia" w:ascii="宋体" w:hAnsi="宋体" w:eastAsia="宋体" w:cs="宋体"/>
          <w:sz w:val="24"/>
          <w:szCs w:val="24"/>
          <w:highlight w:val="none"/>
        </w:rPr>
        <w:t>温控器质量要求</w:t>
      </w:r>
    </w:p>
    <w:p>
      <w:pPr>
        <w:widowControl/>
        <w:spacing w:line="360" w:lineRule="auto"/>
        <w:ind w:left="426" w:firstLine="480" w:firstLineChars="200"/>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本项目定制温控器要求质保期不少于（含）3年。温控器应使用寿命长、故障率低，性能稳定，质保期内发生故障，除人为破坏外，温控器故障台数占总在用温控器数量的1%/年以下。</w:t>
      </w:r>
    </w:p>
    <w:p>
      <w:pPr>
        <w:widowControl/>
        <w:spacing w:before="120" w:beforeLines="50" w:after="120" w:afterLines="50" w:line="360" w:lineRule="auto"/>
        <w:ind w:left="426" w:firstLine="480"/>
        <w:jc w:val="left"/>
        <w:rPr>
          <w:rFonts w:hint="eastAsia" w:ascii="宋体" w:hAnsi="宋体" w:eastAsia="宋体" w:cs="宋体"/>
          <w:sz w:val="24"/>
          <w:szCs w:val="24"/>
          <w:highlight w:val="none"/>
          <w:lang w:val="en-US" w:eastAsia="zh-CN"/>
        </w:rPr>
      </w:pPr>
      <w:r>
        <w:rPr>
          <w:rFonts w:hint="eastAsia" w:ascii="宋体" w:hAnsi="宋体" w:eastAsia="宋体" w:cs="宋体"/>
          <w:bCs/>
          <w:color w:val="000000"/>
          <w:sz w:val="24"/>
          <w:szCs w:val="24"/>
          <w:highlight w:val="none"/>
        </w:rPr>
        <w:t>故障率考核计算公式为：当年由于产品质量导致温控器故障数量/本项目共投入使用温控器的总数≤1%</w:t>
      </w:r>
      <w:r>
        <w:rPr>
          <w:rFonts w:hint="eastAsia" w:ascii="宋体" w:hAnsi="宋体" w:eastAsia="宋体" w:cs="宋体"/>
          <w:bCs/>
          <w:color w:val="000000"/>
          <w:sz w:val="24"/>
          <w:szCs w:val="24"/>
          <w:highlight w:val="none"/>
          <w:lang w:eastAsia="zh-CN"/>
        </w:rPr>
        <w:t>。</w:t>
      </w:r>
    </w:p>
    <w:p>
      <w:pPr>
        <w:pStyle w:val="28"/>
        <w:spacing w:before="120" w:beforeLines="50" w:after="120" w:afterLines="50" w:line="360" w:lineRule="auto"/>
        <w:ind w:firstLine="480"/>
        <w:rPr>
          <w:rFonts w:cs="Arial" w:asciiTheme="minorEastAsia" w:hAnsiTheme="minorEastAsia"/>
          <w:sz w:val="24"/>
          <w:szCs w:val="24"/>
          <w:highlight w:val="none"/>
        </w:rPr>
      </w:pPr>
    </w:p>
    <w:p>
      <w:pPr>
        <w:pStyle w:val="28"/>
        <w:numPr>
          <w:ilvl w:val="0"/>
          <w:numId w:val="1"/>
        </w:numPr>
        <w:tabs>
          <w:tab w:val="left" w:pos="540"/>
          <w:tab w:val="left" w:pos="720"/>
        </w:tabs>
        <w:spacing w:before="120" w:beforeLines="50" w:after="120" w:afterLines="50" w:line="360" w:lineRule="auto"/>
        <w:ind w:left="0" w:firstLine="482"/>
        <w:rPr>
          <w:rFonts w:cs="Arial" w:asciiTheme="minorEastAsia" w:hAnsiTheme="minorEastAsia"/>
          <w:sz w:val="24"/>
          <w:szCs w:val="24"/>
          <w:highlight w:val="none"/>
        </w:rPr>
      </w:pPr>
      <w:r>
        <w:rPr>
          <w:rFonts w:hint="eastAsia" w:asciiTheme="minorEastAsia" w:hAnsiTheme="minorEastAsia"/>
          <w:b/>
          <w:sz w:val="24"/>
          <w:szCs w:val="24"/>
          <w:highlight w:val="none"/>
          <w:lang w:val="en-US" w:eastAsia="zh-CN"/>
        </w:rPr>
        <w:t>工期要求、</w:t>
      </w:r>
      <w:r>
        <w:rPr>
          <w:rFonts w:hint="eastAsia" w:asciiTheme="minorEastAsia" w:hAnsiTheme="minorEastAsia" w:eastAsiaTheme="minorEastAsia" w:cstheme="minorBidi"/>
          <w:b/>
          <w:sz w:val="24"/>
          <w:szCs w:val="24"/>
          <w:highlight w:val="none"/>
        </w:rPr>
        <w:t>项目质量要求、验收标准</w:t>
      </w:r>
      <w:r>
        <w:rPr>
          <w:rFonts w:hint="eastAsia" w:asciiTheme="minorEastAsia" w:hAnsiTheme="minorEastAsia" w:cstheme="minorBidi"/>
          <w:b/>
          <w:sz w:val="24"/>
          <w:szCs w:val="24"/>
          <w:highlight w:val="none"/>
          <w:lang w:val="en-US" w:eastAsia="zh-CN"/>
        </w:rPr>
        <w:t>及</w:t>
      </w:r>
      <w:r>
        <w:rPr>
          <w:rFonts w:hint="eastAsia" w:asciiTheme="minorEastAsia" w:hAnsiTheme="minorEastAsia"/>
          <w:b/>
          <w:sz w:val="24"/>
          <w:szCs w:val="24"/>
          <w:highlight w:val="none"/>
          <w:lang w:val="en-US" w:eastAsia="zh-CN"/>
        </w:rPr>
        <w:t>质保期</w:t>
      </w:r>
    </w:p>
    <w:p>
      <w:pPr>
        <w:pStyle w:val="28"/>
        <w:spacing w:before="120" w:beforeLines="50" w:after="120" w:afterLines="50" w:line="360" w:lineRule="auto"/>
        <w:ind w:left="840" w:firstLine="0" w:firstLineChars="0"/>
        <w:rPr>
          <w:rFonts w:hint="eastAsia" w:cs="Arial" w:asciiTheme="minorEastAsia" w:hAnsiTheme="minorEastAsia"/>
          <w:color w:val="auto"/>
          <w:sz w:val="24"/>
          <w:szCs w:val="24"/>
          <w:highlight w:val="cyan"/>
        </w:rPr>
      </w:pPr>
      <w:r>
        <w:rPr>
          <w:rFonts w:hint="eastAsia" w:cs="Arial" w:asciiTheme="minorEastAsia" w:hAnsiTheme="minorEastAsia"/>
          <w:color w:val="auto"/>
          <w:sz w:val="24"/>
          <w:szCs w:val="24"/>
          <w:highlight w:val="none"/>
          <w:lang w:val="en-US" w:eastAsia="zh-CN"/>
        </w:rPr>
        <w:t>5.1. 合同签订后，中标方应在 60个自然天内完成本项目的采购需求，且系统能达到《新型物联网中央空调计时型温控器研发应用示范技术方案》中所述要求。</w:t>
      </w:r>
    </w:p>
    <w:p>
      <w:pPr>
        <w:spacing w:line="360" w:lineRule="auto"/>
        <w:ind w:left="360" w:firstLine="480" w:firstLineChars="200"/>
        <w:rPr>
          <w:rFonts w:ascii="宋体" w:hAnsi="宋体" w:eastAsia="宋体" w:cs="宋体"/>
          <w:sz w:val="28"/>
          <w:szCs w:val="28"/>
          <w:highlight w:val="none"/>
        </w:rPr>
      </w:pPr>
      <w:r>
        <w:rPr>
          <w:rFonts w:hint="eastAsia" w:cs="Arial" w:asciiTheme="minorEastAsia" w:hAnsiTheme="minorEastAsia"/>
          <w:sz w:val="24"/>
          <w:szCs w:val="24"/>
          <w:highlight w:val="none"/>
          <w:lang w:val="en-US" w:eastAsia="zh-CN"/>
        </w:rPr>
        <w:t>5.2.</w:t>
      </w:r>
      <w:r>
        <w:rPr>
          <w:rFonts w:hint="eastAsia" w:ascii="宋体" w:hAnsi="宋体" w:eastAsia="宋体" w:cs="宋体"/>
          <w:sz w:val="24"/>
          <w:szCs w:val="24"/>
          <w:highlight w:val="none"/>
        </w:rPr>
        <w:t>工程质量要求和验收的参考标准</w:t>
      </w:r>
    </w:p>
    <w:p>
      <w:pPr>
        <w:pStyle w:val="28"/>
        <w:spacing w:before="120" w:beforeLines="50" w:after="120" w:afterLines="50" w:line="360" w:lineRule="auto"/>
        <w:ind w:left="840"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以《</w:t>
      </w:r>
      <w:r>
        <w:rPr>
          <w:rFonts w:hint="eastAsia" w:ascii="宋体" w:hAnsi="宋体" w:eastAsia="宋体" w:cs="宋体"/>
          <w:bCs/>
          <w:sz w:val="24"/>
          <w:szCs w:val="24"/>
          <w:highlight w:val="none"/>
        </w:rPr>
        <w:t>新型物联网中央空调计时型温控器研发应用示范技术</w:t>
      </w:r>
      <w:r>
        <w:rPr>
          <w:rFonts w:hint="eastAsia" w:ascii="宋体" w:hAnsi="宋体" w:eastAsia="宋体" w:cs="宋体"/>
          <w:sz w:val="24"/>
          <w:szCs w:val="24"/>
          <w:highlight w:val="none"/>
        </w:rPr>
        <w:t>方案》中内容为验收标准</w:t>
      </w:r>
      <w:r>
        <w:rPr>
          <w:rFonts w:hint="eastAsia" w:ascii="宋体" w:hAnsi="宋体" w:eastAsia="宋体" w:cs="宋体"/>
          <w:sz w:val="24"/>
          <w:szCs w:val="24"/>
          <w:highlight w:val="none"/>
          <w:lang w:eastAsia="zh-CN"/>
        </w:rPr>
        <w:t>。</w:t>
      </w:r>
    </w:p>
    <w:p>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5.3.</w:t>
      </w:r>
      <w:r>
        <w:rPr>
          <w:rFonts w:hint="eastAsia" w:ascii="宋体" w:hAnsi="宋体" w:eastAsia="宋体" w:cs="宋体"/>
          <w:sz w:val="24"/>
          <w:szCs w:val="24"/>
          <w:highlight w:val="none"/>
        </w:rPr>
        <w:t>工程验收的方式</w:t>
      </w:r>
    </w:p>
    <w:p>
      <w:pPr>
        <w:spacing w:before="120" w:beforeLines="50" w:after="120" w:afterLines="50" w:line="360" w:lineRule="auto"/>
        <w:ind w:left="36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现场测试验收</w:t>
      </w:r>
      <w:r>
        <w:rPr>
          <w:rFonts w:hint="eastAsia" w:ascii="宋体" w:hAnsi="宋体" w:eastAsia="宋体" w:cs="宋体"/>
          <w:sz w:val="24"/>
          <w:szCs w:val="24"/>
          <w:highlight w:val="none"/>
          <w:lang w:eastAsia="zh-CN"/>
        </w:rPr>
        <w:t>。</w:t>
      </w:r>
    </w:p>
    <w:p>
      <w:pPr>
        <w:pStyle w:val="28"/>
        <w:spacing w:before="120" w:beforeLines="50" w:after="120" w:afterLines="50" w:line="360" w:lineRule="auto"/>
        <w:ind w:left="840" w:firstLine="0" w:firstLineChars="0"/>
        <w:rPr>
          <w:rFonts w:hint="default" w:cs="Arial" w:asciiTheme="minorEastAsia" w:hAnsiTheme="minorEastAsia" w:eastAsiaTheme="minorEastAsia"/>
          <w:sz w:val="24"/>
          <w:szCs w:val="24"/>
          <w:highlight w:val="none"/>
          <w:lang w:val="en-US" w:eastAsia="zh-CN"/>
        </w:rPr>
      </w:pPr>
      <w:r>
        <w:rPr>
          <w:rFonts w:hint="eastAsia" w:cs="Arial" w:asciiTheme="minorEastAsia" w:hAnsiTheme="minorEastAsia"/>
          <w:sz w:val="24"/>
          <w:szCs w:val="24"/>
          <w:highlight w:val="none"/>
          <w:lang w:val="en-US" w:eastAsia="zh-CN"/>
        </w:rPr>
        <w:t xml:space="preserve">5.4. </w:t>
      </w:r>
      <w:r>
        <w:rPr>
          <w:rFonts w:hint="eastAsia" w:cs="Arial" w:asciiTheme="minorEastAsia" w:hAnsiTheme="minorEastAsia" w:eastAsiaTheme="minorEastAsia"/>
          <w:sz w:val="24"/>
          <w:szCs w:val="24"/>
          <w:highlight w:val="none"/>
        </w:rPr>
        <w:t>质保期3年，期限为验收合格之日起计。质保期内故障表由采购方负责拆下并邮寄到中标方进行更换或维修，来回运费由中标方负责，修复或更换的新温控器需10日内寄回采购方，时间戳点以收货时间为准。系统验收投入正式运行后，当出现一般错误性故障，供方工程师提供相应的电话指导，在电话指导下需方技术人员仍无法解决的问题时，供方技术人员必须按照需方要求24小时内免费提供现场服务排除故障；若供方在24小时内仍未解决，供方保证在48小时内提供相应的备份方案/设备，否则需方有权另请他人解决，费用由供方负担。</w:t>
      </w:r>
    </w:p>
    <w:p>
      <w:pPr>
        <w:pStyle w:val="28"/>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highlight w:val="none"/>
        </w:rPr>
      </w:pPr>
      <w:r>
        <w:rPr>
          <w:rFonts w:hint="eastAsia" w:asciiTheme="minorEastAsia" w:hAnsiTheme="minorEastAsia"/>
          <w:b/>
          <w:sz w:val="24"/>
          <w:szCs w:val="24"/>
          <w:highlight w:val="none"/>
        </w:rPr>
        <w:t>费用及支付方式</w:t>
      </w:r>
    </w:p>
    <w:p>
      <w:pPr>
        <w:pStyle w:val="28"/>
        <w:numPr>
          <w:ilvl w:val="-1"/>
          <w:numId w:val="0"/>
        </w:numPr>
        <w:spacing w:before="120" w:beforeLines="50" w:after="120" w:afterLines="50" w:line="360" w:lineRule="auto"/>
        <w:ind w:left="420" w:leftChars="200" w:firstLine="0" w:firstLineChars="0"/>
        <w:rPr>
          <w:rFonts w:cs="Arial" w:asciiTheme="minorEastAsia" w:hAnsiTheme="minorEastAsia"/>
          <w:sz w:val="24"/>
          <w:szCs w:val="24"/>
          <w:highlight w:val="none"/>
        </w:rPr>
      </w:pPr>
      <w:r>
        <w:rPr>
          <w:rFonts w:hint="eastAsia" w:cs="Arial" w:asciiTheme="minorEastAsia" w:hAnsiTheme="minorEastAsia"/>
          <w:sz w:val="24"/>
          <w:szCs w:val="24"/>
          <w:highlight w:val="none"/>
          <w:lang w:val="en-US" w:eastAsia="zh-CN"/>
        </w:rPr>
        <w:t>6.1.</w:t>
      </w:r>
      <w:r>
        <w:rPr>
          <w:rFonts w:cs="Arial" w:asciiTheme="minorEastAsia" w:hAnsiTheme="minorEastAsia"/>
          <w:sz w:val="24"/>
          <w:szCs w:val="24"/>
          <w:highlight w:val="none"/>
        </w:rPr>
        <w:t>本</w:t>
      </w:r>
      <w:r>
        <w:rPr>
          <w:rFonts w:hint="eastAsia" w:cs="Arial" w:asciiTheme="minorEastAsia" w:hAnsiTheme="minorEastAsia"/>
          <w:sz w:val="24"/>
          <w:szCs w:val="24"/>
          <w:highlight w:val="none"/>
        </w:rPr>
        <w:t>项目</w:t>
      </w:r>
      <w:r>
        <w:rPr>
          <w:rFonts w:cs="Arial" w:asciiTheme="minorEastAsia" w:hAnsiTheme="minorEastAsia"/>
          <w:sz w:val="24"/>
          <w:szCs w:val="24"/>
          <w:highlight w:val="none"/>
        </w:rPr>
        <w:t>采用</w:t>
      </w:r>
      <w:r>
        <w:rPr>
          <w:rFonts w:hint="eastAsia" w:cs="Arial" w:asciiTheme="minorEastAsia" w:hAnsiTheme="minorEastAsia"/>
          <w:sz w:val="24"/>
          <w:szCs w:val="24"/>
          <w:highlight w:val="none"/>
        </w:rPr>
        <w:t>总价</w:t>
      </w:r>
      <w:r>
        <w:rPr>
          <w:rFonts w:cs="Arial" w:asciiTheme="minorEastAsia" w:hAnsiTheme="minorEastAsia"/>
          <w:sz w:val="24"/>
          <w:szCs w:val="24"/>
          <w:highlight w:val="none"/>
        </w:rPr>
        <w:t>包干</w:t>
      </w:r>
      <w:r>
        <w:rPr>
          <w:rFonts w:hint="eastAsia" w:cs="Arial" w:asciiTheme="minorEastAsia" w:hAnsiTheme="minorEastAsia"/>
          <w:sz w:val="24"/>
          <w:szCs w:val="24"/>
          <w:highlight w:val="none"/>
        </w:rPr>
        <w:t>方式承包。投标总价应包括了投标人完成本合同约定内容、质量、标准提供维护保养服务所需的人工费、交通费、餐费、工具、利润、管理费、税费等供方履行本合同的所需全部费用和合理的利润。包括但不限于人工费用、行政费用、物耗费用、劳保用品费用、工器具费用、交通费、管理费、利润和税金等各项费用，以及承担本合同明示或暗示的所有风险责任和义务所发生的一切费用。该价款已包括按实际现状实现合同目的所须达到质量标准的全部费用，如有漏报，视为投标人已将相关费用计进其他项目中或属于投标人单方面作出的让利，如若中标，采购人不另行增加费用。价格含有效的增值税专用发票。</w:t>
      </w:r>
    </w:p>
    <w:p>
      <w:pPr>
        <w:pStyle w:val="28"/>
        <w:numPr>
          <w:ilvl w:val="-1"/>
          <w:numId w:val="0"/>
        </w:numPr>
        <w:spacing w:before="120" w:beforeLines="50" w:after="120" w:afterLines="50" w:line="360" w:lineRule="auto"/>
        <w:ind w:left="420" w:leftChars="200" w:firstLine="0" w:firstLineChars="0"/>
        <w:rPr>
          <w:rFonts w:cs="Arial" w:asciiTheme="minorEastAsia" w:hAnsiTheme="minorEastAsia"/>
          <w:sz w:val="24"/>
          <w:szCs w:val="24"/>
          <w:highlight w:val="none"/>
        </w:rPr>
      </w:pPr>
      <w:r>
        <w:rPr>
          <w:rFonts w:hint="eastAsia" w:cs="Arial" w:asciiTheme="minorEastAsia" w:hAnsiTheme="minorEastAsia"/>
          <w:sz w:val="24"/>
          <w:szCs w:val="24"/>
          <w:highlight w:val="none"/>
          <w:lang w:val="en-US" w:eastAsia="zh-CN"/>
        </w:rPr>
        <w:t>6.2.</w:t>
      </w:r>
      <w:r>
        <w:rPr>
          <w:rFonts w:hint="eastAsia" w:cs="Arial" w:asciiTheme="minorEastAsia" w:hAnsiTheme="minorEastAsia"/>
          <w:sz w:val="24"/>
          <w:szCs w:val="24"/>
          <w:highlight w:val="none"/>
        </w:rPr>
        <w:t>支付方式</w:t>
      </w:r>
    </w:p>
    <w:p>
      <w:pPr>
        <w:pStyle w:val="28"/>
        <w:numPr>
          <w:ilvl w:val="-1"/>
          <w:numId w:val="0"/>
        </w:numPr>
        <w:spacing w:before="50" w:after="50" w:line="360" w:lineRule="auto"/>
        <w:ind w:left="420" w:leftChars="200" w:firstLine="0" w:firstLineChars="0"/>
        <w:rPr>
          <w:rFonts w:cs="Arial" w:asciiTheme="minorEastAsia" w:hAnsiTheme="minorEastAsia"/>
          <w:sz w:val="24"/>
          <w:szCs w:val="24"/>
          <w:highlight w:val="none"/>
        </w:rPr>
      </w:pPr>
      <w:bookmarkStart w:id="1" w:name="_Toc46308684"/>
      <w:bookmarkStart w:id="2" w:name="_Toc46308528"/>
      <w:bookmarkStart w:id="3" w:name="_Toc37331039"/>
      <w:bookmarkStart w:id="4" w:name="_Toc37663392"/>
      <w:bookmarkStart w:id="5" w:name="_Toc40762371"/>
      <w:bookmarkStart w:id="6" w:name="_Toc37581421"/>
      <w:bookmarkStart w:id="7" w:name="_Toc37569520"/>
      <w:bookmarkStart w:id="8" w:name="_Toc37331081"/>
      <w:r>
        <w:rPr>
          <w:rFonts w:hint="eastAsia" w:cs="Arial" w:asciiTheme="minorEastAsia" w:hAnsiTheme="minorEastAsia"/>
          <w:sz w:val="24"/>
          <w:szCs w:val="24"/>
          <w:highlight w:val="none"/>
          <w:lang w:val="en-US" w:eastAsia="zh-CN"/>
        </w:rPr>
        <w:t>6.2.1.</w:t>
      </w:r>
      <w:r>
        <w:rPr>
          <w:rFonts w:hint="eastAsia" w:cs="Arial" w:asciiTheme="minorEastAsia" w:hAnsiTheme="minorEastAsia"/>
          <w:sz w:val="24"/>
          <w:szCs w:val="24"/>
          <w:highlight w:val="none"/>
        </w:rPr>
        <w:t>在本合同履行期内，若国家税费调整，合同含税金额按国家规定税率作出相应调整，供方每次申请付款应按照合同内容开具相应税率的合法有效的增值税专用发票。</w:t>
      </w:r>
    </w:p>
    <w:p>
      <w:pPr>
        <w:numPr>
          <w:ilvl w:val="-1"/>
          <w:numId w:val="0"/>
        </w:numPr>
        <w:spacing w:beforeLines="50" w:afterLines="50" w:line="360" w:lineRule="auto"/>
        <w:ind w:left="420" w:leftChars="200" w:firstLine="0" w:firstLineChars="0"/>
        <w:rPr>
          <w:rFonts w:ascii="宋体" w:hAnsi="宋体" w:cs="Arial"/>
          <w:color w:val="000000"/>
          <w:sz w:val="24"/>
          <w:highlight w:val="none"/>
        </w:rPr>
      </w:pPr>
      <w:r>
        <w:rPr>
          <w:rFonts w:hint="eastAsia" w:ascii="宋体" w:hAnsi="宋体" w:cs="Arial"/>
          <w:color w:val="000000"/>
          <w:sz w:val="24"/>
          <w:highlight w:val="none"/>
          <w:lang w:val="en-US" w:eastAsia="zh-CN"/>
        </w:rPr>
        <w:t>6.2.2.</w:t>
      </w:r>
      <w:r>
        <w:rPr>
          <w:rFonts w:hint="eastAsia" w:ascii="宋体" w:hAnsi="宋体" w:cs="Arial"/>
          <w:color w:val="000000"/>
          <w:sz w:val="24"/>
          <w:highlight w:val="none"/>
        </w:rPr>
        <w:t>合同付款按完成进度支付，具体为：</w:t>
      </w:r>
    </w:p>
    <w:p>
      <w:pPr>
        <w:pStyle w:val="28"/>
        <w:numPr>
          <w:ilvl w:val="-1"/>
          <w:numId w:val="0"/>
        </w:numPr>
        <w:spacing w:beforeLines="50" w:afterLines="50" w:line="360" w:lineRule="auto"/>
        <w:ind w:left="0" w:firstLine="0" w:firstLineChars="0"/>
        <w:rPr>
          <w:rFonts w:ascii="宋体" w:hAnsi="宋体" w:cs="Arial"/>
          <w:color w:val="auto"/>
          <w:sz w:val="24"/>
          <w:highlight w:val="none"/>
        </w:rPr>
      </w:pPr>
      <w:r>
        <w:rPr>
          <w:rFonts w:hint="eastAsia" w:cs="Arial" w:asciiTheme="minorEastAsia" w:hAnsiTheme="minorEastAsia"/>
          <w:sz w:val="24"/>
          <w:szCs w:val="24"/>
          <w:highlight w:val="none"/>
          <w:lang w:val="en-US" w:eastAsia="zh-CN"/>
        </w:rPr>
        <w:t>6.2.2.1.</w:t>
      </w:r>
      <w:r>
        <w:rPr>
          <w:rFonts w:hint="eastAsia" w:cs="Arial" w:asciiTheme="minorEastAsia" w:hAnsiTheme="minorEastAsia" w:eastAsiaTheme="minorEastAsia"/>
          <w:sz w:val="24"/>
          <w:szCs w:val="24"/>
          <w:highlight w:val="none"/>
        </w:rPr>
        <w:t>合同签订后，甲方收到乙方请款资料后15个工作日内支付合同价的20%</w:t>
      </w:r>
      <w:r>
        <w:rPr>
          <w:rFonts w:hint="eastAsia" w:cs="Arial" w:asciiTheme="minorEastAsia" w:hAnsiTheme="minorEastAsia"/>
          <w:sz w:val="24"/>
          <w:szCs w:val="24"/>
          <w:highlight w:val="none"/>
          <w:lang w:val="en-US" w:eastAsia="zh-CN"/>
        </w:rPr>
        <w:t>作为预付款；</w:t>
      </w:r>
    </w:p>
    <w:p>
      <w:pPr>
        <w:pStyle w:val="28"/>
        <w:numPr>
          <w:ilvl w:val="-1"/>
          <w:numId w:val="0"/>
        </w:numPr>
        <w:spacing w:beforeLines="50" w:afterLines="50" w:line="360" w:lineRule="auto"/>
        <w:ind w:left="0" w:firstLine="0" w:firstLineChars="0"/>
        <w:rPr>
          <w:rFonts w:ascii="宋体" w:hAnsi="宋体" w:cs="Arial"/>
          <w:color w:val="auto"/>
          <w:sz w:val="24"/>
          <w:highlight w:val="none"/>
        </w:rPr>
      </w:pPr>
      <w:r>
        <w:rPr>
          <w:rFonts w:hint="eastAsia" w:cs="Arial" w:asciiTheme="minorEastAsia" w:hAnsiTheme="minorEastAsia"/>
          <w:sz w:val="24"/>
          <w:szCs w:val="24"/>
          <w:highlight w:val="none"/>
          <w:lang w:val="en-US" w:eastAsia="zh-CN"/>
        </w:rPr>
        <w:t>6.2.2.2.</w:t>
      </w:r>
      <w:r>
        <w:rPr>
          <w:rFonts w:hint="eastAsia" w:ascii="宋体" w:hAnsi="宋体" w:cs="Arial"/>
          <w:color w:val="auto"/>
          <w:sz w:val="24"/>
          <w:highlight w:val="none"/>
          <w:lang w:val="en-US" w:eastAsia="zh-CN"/>
        </w:rPr>
        <w:t>乙方完成新型物联网中央空调计时型温控器硬件开发，提供硬件开发的相关资料，与软件平台完成对接，提供一台符合要求的新型物联网中央空调计时器温控器样机，经甲方审核通过后</w:t>
      </w:r>
      <w:r>
        <w:rPr>
          <w:rFonts w:hint="eastAsia" w:ascii="宋体" w:hAnsi="宋体" w:cs="Arial"/>
          <w:color w:val="auto"/>
          <w:sz w:val="24"/>
          <w:highlight w:val="none"/>
        </w:rPr>
        <w:t>，甲方收到乙方请款资料后15个工作日内支付</w:t>
      </w:r>
      <w:r>
        <w:rPr>
          <w:rFonts w:hint="eastAsia" w:ascii="宋体" w:hAnsi="宋体" w:cs="Arial"/>
          <w:color w:val="auto"/>
          <w:sz w:val="24"/>
          <w:highlight w:val="none"/>
          <w:lang w:val="en-US" w:eastAsia="zh-CN"/>
        </w:rPr>
        <w:t>至</w:t>
      </w:r>
      <w:r>
        <w:rPr>
          <w:rFonts w:hint="eastAsia" w:ascii="宋体" w:hAnsi="宋体" w:cs="Arial"/>
          <w:color w:val="auto"/>
          <w:sz w:val="24"/>
          <w:highlight w:val="none"/>
        </w:rPr>
        <w:t>合同总价的</w:t>
      </w:r>
      <w:r>
        <w:rPr>
          <w:rFonts w:hint="eastAsia" w:ascii="宋体" w:hAnsi="宋体" w:cs="Arial"/>
          <w:color w:val="auto"/>
          <w:sz w:val="24"/>
          <w:highlight w:val="none"/>
          <w:lang w:val="en-US" w:eastAsia="zh-CN"/>
        </w:rPr>
        <w:t>60</w:t>
      </w:r>
      <w:r>
        <w:rPr>
          <w:rFonts w:hint="eastAsia" w:ascii="宋体" w:hAnsi="宋体" w:cs="Arial"/>
          <w:color w:val="auto"/>
          <w:sz w:val="24"/>
          <w:highlight w:val="none"/>
        </w:rPr>
        <w:t>%。</w:t>
      </w:r>
    </w:p>
    <w:p>
      <w:pPr>
        <w:pStyle w:val="28"/>
        <w:numPr>
          <w:ilvl w:val="-1"/>
          <w:numId w:val="0"/>
        </w:numPr>
        <w:spacing w:beforeLines="50" w:afterLines="50" w:line="360" w:lineRule="auto"/>
        <w:ind w:left="0" w:firstLine="0" w:firstLineChars="0"/>
        <w:rPr>
          <w:rFonts w:ascii="宋体" w:hAnsi="宋体" w:cs="Arial"/>
          <w:color w:val="auto"/>
          <w:sz w:val="24"/>
          <w:highlight w:val="none"/>
        </w:rPr>
      </w:pPr>
      <w:r>
        <w:rPr>
          <w:rFonts w:hint="eastAsia" w:cs="Arial" w:asciiTheme="minorEastAsia" w:hAnsiTheme="minorEastAsia"/>
          <w:sz w:val="24"/>
          <w:szCs w:val="24"/>
          <w:highlight w:val="none"/>
          <w:lang w:val="en-US" w:eastAsia="zh-CN"/>
        </w:rPr>
        <w:t>6.2.2.3.</w:t>
      </w:r>
      <w:r>
        <w:rPr>
          <w:rFonts w:hint="eastAsia" w:ascii="宋体" w:hAnsi="宋体" w:cs="Arial"/>
          <w:color w:val="auto"/>
          <w:sz w:val="24"/>
          <w:highlight w:val="none"/>
          <w:lang w:val="en-US" w:eastAsia="zh-CN"/>
        </w:rPr>
        <w:t>乙方根据甲方确认的样机，完成生产制造500台符合要求的新型物联网中央空调计时器温控器，并配合甲方提供技术支持，在甲方完成安装测试后，</w:t>
      </w:r>
      <w:r>
        <w:rPr>
          <w:rFonts w:hint="eastAsia" w:ascii="宋体" w:hAnsi="宋体" w:cs="Arial"/>
          <w:color w:val="auto"/>
          <w:sz w:val="24"/>
          <w:highlight w:val="none"/>
        </w:rPr>
        <w:t>甲方收到乙方请款资料后15个工作日内支付</w:t>
      </w:r>
      <w:r>
        <w:rPr>
          <w:rFonts w:hint="eastAsia" w:ascii="宋体" w:hAnsi="宋体" w:cs="Arial"/>
          <w:color w:val="auto"/>
          <w:sz w:val="24"/>
          <w:highlight w:val="none"/>
          <w:lang w:val="en-US" w:eastAsia="zh-CN"/>
        </w:rPr>
        <w:t>至</w:t>
      </w:r>
      <w:r>
        <w:rPr>
          <w:rFonts w:hint="eastAsia" w:ascii="宋体" w:hAnsi="宋体" w:cs="Arial"/>
          <w:color w:val="auto"/>
          <w:sz w:val="24"/>
          <w:highlight w:val="none"/>
        </w:rPr>
        <w:t>合同总价的</w:t>
      </w:r>
      <w:r>
        <w:rPr>
          <w:rFonts w:hint="eastAsia" w:ascii="宋体" w:hAnsi="宋体" w:cs="Arial"/>
          <w:color w:val="auto"/>
          <w:sz w:val="24"/>
          <w:highlight w:val="none"/>
          <w:lang w:val="en-US" w:eastAsia="zh-CN"/>
        </w:rPr>
        <w:t>95%</w:t>
      </w:r>
      <w:r>
        <w:rPr>
          <w:rFonts w:hint="eastAsia" w:ascii="宋体" w:hAnsi="宋体" w:cs="Arial"/>
          <w:color w:val="auto"/>
          <w:sz w:val="24"/>
          <w:highlight w:val="none"/>
          <w:lang w:eastAsia="zh-CN"/>
        </w:rPr>
        <w:t>。</w:t>
      </w:r>
    </w:p>
    <w:p>
      <w:pPr>
        <w:pStyle w:val="28"/>
        <w:numPr>
          <w:ilvl w:val="-1"/>
          <w:numId w:val="0"/>
        </w:numPr>
        <w:spacing w:beforeLines="50" w:afterLines="50" w:line="360" w:lineRule="auto"/>
        <w:ind w:left="0" w:firstLine="0" w:firstLineChars="0"/>
        <w:rPr>
          <w:rFonts w:ascii="宋体" w:hAnsi="宋体" w:cs="Arial"/>
          <w:color w:val="auto"/>
          <w:sz w:val="24"/>
          <w:highlight w:val="none"/>
        </w:rPr>
      </w:pPr>
      <w:r>
        <w:rPr>
          <w:rFonts w:hint="eastAsia" w:cs="Arial" w:asciiTheme="minorEastAsia" w:hAnsiTheme="minorEastAsia"/>
          <w:sz w:val="24"/>
          <w:szCs w:val="24"/>
          <w:highlight w:val="none"/>
          <w:lang w:val="en-US" w:eastAsia="zh-CN"/>
        </w:rPr>
        <w:t>6.2.2.4.</w:t>
      </w:r>
      <w:r>
        <w:rPr>
          <w:rFonts w:hint="eastAsia" w:ascii="宋体" w:hAnsi="宋体"/>
          <w:sz w:val="24"/>
          <w:highlight w:val="none"/>
        </w:rPr>
        <w:t>质保期期满且乙方质保期义务按要求履行完毕后，甲方收到乙方请款资料后15个工作日内付清余款（不计利息）</w:t>
      </w:r>
      <w:r>
        <w:rPr>
          <w:rFonts w:hint="eastAsia" w:ascii="宋体" w:hAnsi="宋体"/>
          <w:sz w:val="24"/>
          <w:highlight w:val="none"/>
          <w:lang w:eastAsia="zh-CN"/>
        </w:rPr>
        <w:t>。</w:t>
      </w:r>
    </w:p>
    <w:p>
      <w:pPr>
        <w:pStyle w:val="28"/>
        <w:numPr>
          <w:ilvl w:val="-1"/>
          <w:numId w:val="0"/>
        </w:numPr>
        <w:spacing w:beforeLines="50" w:afterLines="50" w:line="360" w:lineRule="auto"/>
        <w:ind w:left="0" w:firstLine="0" w:firstLineChars="0"/>
        <w:rPr>
          <w:rFonts w:ascii="宋体" w:hAnsi="宋体" w:cs="Arial"/>
          <w:color w:val="000000"/>
          <w:sz w:val="24"/>
          <w:highlight w:val="none"/>
        </w:rPr>
      </w:pPr>
      <w:r>
        <w:rPr>
          <w:rFonts w:hint="eastAsia" w:cs="Arial" w:asciiTheme="minorEastAsia" w:hAnsiTheme="minorEastAsia"/>
          <w:sz w:val="24"/>
          <w:szCs w:val="24"/>
          <w:highlight w:val="none"/>
          <w:lang w:val="en-US" w:eastAsia="zh-CN"/>
        </w:rPr>
        <w:t>6.2.2.5.</w:t>
      </w:r>
      <w:r>
        <w:rPr>
          <w:rFonts w:hint="eastAsia" w:ascii="宋体" w:hAnsi="宋体" w:cs="Arial"/>
          <w:color w:val="000000"/>
          <w:sz w:val="24"/>
          <w:highlight w:val="none"/>
        </w:rPr>
        <w:t>每次付款前乙方开具符合国家税务规定的等额合格的增值税专用发票给甲方。乙方晚于付款期限提供的，甲方付款期限相应顺延。</w:t>
      </w:r>
    </w:p>
    <w:bookmarkEnd w:id="1"/>
    <w:bookmarkEnd w:id="2"/>
    <w:bookmarkEnd w:id="3"/>
    <w:bookmarkEnd w:id="4"/>
    <w:bookmarkEnd w:id="5"/>
    <w:bookmarkEnd w:id="6"/>
    <w:bookmarkEnd w:id="7"/>
    <w:bookmarkEnd w:id="8"/>
    <w:p>
      <w:pPr>
        <w:pStyle w:val="28"/>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highlight w:val="none"/>
        </w:rPr>
      </w:pPr>
      <w:r>
        <w:rPr>
          <w:rFonts w:hint="eastAsia" w:asciiTheme="minorEastAsia" w:hAnsiTheme="minorEastAsia"/>
          <w:b/>
          <w:sz w:val="24"/>
          <w:szCs w:val="24"/>
          <w:highlight w:val="none"/>
        </w:rPr>
        <w:t>投标文件</w:t>
      </w:r>
    </w:p>
    <w:p>
      <w:pPr>
        <w:pStyle w:val="28"/>
        <w:spacing w:before="120" w:beforeLines="50" w:after="120" w:afterLines="50" w:line="360" w:lineRule="auto"/>
        <w:ind w:firstLine="480"/>
        <w:rPr>
          <w:rFonts w:asciiTheme="minorEastAsia" w:hAnsiTheme="minorEastAsia"/>
          <w:sz w:val="24"/>
          <w:szCs w:val="24"/>
          <w:highlight w:val="none"/>
        </w:rPr>
      </w:pPr>
      <w:r>
        <w:rPr>
          <w:rFonts w:hint="eastAsia" w:asciiTheme="minorEastAsia" w:hAnsiTheme="minorEastAsia"/>
          <w:sz w:val="24"/>
          <w:szCs w:val="24"/>
          <w:highlight w:val="none"/>
        </w:rPr>
        <w:t>根据需方要求的投标文件格式，进行密封报价（盖章）。投标文件应包含以下内容：</w:t>
      </w:r>
    </w:p>
    <w:p>
      <w:pPr>
        <w:pStyle w:val="28"/>
        <w:numPr>
          <w:ilvl w:val="-1"/>
          <w:numId w:val="0"/>
        </w:numPr>
        <w:spacing w:before="120" w:beforeLines="50" w:after="120" w:afterLines="50" w:line="360" w:lineRule="auto"/>
        <w:ind w:left="420" w:leftChars="200" w:firstLine="0" w:firstLineChars="0"/>
        <w:rPr>
          <w:rFonts w:asciiTheme="minorEastAsia" w:hAnsiTheme="minorEastAsia"/>
          <w:sz w:val="24"/>
          <w:szCs w:val="24"/>
          <w:highlight w:val="none"/>
        </w:rPr>
      </w:pPr>
      <w:r>
        <w:rPr>
          <w:rFonts w:hint="eastAsia" w:asciiTheme="minorEastAsia" w:hAnsiTheme="minorEastAsia"/>
          <w:sz w:val="24"/>
          <w:szCs w:val="24"/>
          <w:highlight w:val="none"/>
          <w:lang w:val="en-US" w:eastAsia="zh-CN"/>
        </w:rPr>
        <w:t xml:space="preserve">7.1. </w:t>
      </w:r>
      <w:r>
        <w:rPr>
          <w:rFonts w:hint="eastAsia" w:asciiTheme="minorEastAsia" w:hAnsiTheme="minorEastAsia"/>
          <w:sz w:val="24"/>
          <w:szCs w:val="24"/>
          <w:highlight w:val="none"/>
        </w:rPr>
        <w:t>技术</w:t>
      </w:r>
      <w:r>
        <w:rPr>
          <w:rFonts w:hint="eastAsia" w:cs="Arial" w:asciiTheme="minorEastAsia" w:hAnsiTheme="minorEastAsia"/>
          <w:sz w:val="24"/>
          <w:szCs w:val="24"/>
          <w:highlight w:val="none"/>
        </w:rPr>
        <w:t>部分</w:t>
      </w:r>
      <w:r>
        <w:rPr>
          <w:rFonts w:hint="eastAsia" w:asciiTheme="minorEastAsia" w:hAnsiTheme="minorEastAsia"/>
          <w:sz w:val="24"/>
          <w:szCs w:val="24"/>
          <w:highlight w:val="none"/>
        </w:rPr>
        <w:t>（格式详见附件，加盖公章）</w:t>
      </w:r>
    </w:p>
    <w:p>
      <w:pPr>
        <w:pStyle w:val="28"/>
        <w:spacing w:before="120" w:beforeLines="50" w:after="120" w:afterLines="50" w:line="360" w:lineRule="auto"/>
        <w:ind w:firstLine="480"/>
        <w:rPr>
          <w:rFonts w:asciiTheme="minorEastAsia" w:hAnsiTheme="minorEastAsia"/>
          <w:sz w:val="24"/>
          <w:szCs w:val="24"/>
          <w:highlight w:val="none"/>
        </w:rPr>
      </w:pPr>
      <w:r>
        <w:rPr>
          <w:rFonts w:hint="eastAsia" w:asciiTheme="minorEastAsia" w:hAnsiTheme="minorEastAsia"/>
          <w:sz w:val="24"/>
          <w:szCs w:val="24"/>
          <w:highlight w:val="none"/>
        </w:rPr>
        <w:t>技术和服务响应方案：</w:t>
      </w:r>
      <w:r>
        <w:rPr>
          <w:rFonts w:hint="eastAsia" w:asciiTheme="minorEastAsia" w:hAnsiTheme="minorEastAsia"/>
          <w:b/>
          <w:sz w:val="24"/>
          <w:szCs w:val="24"/>
          <w:highlight w:val="none"/>
        </w:rPr>
        <w:t>供应商应充分了解服务内容，并针对本项目制定切实可行的</w:t>
      </w:r>
      <w:r>
        <w:rPr>
          <w:rFonts w:hint="eastAsia" w:asciiTheme="minorEastAsia" w:hAnsiTheme="minorEastAsia"/>
          <w:b/>
          <w:sz w:val="24"/>
          <w:szCs w:val="24"/>
          <w:highlight w:val="none"/>
          <w:u w:val="double"/>
        </w:rPr>
        <w:t>技术和服务响应方案</w:t>
      </w:r>
      <w:r>
        <w:rPr>
          <w:rFonts w:hint="eastAsia" w:asciiTheme="minorEastAsia" w:hAnsiTheme="minorEastAsia"/>
          <w:sz w:val="24"/>
          <w:szCs w:val="24"/>
          <w:highlight w:val="none"/>
        </w:rPr>
        <w:t>，包括但不限于：</w:t>
      </w:r>
    </w:p>
    <w:p>
      <w:pPr>
        <w:pStyle w:val="28"/>
        <w:numPr>
          <w:ilvl w:val="-1"/>
          <w:numId w:val="0"/>
        </w:numPr>
        <w:spacing w:before="120" w:beforeLines="50" w:after="120" w:afterLines="50" w:line="360" w:lineRule="auto"/>
        <w:ind w:left="420" w:leftChars="200" w:firstLine="0" w:firstLineChars="0"/>
        <w:rPr>
          <w:rFonts w:cs="Times New Roman" w:asciiTheme="minorEastAsia" w:hAnsiTheme="minorEastAsia"/>
          <w:sz w:val="24"/>
          <w:szCs w:val="24"/>
          <w:highlight w:val="none"/>
        </w:rPr>
      </w:pPr>
      <w:r>
        <w:rPr>
          <w:rFonts w:hint="eastAsia" w:cs="Times New Roman" w:asciiTheme="minorEastAsia" w:hAnsiTheme="minorEastAsia"/>
          <w:sz w:val="24"/>
          <w:szCs w:val="24"/>
          <w:highlight w:val="none"/>
          <w:lang w:val="en-US" w:eastAsia="zh-CN"/>
        </w:rPr>
        <w:t>7.1.1.</w:t>
      </w:r>
      <w:r>
        <w:rPr>
          <w:rFonts w:hint="eastAsia" w:ascii="宋体" w:hAnsi="宋体" w:eastAsia="宋体" w:cs="宋体"/>
          <w:sz w:val="24"/>
          <w:szCs w:val="24"/>
          <w:highlight w:val="none"/>
        </w:rPr>
        <w:t>总体实施方案，包括但不限于对竞选文件的全部要求响应情况</w:t>
      </w:r>
      <w:r>
        <w:rPr>
          <w:rFonts w:hint="eastAsia" w:cs="Times New Roman" w:asciiTheme="minorEastAsia" w:hAnsiTheme="minorEastAsia"/>
          <w:sz w:val="24"/>
          <w:szCs w:val="24"/>
          <w:highlight w:val="none"/>
        </w:rPr>
        <w:t>；</w:t>
      </w:r>
    </w:p>
    <w:p>
      <w:pPr>
        <w:pStyle w:val="28"/>
        <w:numPr>
          <w:ilvl w:val="-1"/>
          <w:numId w:val="0"/>
        </w:numPr>
        <w:spacing w:before="120" w:beforeLines="50" w:after="120" w:afterLines="50" w:line="360" w:lineRule="auto"/>
        <w:ind w:left="420" w:leftChars="200" w:firstLine="0" w:firstLineChars="0"/>
        <w:rPr>
          <w:rFonts w:hint="eastAsia" w:cs="Times New Roman" w:asciiTheme="minorEastAsia" w:hAnsiTheme="minorEastAsia"/>
          <w:sz w:val="24"/>
          <w:szCs w:val="24"/>
          <w:highlight w:val="none"/>
        </w:rPr>
      </w:pPr>
      <w:r>
        <w:rPr>
          <w:rFonts w:hint="eastAsia" w:cs="Times New Roman" w:asciiTheme="minorEastAsia" w:hAnsiTheme="minorEastAsia"/>
          <w:sz w:val="24"/>
          <w:szCs w:val="24"/>
          <w:highlight w:val="none"/>
          <w:lang w:val="en-US" w:eastAsia="zh-CN"/>
        </w:rPr>
        <w:t>7.1.2.</w:t>
      </w:r>
      <w:r>
        <w:rPr>
          <w:rFonts w:hint="eastAsia" w:ascii="宋体" w:hAnsi="宋体" w:eastAsia="宋体" w:cs="宋体"/>
          <w:sz w:val="24"/>
          <w:szCs w:val="24"/>
          <w:highlight w:val="none"/>
        </w:rPr>
        <w:t>实施进度计划和工期承诺书</w:t>
      </w:r>
      <w:r>
        <w:rPr>
          <w:rFonts w:hint="eastAsia" w:cs="Times New Roman" w:asciiTheme="minorEastAsia" w:hAnsiTheme="minorEastAsia"/>
          <w:sz w:val="24"/>
          <w:szCs w:val="24"/>
          <w:highlight w:val="none"/>
        </w:rPr>
        <w:t>；</w:t>
      </w:r>
    </w:p>
    <w:p>
      <w:pPr>
        <w:pStyle w:val="28"/>
        <w:numPr>
          <w:ilvl w:val="-1"/>
          <w:numId w:val="0"/>
        </w:numPr>
        <w:spacing w:before="120" w:beforeLines="50" w:after="120" w:afterLines="50" w:line="360" w:lineRule="auto"/>
        <w:ind w:left="420" w:leftChars="200" w:firstLine="0" w:firstLineChars="0"/>
        <w:rPr>
          <w:rFonts w:hint="eastAsia" w:ascii="宋体" w:hAnsi="宋体" w:eastAsia="宋体" w:cs="宋体"/>
          <w:sz w:val="24"/>
          <w:szCs w:val="24"/>
          <w:highlight w:val="none"/>
          <w:lang w:eastAsia="zh-CN"/>
        </w:rPr>
      </w:pPr>
      <w:r>
        <w:rPr>
          <w:rFonts w:hint="eastAsia" w:eastAsia="宋体" w:cs="Times New Roman" w:asciiTheme="minorEastAsia" w:hAnsiTheme="minorEastAsia"/>
          <w:sz w:val="24"/>
          <w:szCs w:val="24"/>
          <w:highlight w:val="none"/>
          <w:lang w:val="en-US" w:eastAsia="zh-CN"/>
        </w:rPr>
        <w:t>7.1.3.</w:t>
      </w:r>
      <w:r>
        <w:rPr>
          <w:rFonts w:hint="eastAsia" w:ascii="宋体" w:hAnsi="宋体" w:eastAsia="宋体" w:cs="宋体"/>
          <w:sz w:val="24"/>
          <w:szCs w:val="24"/>
          <w:highlight w:val="none"/>
        </w:rPr>
        <w:t>拟投入项目实施的主要人员；确保实施进度的技术和组织措施</w:t>
      </w:r>
      <w:r>
        <w:rPr>
          <w:rFonts w:hint="eastAsia" w:ascii="宋体" w:hAnsi="宋体" w:eastAsia="宋体" w:cs="宋体"/>
          <w:sz w:val="24"/>
          <w:szCs w:val="24"/>
          <w:highlight w:val="none"/>
          <w:lang w:eastAsia="zh-CN"/>
        </w:rPr>
        <w:t>；</w:t>
      </w:r>
    </w:p>
    <w:p>
      <w:pPr>
        <w:pStyle w:val="28"/>
        <w:numPr>
          <w:ilvl w:val="-1"/>
          <w:numId w:val="0"/>
        </w:numPr>
        <w:spacing w:before="120" w:beforeLines="50" w:after="120" w:afterLines="50" w:line="360" w:lineRule="auto"/>
        <w:ind w:left="420" w:leftChars="200" w:firstLine="0" w:firstLineChars="0"/>
        <w:rPr>
          <w:rFonts w:cs="Times New Roman" w:asciiTheme="minorEastAsia" w:hAnsiTheme="minorEastAsia"/>
          <w:sz w:val="24"/>
          <w:szCs w:val="24"/>
          <w:highlight w:val="none"/>
        </w:rPr>
      </w:pPr>
      <w:r>
        <w:rPr>
          <w:rFonts w:hint="eastAsia" w:cs="Times New Roman" w:asciiTheme="minorEastAsia" w:hAnsiTheme="minorEastAsia"/>
          <w:sz w:val="24"/>
          <w:szCs w:val="24"/>
          <w:highlight w:val="none"/>
          <w:lang w:val="en-US" w:eastAsia="zh-CN"/>
        </w:rPr>
        <w:t>7.1.4.</w:t>
      </w:r>
      <w:r>
        <w:rPr>
          <w:rFonts w:hint="eastAsia" w:cs="Times New Roman" w:asciiTheme="minorEastAsia" w:hAnsiTheme="minorEastAsia"/>
          <w:sz w:val="24"/>
          <w:szCs w:val="24"/>
          <w:highlight w:val="none"/>
        </w:rPr>
        <w:t>售后服务方案，售后服务内容、服务方式、响应时间、联系方式等</w:t>
      </w:r>
    </w:p>
    <w:p>
      <w:pPr>
        <w:pStyle w:val="28"/>
        <w:numPr>
          <w:ilvl w:val="-1"/>
          <w:numId w:val="0"/>
        </w:numPr>
        <w:spacing w:before="120" w:beforeLines="50" w:after="120" w:afterLines="50" w:line="360" w:lineRule="auto"/>
        <w:ind w:left="420" w:leftChars="200" w:firstLine="0" w:firstLineChars="0"/>
        <w:rPr>
          <w:rFonts w:cs="Times New Roman" w:asciiTheme="minorEastAsia" w:hAnsiTheme="minorEastAsia"/>
          <w:sz w:val="24"/>
          <w:szCs w:val="24"/>
          <w:highlight w:val="none"/>
        </w:rPr>
      </w:pPr>
      <w:r>
        <w:rPr>
          <w:rFonts w:hint="eastAsia" w:cs="Times New Roman" w:asciiTheme="minorEastAsia" w:hAnsiTheme="minorEastAsia"/>
          <w:sz w:val="24"/>
          <w:szCs w:val="24"/>
          <w:highlight w:val="none"/>
          <w:lang w:val="en-US" w:eastAsia="zh-CN"/>
        </w:rPr>
        <w:t>7.1.5.</w:t>
      </w:r>
      <w:r>
        <w:rPr>
          <w:rFonts w:cs="Times New Roman" w:asciiTheme="minorEastAsia" w:hAnsiTheme="minorEastAsia"/>
          <w:sz w:val="24"/>
          <w:szCs w:val="24"/>
          <w:highlight w:val="none"/>
        </w:rPr>
        <w:t>培训方案</w:t>
      </w:r>
      <w:r>
        <w:rPr>
          <w:rFonts w:hint="eastAsia" w:cs="Times New Roman" w:asciiTheme="minorEastAsia" w:hAnsiTheme="minorEastAsia"/>
          <w:sz w:val="24"/>
          <w:szCs w:val="24"/>
          <w:highlight w:val="none"/>
        </w:rPr>
        <w:t>；</w:t>
      </w:r>
    </w:p>
    <w:p>
      <w:pPr>
        <w:pStyle w:val="28"/>
        <w:numPr>
          <w:ilvl w:val="-1"/>
          <w:numId w:val="0"/>
        </w:numPr>
        <w:spacing w:before="120" w:beforeLines="50" w:after="120" w:afterLines="50" w:line="360" w:lineRule="auto"/>
        <w:ind w:left="420" w:leftChars="200" w:firstLine="0" w:firstLineChars="0"/>
        <w:rPr>
          <w:rFonts w:cs="Times New Roman" w:asciiTheme="minorEastAsia" w:hAnsiTheme="minorEastAsia"/>
          <w:sz w:val="24"/>
          <w:szCs w:val="24"/>
          <w:highlight w:val="none"/>
        </w:rPr>
      </w:pPr>
      <w:r>
        <w:rPr>
          <w:rFonts w:hint="eastAsia" w:cs="Times New Roman" w:asciiTheme="minorEastAsia" w:hAnsiTheme="minorEastAsia"/>
          <w:sz w:val="24"/>
          <w:szCs w:val="24"/>
          <w:highlight w:val="none"/>
          <w:lang w:val="en-US" w:eastAsia="zh-CN"/>
        </w:rPr>
        <w:t>7.1.6.</w:t>
      </w:r>
      <w:r>
        <w:rPr>
          <w:rFonts w:hint="eastAsia" w:cs="Times New Roman" w:asciiTheme="minorEastAsia" w:hAnsiTheme="minorEastAsia"/>
          <w:sz w:val="24"/>
          <w:szCs w:val="24"/>
          <w:highlight w:val="none"/>
        </w:rPr>
        <w:t>投标人认为其它需要说明的文字。</w:t>
      </w:r>
    </w:p>
    <w:p>
      <w:pPr>
        <w:pStyle w:val="28"/>
        <w:numPr>
          <w:ilvl w:val="-1"/>
          <w:numId w:val="0"/>
        </w:numPr>
        <w:spacing w:before="120" w:beforeLines="50" w:after="120" w:afterLines="50" w:line="360" w:lineRule="auto"/>
        <w:ind w:left="420" w:leftChars="200" w:firstLine="0" w:firstLineChars="0"/>
        <w:rPr>
          <w:rFonts w:asciiTheme="minorEastAsia" w:hAnsiTheme="minorEastAsia"/>
          <w:sz w:val="24"/>
          <w:szCs w:val="24"/>
          <w:highlight w:val="none"/>
        </w:rPr>
      </w:pPr>
      <w:r>
        <w:rPr>
          <w:rFonts w:hint="eastAsia" w:asciiTheme="minorEastAsia" w:hAnsiTheme="minorEastAsia"/>
          <w:sz w:val="24"/>
          <w:szCs w:val="24"/>
          <w:highlight w:val="none"/>
          <w:lang w:val="en-US" w:eastAsia="zh-CN"/>
        </w:rPr>
        <w:t xml:space="preserve">7.2. </w:t>
      </w:r>
      <w:r>
        <w:rPr>
          <w:rFonts w:hint="eastAsia" w:asciiTheme="minorEastAsia" w:hAnsiTheme="minorEastAsia"/>
          <w:sz w:val="24"/>
          <w:szCs w:val="24"/>
          <w:highlight w:val="none"/>
        </w:rPr>
        <w:t>商务部分（提供复印件，并加盖公章）</w:t>
      </w:r>
    </w:p>
    <w:p>
      <w:pPr>
        <w:pStyle w:val="28"/>
        <w:numPr>
          <w:ilvl w:val="-1"/>
          <w:numId w:val="0"/>
        </w:numPr>
        <w:spacing w:before="120" w:beforeLines="50" w:after="120" w:afterLines="50" w:line="360" w:lineRule="auto"/>
        <w:ind w:left="420" w:leftChars="200" w:firstLine="0" w:firstLineChars="0"/>
        <w:rPr>
          <w:rFonts w:asciiTheme="minorEastAsia" w:hAnsiTheme="minorEastAsia"/>
          <w:sz w:val="24"/>
          <w:szCs w:val="24"/>
          <w:highlight w:val="none"/>
        </w:rPr>
      </w:pPr>
      <w:r>
        <w:rPr>
          <w:rFonts w:hint="eastAsia" w:asciiTheme="minorEastAsia" w:hAnsiTheme="minorEastAsia"/>
          <w:sz w:val="24"/>
          <w:szCs w:val="24"/>
          <w:highlight w:val="none"/>
          <w:lang w:val="en-US" w:eastAsia="zh-CN"/>
        </w:rPr>
        <w:t>7.2.1.</w:t>
      </w:r>
      <w:r>
        <w:rPr>
          <w:rFonts w:hint="eastAsia" w:asciiTheme="minorEastAsia" w:hAnsiTheme="minorEastAsia"/>
          <w:sz w:val="24"/>
          <w:szCs w:val="24"/>
          <w:highlight w:val="none"/>
        </w:rPr>
        <w:t>有效的</w:t>
      </w:r>
      <w:r>
        <w:rPr>
          <w:rFonts w:hint="eastAsia" w:cs="Times New Roman" w:asciiTheme="minorEastAsia" w:hAnsiTheme="minorEastAsia"/>
          <w:sz w:val="24"/>
          <w:szCs w:val="24"/>
          <w:highlight w:val="none"/>
        </w:rPr>
        <w:t>企业</w:t>
      </w:r>
      <w:r>
        <w:rPr>
          <w:rFonts w:hint="eastAsia" w:asciiTheme="minorEastAsia" w:hAnsiTheme="minorEastAsia"/>
          <w:sz w:val="24"/>
          <w:szCs w:val="24"/>
          <w:highlight w:val="none"/>
        </w:rPr>
        <w:t>工商营业执照、企业法人组织机构代码证书、税务登记证书（或三证合一）；</w:t>
      </w:r>
    </w:p>
    <w:p>
      <w:pPr>
        <w:pStyle w:val="28"/>
        <w:numPr>
          <w:ilvl w:val="-1"/>
          <w:numId w:val="0"/>
        </w:numPr>
        <w:spacing w:before="120" w:beforeLines="50" w:after="120" w:afterLines="50" w:line="360" w:lineRule="auto"/>
        <w:ind w:left="420" w:leftChars="200" w:firstLine="0" w:firstLineChars="0"/>
        <w:rPr>
          <w:rFonts w:asciiTheme="minorEastAsia" w:hAnsiTheme="minorEastAsia"/>
          <w:sz w:val="24"/>
          <w:szCs w:val="24"/>
          <w:highlight w:val="none"/>
        </w:rPr>
      </w:pPr>
      <w:r>
        <w:rPr>
          <w:rFonts w:hint="eastAsia" w:cs="Arial" w:asciiTheme="minorEastAsia" w:hAnsiTheme="minorEastAsia"/>
          <w:sz w:val="24"/>
          <w:szCs w:val="24"/>
          <w:highlight w:val="none"/>
          <w:lang w:val="en-US" w:eastAsia="zh-CN"/>
        </w:rPr>
        <w:t>7.2.2.</w:t>
      </w:r>
      <w:r>
        <w:rPr>
          <w:rFonts w:hint="eastAsia" w:cs="Arial" w:asciiTheme="minorEastAsia" w:hAnsiTheme="minorEastAsia"/>
          <w:sz w:val="24"/>
          <w:szCs w:val="24"/>
          <w:highlight w:val="none"/>
        </w:rPr>
        <w:t>“信用中国”网站（</w:t>
      </w:r>
      <w:r>
        <w:rPr>
          <w:rFonts w:hint="eastAsia" w:asciiTheme="minorEastAsia" w:hAnsiTheme="minorEastAsia"/>
          <w:sz w:val="24"/>
          <w:szCs w:val="24"/>
          <w:highlight w:val="none"/>
        </w:rPr>
        <w:t>www.creditchina.gov.cn）的信用记录查询结果截图并打印页面加盖公章。</w:t>
      </w:r>
    </w:p>
    <w:p>
      <w:pPr>
        <w:pStyle w:val="28"/>
        <w:numPr>
          <w:ilvl w:val="-1"/>
          <w:numId w:val="0"/>
        </w:numPr>
        <w:spacing w:before="120" w:beforeLines="50" w:after="120" w:afterLines="50" w:line="360" w:lineRule="auto"/>
        <w:ind w:left="420" w:leftChars="200" w:firstLine="0" w:firstLineChars="0"/>
        <w:rPr>
          <w:rFonts w:asciiTheme="minorEastAsia" w:hAnsiTheme="minorEastAsia"/>
          <w:sz w:val="24"/>
          <w:szCs w:val="24"/>
          <w:highlight w:val="none"/>
        </w:rPr>
      </w:pPr>
      <w:r>
        <w:rPr>
          <w:rFonts w:hint="eastAsia" w:asciiTheme="minorEastAsia" w:hAnsiTheme="minorEastAsia"/>
          <w:sz w:val="24"/>
          <w:szCs w:val="24"/>
          <w:highlight w:val="none"/>
          <w:lang w:val="en-US" w:eastAsia="zh-CN"/>
        </w:rPr>
        <w:t>7.2.3.</w:t>
      </w:r>
      <w:r>
        <w:rPr>
          <w:rFonts w:hint="eastAsia" w:asciiTheme="minorEastAsia" w:hAnsiTheme="minorEastAsia"/>
          <w:sz w:val="24"/>
          <w:szCs w:val="24"/>
          <w:highlight w:val="none"/>
        </w:rPr>
        <w:t>在投标活动中3年内没有重大违法活动和涉嫌违规行为声明。（格式自拟）</w:t>
      </w:r>
    </w:p>
    <w:p>
      <w:pPr>
        <w:pStyle w:val="28"/>
        <w:numPr>
          <w:ilvl w:val="-1"/>
          <w:numId w:val="0"/>
        </w:numPr>
        <w:spacing w:before="120" w:beforeLines="50" w:after="120" w:afterLines="50" w:line="360" w:lineRule="auto"/>
        <w:ind w:left="420" w:leftChars="200" w:firstLine="0" w:firstLineChars="0"/>
        <w:rPr>
          <w:rFonts w:asciiTheme="minorEastAsia" w:hAnsiTheme="minorEastAsia"/>
          <w:sz w:val="24"/>
          <w:szCs w:val="24"/>
          <w:highlight w:val="none"/>
        </w:rPr>
      </w:pPr>
      <w:r>
        <w:rPr>
          <w:rFonts w:hint="eastAsia" w:asciiTheme="minorEastAsia" w:hAnsiTheme="minorEastAsia"/>
          <w:sz w:val="24"/>
          <w:szCs w:val="24"/>
          <w:highlight w:val="none"/>
          <w:lang w:val="en-US" w:eastAsia="zh-CN"/>
        </w:rPr>
        <w:t>7.2.4.</w:t>
      </w:r>
      <w:r>
        <w:rPr>
          <w:rFonts w:hint="eastAsia" w:asciiTheme="minorEastAsia" w:hAnsiTheme="minorEastAsia"/>
          <w:sz w:val="24"/>
          <w:szCs w:val="24"/>
          <w:highlight w:val="none"/>
        </w:rPr>
        <w:t>供应商调查表（格式见附件2）；</w:t>
      </w:r>
    </w:p>
    <w:p>
      <w:pPr>
        <w:pStyle w:val="28"/>
        <w:numPr>
          <w:ilvl w:val="-1"/>
          <w:numId w:val="0"/>
        </w:numPr>
        <w:spacing w:before="120" w:beforeLines="50" w:after="120" w:afterLines="50" w:line="360" w:lineRule="auto"/>
        <w:ind w:left="420" w:leftChars="200" w:firstLine="0" w:firstLineChars="0"/>
        <w:rPr>
          <w:rFonts w:asciiTheme="minorEastAsia" w:hAnsiTheme="minorEastAsia"/>
          <w:sz w:val="24"/>
          <w:szCs w:val="24"/>
          <w:highlight w:val="none"/>
        </w:rPr>
      </w:pPr>
      <w:r>
        <w:rPr>
          <w:rFonts w:hint="eastAsia" w:asciiTheme="minorEastAsia" w:hAnsiTheme="minorEastAsia"/>
          <w:sz w:val="24"/>
          <w:szCs w:val="24"/>
          <w:highlight w:val="none"/>
          <w:lang w:val="en-US" w:eastAsia="zh-CN"/>
        </w:rPr>
        <w:t>7.2.5.</w:t>
      </w:r>
      <w:r>
        <w:rPr>
          <w:rFonts w:hint="eastAsia" w:asciiTheme="minorEastAsia" w:hAnsiTheme="minorEastAsia"/>
          <w:sz w:val="24"/>
          <w:szCs w:val="24"/>
          <w:highlight w:val="none"/>
        </w:rPr>
        <w:t>法定代表人证明书、法定代表人授权委托书原件（格式见附件3和附件4）；</w:t>
      </w:r>
    </w:p>
    <w:p>
      <w:pPr>
        <w:pStyle w:val="28"/>
        <w:numPr>
          <w:ilvl w:val="-1"/>
          <w:numId w:val="0"/>
        </w:numPr>
        <w:spacing w:before="120" w:beforeLines="50" w:after="120" w:afterLines="50" w:line="360" w:lineRule="auto"/>
        <w:ind w:left="420" w:leftChars="200" w:firstLine="0" w:firstLineChars="0"/>
        <w:rPr>
          <w:rFonts w:asciiTheme="minorEastAsia" w:hAnsiTheme="minorEastAsia"/>
          <w:sz w:val="24"/>
          <w:szCs w:val="24"/>
          <w:highlight w:val="none"/>
        </w:rPr>
      </w:pPr>
      <w:r>
        <w:rPr>
          <w:rFonts w:hint="eastAsia" w:asciiTheme="minorEastAsia" w:hAnsiTheme="minorEastAsia"/>
          <w:sz w:val="24"/>
          <w:szCs w:val="24"/>
          <w:highlight w:val="none"/>
          <w:lang w:val="en-US" w:eastAsia="zh-CN"/>
        </w:rPr>
        <w:t>7.2.6.</w:t>
      </w:r>
      <w:r>
        <w:rPr>
          <w:rFonts w:hint="eastAsia" w:asciiTheme="minorEastAsia" w:hAnsiTheme="minorEastAsia"/>
          <w:sz w:val="24"/>
          <w:szCs w:val="24"/>
          <w:highlight w:val="none"/>
        </w:rPr>
        <w:t>相关资质证书；</w:t>
      </w:r>
    </w:p>
    <w:p>
      <w:pPr>
        <w:pStyle w:val="28"/>
        <w:numPr>
          <w:ilvl w:val="-1"/>
          <w:numId w:val="0"/>
        </w:numPr>
        <w:spacing w:before="120" w:beforeLines="50" w:after="120" w:afterLines="50" w:line="360" w:lineRule="auto"/>
        <w:ind w:left="420" w:leftChars="200" w:firstLine="0" w:firstLineChars="0"/>
        <w:rPr>
          <w:rFonts w:asciiTheme="minorEastAsia" w:hAnsiTheme="minorEastAsia"/>
          <w:sz w:val="24"/>
          <w:szCs w:val="24"/>
          <w:highlight w:val="none"/>
        </w:rPr>
      </w:pPr>
      <w:r>
        <w:rPr>
          <w:rFonts w:hint="eastAsia" w:asciiTheme="minorEastAsia" w:hAnsiTheme="minorEastAsia"/>
          <w:sz w:val="24"/>
          <w:szCs w:val="24"/>
          <w:highlight w:val="none"/>
          <w:lang w:val="en-US" w:eastAsia="zh-CN"/>
        </w:rPr>
        <w:t>7.2.7.</w:t>
      </w:r>
      <w:r>
        <w:rPr>
          <w:rFonts w:hint="eastAsia" w:asciiTheme="minorEastAsia" w:hAnsiTheme="minorEastAsia"/>
          <w:sz w:val="24"/>
          <w:szCs w:val="24"/>
          <w:highlight w:val="none"/>
        </w:rPr>
        <w:t>本工程拟派项目负责人简历表</w:t>
      </w:r>
      <w:r>
        <w:rPr>
          <w:rFonts w:asciiTheme="minorEastAsia" w:hAnsiTheme="minorEastAsia"/>
          <w:sz w:val="24"/>
          <w:szCs w:val="24"/>
          <w:highlight w:val="none"/>
        </w:rPr>
        <w:t>（包括姓名、部门和职务、</w:t>
      </w:r>
      <w:r>
        <w:rPr>
          <w:rFonts w:hint="eastAsia" w:asciiTheme="minorEastAsia" w:hAnsiTheme="minorEastAsia"/>
          <w:sz w:val="24"/>
          <w:szCs w:val="24"/>
          <w:highlight w:val="none"/>
        </w:rPr>
        <w:t>所学专业和</w:t>
      </w:r>
      <w:r>
        <w:rPr>
          <w:rFonts w:asciiTheme="minorEastAsia" w:hAnsiTheme="minorEastAsia"/>
          <w:sz w:val="24"/>
          <w:szCs w:val="24"/>
          <w:highlight w:val="none"/>
        </w:rPr>
        <w:t>毕业</w:t>
      </w:r>
      <w:r>
        <w:rPr>
          <w:rFonts w:hint="eastAsia" w:asciiTheme="minorEastAsia" w:hAnsiTheme="minorEastAsia"/>
          <w:sz w:val="24"/>
          <w:szCs w:val="24"/>
          <w:highlight w:val="none"/>
        </w:rPr>
        <w:t>院校名称及毕业</w:t>
      </w:r>
      <w:r>
        <w:rPr>
          <w:rFonts w:asciiTheme="minorEastAsia" w:hAnsiTheme="minorEastAsia"/>
          <w:sz w:val="24"/>
          <w:szCs w:val="24"/>
          <w:highlight w:val="none"/>
        </w:rPr>
        <w:t>时间、主要资历、经验及承担过的</w:t>
      </w:r>
      <w:r>
        <w:rPr>
          <w:rFonts w:hint="eastAsia" w:asciiTheme="minorEastAsia" w:hAnsiTheme="minorEastAsia"/>
          <w:sz w:val="24"/>
          <w:szCs w:val="24"/>
          <w:highlight w:val="none"/>
        </w:rPr>
        <w:t>类似</w:t>
      </w:r>
      <w:r>
        <w:rPr>
          <w:rFonts w:asciiTheme="minorEastAsia" w:hAnsiTheme="minorEastAsia"/>
          <w:sz w:val="24"/>
          <w:szCs w:val="24"/>
          <w:highlight w:val="none"/>
        </w:rPr>
        <w:t>项目</w:t>
      </w:r>
      <w:r>
        <w:rPr>
          <w:rFonts w:hint="eastAsia" w:asciiTheme="minorEastAsia" w:hAnsiTheme="minorEastAsia"/>
          <w:sz w:val="24"/>
          <w:szCs w:val="24"/>
          <w:highlight w:val="none"/>
        </w:rPr>
        <w:t>，</w:t>
      </w:r>
      <w:r>
        <w:rPr>
          <w:rFonts w:asciiTheme="minorEastAsia" w:hAnsiTheme="minorEastAsia"/>
          <w:sz w:val="24"/>
          <w:szCs w:val="24"/>
          <w:highlight w:val="none"/>
        </w:rPr>
        <w:t>获得认证资质证书</w:t>
      </w:r>
      <w:r>
        <w:rPr>
          <w:rFonts w:hint="eastAsia" w:asciiTheme="minorEastAsia" w:hAnsiTheme="minorEastAsia"/>
          <w:sz w:val="24"/>
          <w:szCs w:val="24"/>
          <w:highlight w:val="none"/>
        </w:rPr>
        <w:t>及复印件</w:t>
      </w:r>
      <w:r>
        <w:rPr>
          <w:rFonts w:asciiTheme="minorEastAsia" w:hAnsiTheme="minorEastAsia"/>
          <w:sz w:val="24"/>
          <w:szCs w:val="24"/>
          <w:highlight w:val="none"/>
        </w:rPr>
        <w:t>）</w:t>
      </w:r>
      <w:r>
        <w:rPr>
          <w:rFonts w:hint="eastAsia" w:asciiTheme="minorEastAsia" w:hAnsiTheme="minorEastAsia"/>
          <w:sz w:val="24"/>
          <w:szCs w:val="24"/>
          <w:highlight w:val="none"/>
        </w:rPr>
        <w:t>；</w:t>
      </w:r>
    </w:p>
    <w:p>
      <w:pPr>
        <w:pStyle w:val="28"/>
        <w:numPr>
          <w:ilvl w:val="-1"/>
          <w:numId w:val="0"/>
        </w:numPr>
        <w:spacing w:before="120" w:beforeLines="50" w:after="120" w:afterLines="50" w:line="360" w:lineRule="auto"/>
        <w:ind w:left="420" w:leftChars="200" w:firstLine="0" w:firstLineChars="0"/>
        <w:rPr>
          <w:rFonts w:asciiTheme="minorEastAsia" w:hAnsiTheme="minorEastAsia"/>
          <w:sz w:val="24"/>
          <w:szCs w:val="24"/>
          <w:highlight w:val="none"/>
        </w:rPr>
      </w:pPr>
      <w:r>
        <w:rPr>
          <w:rFonts w:hint="eastAsia" w:asciiTheme="minorEastAsia" w:hAnsiTheme="minorEastAsia"/>
          <w:sz w:val="24"/>
          <w:szCs w:val="24"/>
          <w:highlight w:val="none"/>
          <w:lang w:val="en-US" w:eastAsia="zh-CN"/>
        </w:rPr>
        <w:t>7.2.8.</w:t>
      </w:r>
      <w:r>
        <w:rPr>
          <w:rFonts w:hint="eastAsia" w:asciiTheme="minorEastAsia" w:hAnsiTheme="minorEastAsia"/>
          <w:sz w:val="24"/>
          <w:szCs w:val="24"/>
          <w:highlight w:val="none"/>
        </w:rPr>
        <w:t>本工程拟派项目团队成员的简历表</w:t>
      </w:r>
      <w:r>
        <w:rPr>
          <w:rFonts w:asciiTheme="minorEastAsia" w:hAnsiTheme="minorEastAsia"/>
          <w:sz w:val="24"/>
          <w:szCs w:val="24"/>
          <w:highlight w:val="none"/>
        </w:rPr>
        <w:t>（包括姓名、部门和职务、</w:t>
      </w:r>
      <w:r>
        <w:rPr>
          <w:rFonts w:hint="eastAsia" w:asciiTheme="minorEastAsia" w:hAnsiTheme="minorEastAsia"/>
          <w:sz w:val="24"/>
          <w:szCs w:val="24"/>
          <w:highlight w:val="none"/>
        </w:rPr>
        <w:t>所学专业和</w:t>
      </w:r>
      <w:r>
        <w:rPr>
          <w:rFonts w:asciiTheme="minorEastAsia" w:hAnsiTheme="minorEastAsia"/>
          <w:sz w:val="24"/>
          <w:szCs w:val="24"/>
          <w:highlight w:val="none"/>
        </w:rPr>
        <w:t>毕业</w:t>
      </w:r>
      <w:r>
        <w:rPr>
          <w:rFonts w:hint="eastAsia" w:asciiTheme="minorEastAsia" w:hAnsiTheme="minorEastAsia"/>
          <w:sz w:val="24"/>
          <w:szCs w:val="24"/>
          <w:highlight w:val="none"/>
        </w:rPr>
        <w:t>院校名称及毕业</w:t>
      </w:r>
      <w:r>
        <w:rPr>
          <w:rFonts w:asciiTheme="minorEastAsia" w:hAnsiTheme="minorEastAsia"/>
          <w:sz w:val="24"/>
          <w:szCs w:val="24"/>
          <w:highlight w:val="none"/>
        </w:rPr>
        <w:t>时间、主要资历、经验及承担过的</w:t>
      </w:r>
      <w:r>
        <w:rPr>
          <w:rFonts w:hint="eastAsia" w:asciiTheme="minorEastAsia" w:hAnsiTheme="minorEastAsia"/>
          <w:sz w:val="24"/>
          <w:szCs w:val="24"/>
          <w:highlight w:val="none"/>
        </w:rPr>
        <w:t>类似</w:t>
      </w:r>
      <w:r>
        <w:rPr>
          <w:rFonts w:asciiTheme="minorEastAsia" w:hAnsiTheme="minorEastAsia"/>
          <w:sz w:val="24"/>
          <w:szCs w:val="24"/>
          <w:highlight w:val="none"/>
        </w:rPr>
        <w:t>项目</w:t>
      </w:r>
      <w:r>
        <w:rPr>
          <w:rFonts w:hint="eastAsia" w:asciiTheme="minorEastAsia" w:hAnsiTheme="minorEastAsia"/>
          <w:sz w:val="24"/>
          <w:szCs w:val="24"/>
          <w:highlight w:val="none"/>
        </w:rPr>
        <w:t>，</w:t>
      </w:r>
      <w:r>
        <w:rPr>
          <w:rFonts w:asciiTheme="minorEastAsia" w:hAnsiTheme="minorEastAsia"/>
          <w:sz w:val="24"/>
          <w:szCs w:val="24"/>
          <w:highlight w:val="none"/>
        </w:rPr>
        <w:t>获得认证资质证书</w:t>
      </w:r>
      <w:r>
        <w:rPr>
          <w:rFonts w:hint="eastAsia" w:asciiTheme="minorEastAsia" w:hAnsiTheme="minorEastAsia"/>
          <w:sz w:val="24"/>
          <w:szCs w:val="24"/>
          <w:highlight w:val="none"/>
        </w:rPr>
        <w:t>及复印件</w:t>
      </w:r>
      <w:r>
        <w:rPr>
          <w:rFonts w:asciiTheme="minorEastAsia" w:hAnsiTheme="minorEastAsia"/>
          <w:sz w:val="24"/>
          <w:szCs w:val="24"/>
          <w:highlight w:val="none"/>
        </w:rPr>
        <w:t>）</w:t>
      </w:r>
      <w:r>
        <w:rPr>
          <w:rFonts w:hint="eastAsia" w:asciiTheme="minorEastAsia" w:hAnsiTheme="minorEastAsia"/>
          <w:sz w:val="24"/>
          <w:szCs w:val="24"/>
          <w:highlight w:val="none"/>
        </w:rPr>
        <w:t>等</w:t>
      </w:r>
    </w:p>
    <w:p>
      <w:pPr>
        <w:pStyle w:val="28"/>
        <w:numPr>
          <w:ilvl w:val="-1"/>
          <w:numId w:val="0"/>
        </w:numPr>
        <w:spacing w:before="120" w:beforeLines="50" w:after="120" w:afterLines="50" w:line="360" w:lineRule="auto"/>
        <w:ind w:left="420" w:leftChars="200" w:firstLine="0" w:firstLineChars="0"/>
        <w:rPr>
          <w:rFonts w:asciiTheme="minorEastAsia" w:hAnsiTheme="minorEastAsia"/>
          <w:sz w:val="24"/>
          <w:szCs w:val="24"/>
          <w:highlight w:val="none"/>
        </w:rPr>
      </w:pPr>
      <w:r>
        <w:rPr>
          <w:rFonts w:hint="eastAsia" w:asciiTheme="minorEastAsia" w:hAnsiTheme="minorEastAsia"/>
          <w:sz w:val="24"/>
          <w:szCs w:val="24"/>
          <w:highlight w:val="none"/>
          <w:lang w:val="en-US" w:eastAsia="zh-CN"/>
        </w:rPr>
        <w:t>7.2.9.</w:t>
      </w:r>
      <w:r>
        <w:rPr>
          <w:rFonts w:hint="eastAsia" w:asciiTheme="minorEastAsia" w:hAnsiTheme="minorEastAsia"/>
          <w:sz w:val="24"/>
          <w:szCs w:val="24"/>
          <w:highlight w:val="none"/>
        </w:rPr>
        <w:t>投标人认为有必要的其他资质等材料复印件。</w:t>
      </w:r>
    </w:p>
    <w:p>
      <w:pPr>
        <w:pStyle w:val="28"/>
        <w:numPr>
          <w:ilvl w:val="-1"/>
          <w:numId w:val="0"/>
        </w:numPr>
        <w:spacing w:before="120" w:beforeLines="50" w:after="120" w:afterLines="50" w:line="360" w:lineRule="auto"/>
        <w:ind w:left="420" w:leftChars="200" w:firstLine="0" w:firstLineChars="0"/>
        <w:rPr>
          <w:rFonts w:asciiTheme="minorEastAsia" w:hAnsiTheme="minorEastAsia"/>
          <w:sz w:val="24"/>
          <w:szCs w:val="24"/>
          <w:highlight w:val="none"/>
        </w:rPr>
      </w:pPr>
      <w:r>
        <w:rPr>
          <w:rFonts w:hint="eastAsia" w:asciiTheme="minorEastAsia" w:hAnsiTheme="minorEastAsia"/>
          <w:sz w:val="24"/>
          <w:szCs w:val="24"/>
          <w:highlight w:val="none"/>
          <w:lang w:val="en-US" w:eastAsia="zh-CN"/>
        </w:rPr>
        <w:t>7.3.</w:t>
      </w:r>
      <w:r>
        <w:rPr>
          <w:rFonts w:hint="eastAsia" w:asciiTheme="minorEastAsia" w:hAnsiTheme="minorEastAsia"/>
          <w:sz w:val="24"/>
          <w:szCs w:val="24"/>
          <w:highlight w:val="none"/>
        </w:rPr>
        <w:t>投标报价（</w:t>
      </w:r>
      <w:r>
        <w:rPr>
          <w:rFonts w:hint="eastAsia" w:cs="Arial" w:asciiTheme="minorEastAsia" w:hAnsiTheme="minorEastAsia"/>
          <w:sz w:val="24"/>
          <w:szCs w:val="24"/>
          <w:highlight w:val="none"/>
        </w:rPr>
        <w:t>格式见附件1，</w:t>
      </w:r>
      <w:r>
        <w:rPr>
          <w:rFonts w:hint="eastAsia" w:asciiTheme="minorEastAsia" w:hAnsiTheme="minorEastAsia"/>
          <w:sz w:val="24"/>
          <w:szCs w:val="24"/>
          <w:highlight w:val="none"/>
        </w:rPr>
        <w:t>加盖公章）</w:t>
      </w:r>
    </w:p>
    <w:p>
      <w:pPr>
        <w:pStyle w:val="28"/>
        <w:numPr>
          <w:ilvl w:val="-1"/>
          <w:numId w:val="0"/>
        </w:numPr>
        <w:spacing w:before="120" w:beforeLines="50" w:after="120" w:afterLines="50" w:line="360" w:lineRule="auto"/>
        <w:ind w:left="420" w:leftChars="200" w:firstLine="0" w:firstLineChars="0"/>
        <w:rPr>
          <w:rFonts w:cs="Arial" w:asciiTheme="minorEastAsia" w:hAnsiTheme="minorEastAsia"/>
          <w:sz w:val="24"/>
          <w:szCs w:val="24"/>
          <w:highlight w:val="none"/>
        </w:rPr>
      </w:pPr>
      <w:r>
        <w:rPr>
          <w:rFonts w:hint="eastAsia" w:cs="Arial" w:asciiTheme="minorEastAsia" w:hAnsiTheme="minorEastAsia"/>
          <w:sz w:val="24"/>
          <w:szCs w:val="24"/>
          <w:highlight w:val="none"/>
          <w:lang w:val="en-US" w:eastAsia="zh-CN"/>
        </w:rPr>
        <w:t>7.3.1</w:t>
      </w:r>
      <w:r>
        <w:rPr>
          <w:rFonts w:hint="eastAsia" w:cs="Arial" w:asciiTheme="minorEastAsia" w:hAnsiTheme="minorEastAsia"/>
          <w:sz w:val="24"/>
          <w:szCs w:val="24"/>
          <w:highlight w:val="none"/>
        </w:rPr>
        <w:t>报价</w:t>
      </w:r>
      <w:r>
        <w:rPr>
          <w:rFonts w:hint="eastAsia" w:asciiTheme="minorEastAsia" w:hAnsiTheme="minorEastAsia"/>
          <w:sz w:val="24"/>
          <w:szCs w:val="24"/>
          <w:highlight w:val="none"/>
        </w:rPr>
        <w:t>一览表</w:t>
      </w:r>
    </w:p>
    <w:p>
      <w:pPr>
        <w:pStyle w:val="28"/>
        <w:numPr>
          <w:ilvl w:val="-1"/>
          <w:numId w:val="0"/>
        </w:numPr>
        <w:spacing w:before="120" w:beforeLines="50" w:after="120" w:afterLines="50" w:line="360" w:lineRule="auto"/>
        <w:ind w:left="420" w:leftChars="200" w:firstLine="0" w:firstLineChars="0"/>
        <w:rPr>
          <w:rFonts w:hint="eastAsia" w:asciiTheme="minorEastAsia" w:hAnsiTheme="minorEastAsia" w:cstheme="minorBidi"/>
          <w:sz w:val="24"/>
          <w:szCs w:val="24"/>
          <w:highlight w:val="none"/>
        </w:rPr>
      </w:pPr>
      <w:r>
        <w:rPr>
          <w:rFonts w:hint="eastAsia" w:asciiTheme="minorEastAsia" w:hAnsiTheme="minorEastAsia" w:cstheme="minorBidi"/>
          <w:sz w:val="24"/>
          <w:szCs w:val="24"/>
          <w:highlight w:val="none"/>
          <w:lang w:val="en-US" w:eastAsia="zh-CN"/>
        </w:rPr>
        <w:t>7.3.2.</w:t>
      </w:r>
      <w:r>
        <w:rPr>
          <w:rFonts w:hint="eastAsia" w:asciiTheme="minorEastAsia" w:hAnsiTheme="minorEastAsia" w:cstheme="minorBidi"/>
          <w:sz w:val="24"/>
          <w:szCs w:val="24"/>
          <w:highlight w:val="none"/>
        </w:rPr>
        <w:t>报价明细表</w:t>
      </w:r>
    </w:p>
    <w:p>
      <w:pPr>
        <w:pStyle w:val="28"/>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highlight w:val="none"/>
        </w:rPr>
      </w:pPr>
      <w:r>
        <w:rPr>
          <w:rFonts w:hint="eastAsia" w:asciiTheme="minorEastAsia" w:hAnsiTheme="minorEastAsia"/>
          <w:b/>
          <w:sz w:val="24"/>
          <w:szCs w:val="24"/>
          <w:highlight w:val="none"/>
        </w:rPr>
        <w:t>评标方法</w:t>
      </w:r>
    </w:p>
    <w:p>
      <w:pPr>
        <w:spacing w:before="120" w:beforeLines="50" w:after="120" w:afterLines="50" w:line="360" w:lineRule="auto"/>
        <w:ind w:firstLine="480" w:firstLineChars="200"/>
        <w:rPr>
          <w:rFonts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highlight w:val="none"/>
        </w:rPr>
        <w:t>本项目采用综合评估法，对投标人进行价格、商务、技术和信用评审，其中价格评审部分占</w:t>
      </w:r>
      <w:r>
        <w:rPr>
          <w:rFonts w:hint="eastAsia" w:cs="Arial" w:asciiTheme="minorEastAsia" w:hAnsiTheme="minorEastAsia" w:eastAsiaTheme="minorEastAsia"/>
          <w:kern w:val="0"/>
          <w:sz w:val="24"/>
          <w:highlight w:val="none"/>
          <w:lang w:eastAsia="zh-CN"/>
        </w:rPr>
        <w:t>4</w:t>
      </w:r>
      <w:r>
        <w:rPr>
          <w:rFonts w:hint="eastAsia" w:cs="Arial" w:asciiTheme="minorEastAsia" w:hAnsiTheme="minorEastAsia" w:eastAsiaTheme="minorEastAsia"/>
          <w:kern w:val="0"/>
          <w:sz w:val="24"/>
          <w:highlight w:val="none"/>
        </w:rPr>
        <w:t>0%，商务评审部分占</w:t>
      </w:r>
      <w:r>
        <w:rPr>
          <w:rFonts w:hint="eastAsia" w:cs="Arial" w:asciiTheme="minorEastAsia" w:hAnsiTheme="minorEastAsia" w:eastAsiaTheme="minorEastAsia"/>
          <w:kern w:val="0"/>
          <w:sz w:val="24"/>
          <w:highlight w:val="none"/>
          <w:lang w:val="en-US" w:eastAsia="zh-CN"/>
        </w:rPr>
        <w:t>25</w:t>
      </w:r>
      <w:r>
        <w:rPr>
          <w:rFonts w:hint="eastAsia" w:cs="Arial" w:asciiTheme="minorEastAsia" w:hAnsiTheme="minorEastAsia" w:eastAsiaTheme="minorEastAsia"/>
          <w:kern w:val="0"/>
          <w:sz w:val="24"/>
          <w:highlight w:val="none"/>
        </w:rPr>
        <w:t>%，技术评审占</w:t>
      </w:r>
      <w:r>
        <w:rPr>
          <w:rFonts w:hint="eastAsia" w:cs="Arial" w:asciiTheme="minorEastAsia" w:hAnsiTheme="minorEastAsia" w:eastAsiaTheme="minorEastAsia"/>
          <w:kern w:val="0"/>
          <w:sz w:val="24"/>
          <w:highlight w:val="none"/>
          <w:lang w:val="en-US" w:eastAsia="zh-CN"/>
        </w:rPr>
        <w:t>35</w:t>
      </w:r>
      <w:r>
        <w:rPr>
          <w:rFonts w:hint="eastAsia" w:cs="Arial" w:asciiTheme="minorEastAsia" w:hAnsiTheme="minorEastAsia" w:eastAsiaTheme="minorEastAsia"/>
          <w:kern w:val="0"/>
          <w:sz w:val="24"/>
          <w:highlight w:val="none"/>
        </w:rPr>
        <w:t>%，投标人评审得分=价格得分+商务得分+技术得分，评分标准见附件</w:t>
      </w:r>
      <w:r>
        <w:rPr>
          <w:rFonts w:hint="eastAsia" w:cs="Arial" w:asciiTheme="minorEastAsia" w:hAnsiTheme="minorEastAsia" w:eastAsiaTheme="minorEastAsia"/>
          <w:kern w:val="0"/>
          <w:sz w:val="24"/>
          <w:highlight w:val="none"/>
          <w:lang w:val="en-US" w:eastAsia="zh-CN"/>
        </w:rPr>
        <w:t>6</w:t>
      </w:r>
      <w:r>
        <w:rPr>
          <w:rFonts w:hint="eastAsia" w:cs="Arial" w:asciiTheme="minorEastAsia" w:hAnsiTheme="minorEastAsia" w:eastAsiaTheme="minorEastAsia"/>
          <w:kern w:val="0"/>
          <w:sz w:val="24"/>
          <w:highlight w:val="none"/>
        </w:rPr>
        <w:t>。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pStyle w:val="28"/>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highlight w:val="none"/>
        </w:rPr>
      </w:pPr>
      <w:r>
        <w:rPr>
          <w:rFonts w:hint="eastAsia" w:asciiTheme="minorEastAsia" w:hAnsiTheme="minorEastAsia"/>
          <w:b/>
          <w:sz w:val="24"/>
          <w:szCs w:val="24"/>
          <w:highlight w:val="none"/>
        </w:rPr>
        <w:t>递交投标文件</w:t>
      </w:r>
    </w:p>
    <w:p>
      <w:pPr>
        <w:pStyle w:val="28"/>
        <w:numPr>
          <w:ilvl w:val="0"/>
          <w:numId w:val="3"/>
        </w:numPr>
        <w:spacing w:before="120" w:beforeLines="50" w:after="120" w:afterLines="50" w:line="360" w:lineRule="auto"/>
        <w:ind w:left="0" w:firstLine="480"/>
        <w:rPr>
          <w:rFonts w:asciiTheme="minorEastAsia" w:hAnsiTheme="minorEastAsia"/>
          <w:sz w:val="24"/>
          <w:szCs w:val="24"/>
          <w:highlight w:val="none"/>
        </w:rPr>
      </w:pPr>
      <w:r>
        <w:rPr>
          <w:rFonts w:hint="eastAsia" w:cs="宋体" w:asciiTheme="minorEastAsia" w:hAnsiTheme="minorEastAsia"/>
          <w:sz w:val="24"/>
          <w:szCs w:val="24"/>
          <w:highlight w:val="none"/>
        </w:rPr>
        <w:t>投标文件纸质文件一式一份，盖章扫描件电子版一份。纸质文件递交截止时间：</w:t>
      </w:r>
      <w:r>
        <w:rPr>
          <w:rFonts w:hint="eastAsia" w:cs="宋体" w:asciiTheme="minorEastAsia" w:hAnsiTheme="minorEastAsia"/>
          <w:sz w:val="24"/>
          <w:szCs w:val="24"/>
          <w:highlight w:val="none"/>
          <w:lang w:val="en-US" w:eastAsia="zh-CN"/>
        </w:rPr>
        <w:t xml:space="preserve">2023 </w:t>
      </w:r>
      <w:r>
        <w:rPr>
          <w:rFonts w:hint="eastAsia" w:cs="宋体" w:asciiTheme="minorEastAsia" w:hAnsiTheme="minorEastAsia"/>
          <w:sz w:val="24"/>
          <w:szCs w:val="24"/>
          <w:highlight w:val="none"/>
        </w:rPr>
        <w:t>年</w:t>
      </w:r>
      <w:r>
        <w:rPr>
          <w:rFonts w:hint="eastAsia" w:cs="宋体" w:asciiTheme="minorEastAsia" w:hAnsiTheme="minorEastAsia"/>
          <w:sz w:val="24"/>
          <w:szCs w:val="24"/>
          <w:highlight w:val="none"/>
          <w:lang w:eastAsia="zh-CN"/>
        </w:rPr>
        <w:t xml:space="preserve"> </w:t>
      </w:r>
      <w:r>
        <w:rPr>
          <w:rFonts w:hint="eastAsia" w:cs="宋体" w:asciiTheme="minorEastAsia" w:hAnsiTheme="minorEastAsia"/>
          <w:sz w:val="24"/>
          <w:szCs w:val="24"/>
          <w:highlight w:val="none"/>
          <w:lang w:val="en-US" w:eastAsia="zh-CN"/>
        </w:rPr>
        <w:t xml:space="preserve">11 </w:t>
      </w:r>
      <w:r>
        <w:rPr>
          <w:rFonts w:hint="eastAsia" w:cs="宋体" w:asciiTheme="minorEastAsia" w:hAnsiTheme="minorEastAsia"/>
          <w:sz w:val="24"/>
          <w:szCs w:val="24"/>
          <w:highlight w:val="none"/>
        </w:rPr>
        <w:t>月</w:t>
      </w:r>
      <w:r>
        <w:rPr>
          <w:rFonts w:hint="eastAsia" w:cs="宋体" w:asciiTheme="minorEastAsia" w:hAnsiTheme="minorEastAsia"/>
          <w:sz w:val="24"/>
          <w:szCs w:val="24"/>
          <w:highlight w:val="none"/>
          <w:lang w:eastAsia="zh-CN"/>
        </w:rPr>
        <w:t xml:space="preserve"> </w:t>
      </w:r>
      <w:r>
        <w:rPr>
          <w:rFonts w:hint="eastAsia" w:cs="宋体" w:asciiTheme="minorEastAsia" w:hAnsiTheme="minorEastAsia"/>
          <w:sz w:val="24"/>
          <w:szCs w:val="24"/>
          <w:highlight w:val="none"/>
          <w:lang w:val="en-US" w:eastAsia="zh-CN"/>
        </w:rPr>
        <w:t xml:space="preserve">27 </w:t>
      </w:r>
      <w:r>
        <w:rPr>
          <w:rFonts w:hint="eastAsia" w:cs="宋体" w:asciiTheme="minorEastAsia" w:hAnsiTheme="minorEastAsia"/>
          <w:sz w:val="24"/>
          <w:szCs w:val="24"/>
          <w:highlight w:val="none"/>
        </w:rPr>
        <w:t>日</w:t>
      </w:r>
      <w:r>
        <w:rPr>
          <w:rFonts w:hint="eastAsia" w:cs="宋体" w:asciiTheme="minorEastAsia" w:hAnsiTheme="minorEastAsia"/>
          <w:sz w:val="24"/>
          <w:szCs w:val="24"/>
          <w:highlight w:val="none"/>
          <w:lang w:eastAsia="zh-CN"/>
        </w:rPr>
        <w:t xml:space="preserve"> </w:t>
      </w:r>
      <w:r>
        <w:rPr>
          <w:rFonts w:hint="eastAsia" w:cs="宋体" w:asciiTheme="minorEastAsia" w:hAnsiTheme="minorEastAsia"/>
          <w:sz w:val="24"/>
          <w:szCs w:val="24"/>
          <w:highlight w:val="none"/>
          <w:lang w:val="en-US" w:eastAsia="zh-CN"/>
        </w:rPr>
        <w:t xml:space="preserve"> 14  </w:t>
      </w:r>
      <w:r>
        <w:rPr>
          <w:rFonts w:hint="eastAsia" w:cs="宋体" w:asciiTheme="minorEastAsia" w:hAnsiTheme="minorEastAsia"/>
          <w:sz w:val="24"/>
          <w:szCs w:val="24"/>
          <w:highlight w:val="none"/>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eastAsia="宋体" w:cs="宋体"/>
          <w:b/>
          <w:bCs/>
          <w:sz w:val="24"/>
          <w:szCs w:val="24"/>
          <w:u w:val="none"/>
        </w:rPr>
        <w:t>新型物联网中央空调计时型温控器研发应用示范</w:t>
      </w:r>
      <w:r>
        <w:rPr>
          <w:rFonts w:hint="eastAsia" w:ascii="宋体" w:hAnsi="宋体" w:eastAsia="宋体" w:cs="宋体"/>
          <w:b/>
          <w:bCs/>
          <w:sz w:val="24"/>
          <w:szCs w:val="24"/>
        </w:rPr>
        <w:t>项目投标文件</w:t>
      </w:r>
      <w:r>
        <w:rPr>
          <w:rFonts w:hint="eastAsia" w:cs="宋体" w:asciiTheme="minorEastAsia" w:hAnsiTheme="minorEastAsia"/>
          <w:sz w:val="24"/>
          <w:szCs w:val="24"/>
          <w:highlight w:val="none"/>
        </w:rPr>
        <w:t>”字样。电子版可随纸质文件一同投递，或在截标后24小时内以电子邮件方式投递到邮箱：</w:t>
      </w:r>
      <w:r>
        <w:rPr>
          <w:rFonts w:hint="eastAsia" w:cs="宋体" w:asciiTheme="minorEastAsia" w:hAnsiTheme="minorEastAsia"/>
          <w:sz w:val="24"/>
          <w:szCs w:val="24"/>
          <w:highlight w:val="none"/>
          <w:lang w:val="en-US" w:eastAsia="zh-CN"/>
        </w:rPr>
        <w:t>87594595</w:t>
      </w:r>
      <w:r>
        <w:rPr>
          <w:rFonts w:hint="eastAsia" w:cs="宋体" w:asciiTheme="minorEastAsia" w:hAnsiTheme="minorEastAsia"/>
          <w:sz w:val="24"/>
          <w:szCs w:val="24"/>
          <w:highlight w:val="none"/>
        </w:rPr>
        <w:t>@qq.com。投标供应商递交投标文件后，请联系采购人确认。</w:t>
      </w:r>
    </w:p>
    <w:p>
      <w:pPr>
        <w:pStyle w:val="28"/>
        <w:numPr>
          <w:ilvl w:val="0"/>
          <w:numId w:val="3"/>
        </w:numPr>
        <w:spacing w:before="120" w:beforeLines="50" w:after="120" w:afterLines="50" w:line="360" w:lineRule="auto"/>
        <w:ind w:left="0" w:firstLine="480"/>
        <w:rPr>
          <w:rFonts w:cs="宋体" w:asciiTheme="minorEastAsia" w:hAnsiTheme="minorEastAsia"/>
          <w:sz w:val="24"/>
          <w:szCs w:val="24"/>
          <w:highlight w:val="none"/>
        </w:rPr>
      </w:pPr>
      <w:r>
        <w:rPr>
          <w:rFonts w:hint="eastAsia" w:cs="宋体" w:asciiTheme="minorEastAsia" w:hAnsiTheme="minorEastAsia"/>
          <w:sz w:val="24"/>
          <w:szCs w:val="24"/>
          <w:highlight w:val="none"/>
        </w:rPr>
        <w:t>递交的投标文件或投标文件信封未密封，或未在骑缝处盖章或签字，或逾期送达的需方有权不予受理。</w:t>
      </w:r>
    </w:p>
    <w:p>
      <w:pPr>
        <w:pStyle w:val="28"/>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highlight w:val="none"/>
        </w:rPr>
      </w:pPr>
      <w:r>
        <w:rPr>
          <w:rFonts w:hint="eastAsia" w:asciiTheme="minorEastAsia" w:hAnsiTheme="minorEastAsia"/>
          <w:b/>
          <w:sz w:val="24"/>
          <w:szCs w:val="24"/>
          <w:highlight w:val="none"/>
        </w:rPr>
        <w:t>竞选文件公示</w:t>
      </w:r>
    </w:p>
    <w:p>
      <w:pPr>
        <w:spacing w:before="50" w:after="50" w:line="360" w:lineRule="auto"/>
        <w:ind w:firstLine="480" w:firstLineChars="200"/>
        <w:rPr>
          <w:rFonts w:cs="Arial" w:asciiTheme="minorEastAsia" w:hAnsiTheme="minorEastAsia" w:eastAsiaTheme="minorEastAsia"/>
          <w:sz w:val="24"/>
          <w:highlight w:val="none"/>
        </w:rPr>
      </w:pPr>
      <w:r>
        <w:rPr>
          <w:rFonts w:hint="eastAsia" w:cs="Arial" w:asciiTheme="minorEastAsia" w:hAnsiTheme="minorEastAsia" w:eastAsiaTheme="minorEastAsia"/>
          <w:sz w:val="24"/>
          <w:highlight w:val="none"/>
        </w:rPr>
        <w:t>本竞选文件</w:t>
      </w:r>
      <w:r>
        <w:rPr>
          <w:rFonts w:hint="eastAsia" w:asciiTheme="minorEastAsia" w:hAnsiTheme="minorEastAsia" w:eastAsiaTheme="minorEastAsia"/>
          <w:sz w:val="24"/>
          <w:highlight w:val="none"/>
        </w:rPr>
        <w:t>在</w:t>
      </w:r>
      <w:r>
        <w:rPr>
          <w:rFonts w:hint="eastAsia" w:ascii="宋体" w:hAnsi="宋体" w:eastAsia="宋体" w:cs="宋体"/>
          <w:sz w:val="24"/>
          <w:szCs w:val="24"/>
          <w:highlight w:val="none"/>
        </w:rPr>
        <w:t>广州</w:t>
      </w:r>
      <w:r>
        <w:rPr>
          <w:rFonts w:hint="eastAsia" w:ascii="宋体" w:hAnsi="宋体" w:eastAsia="宋体" w:cs="宋体"/>
          <w:sz w:val="24"/>
          <w:szCs w:val="24"/>
          <w:highlight w:val="none"/>
          <w:lang w:val="en-US" w:eastAsia="zh-CN"/>
        </w:rPr>
        <w:t>城投综合能源投</w:t>
      </w:r>
      <w:r>
        <w:rPr>
          <w:rFonts w:hint="eastAsia" w:ascii="宋体" w:hAnsi="宋体" w:eastAsia="宋体" w:cs="宋体"/>
          <w:sz w:val="24"/>
          <w:szCs w:val="24"/>
          <w:highlight w:val="none"/>
        </w:rPr>
        <w:t>资经营管理有限公司网站</w:t>
      </w:r>
      <w:r>
        <w:rPr>
          <w:rFonts w:hint="eastAsia" w:ascii="宋体" w:hAnsi="宋体" w:eastAsia="宋体"/>
          <w:sz w:val="24"/>
          <w:szCs w:val="24"/>
          <w:highlight w:val="none"/>
        </w:rPr>
        <w:t>（https://www.gzuci.com/）</w:t>
      </w:r>
      <w:r>
        <w:rPr>
          <w:rFonts w:hint="eastAsia" w:ascii="宋体" w:hAnsi="宋体" w:eastAsia="宋体" w:cs="宋体"/>
          <w:sz w:val="24"/>
          <w:szCs w:val="24"/>
          <w:highlight w:val="none"/>
          <w:lang w:eastAsia="zh-CN"/>
        </w:rPr>
        <w:t>、</w:t>
      </w:r>
      <w:r>
        <w:rPr>
          <w:rFonts w:hint="eastAsia" w:ascii="宋体" w:hAnsi="宋体" w:eastAsia="宋体" w:cs="宋体"/>
          <w:b w:val="0"/>
          <w:kern w:val="2"/>
          <w:sz w:val="24"/>
          <w:szCs w:val="24"/>
          <w:highlight w:val="none"/>
          <w:lang w:val="en-US" w:eastAsia="zh-CN" w:bidi="ar"/>
        </w:rPr>
        <w:t>广州国企阳光采购服务平台</w:t>
      </w:r>
      <w:r>
        <w:rPr>
          <w:rFonts w:hint="eastAsia" w:ascii="宋体" w:hAnsi="宋体" w:eastAsia="宋体"/>
          <w:sz w:val="24"/>
          <w:szCs w:val="24"/>
          <w:highlight w:val="none"/>
        </w:rPr>
        <w:t>（http://ygcg.gzggzy.cn/）</w:t>
      </w:r>
      <w:r>
        <w:rPr>
          <w:rFonts w:hint="eastAsia" w:cs="Arial" w:asciiTheme="minorEastAsia" w:hAnsiTheme="minorEastAsia" w:eastAsiaTheme="minorEastAsia"/>
          <w:sz w:val="24"/>
          <w:highlight w:val="none"/>
        </w:rPr>
        <w:t>同时发布。本竞选文件在各媒体发布的文本如有不同之处，以在</w:t>
      </w:r>
      <w:r>
        <w:rPr>
          <w:rFonts w:hint="eastAsia" w:ascii="宋体" w:hAnsi="宋体" w:eastAsia="宋体" w:cs="宋体"/>
          <w:sz w:val="24"/>
          <w:szCs w:val="24"/>
          <w:highlight w:val="none"/>
        </w:rPr>
        <w:t>广州</w:t>
      </w:r>
      <w:r>
        <w:rPr>
          <w:rFonts w:hint="eastAsia" w:ascii="宋体" w:hAnsi="宋体" w:eastAsia="宋体" w:cs="宋体"/>
          <w:sz w:val="24"/>
          <w:szCs w:val="24"/>
          <w:highlight w:val="none"/>
          <w:lang w:val="en-US" w:eastAsia="zh-CN"/>
        </w:rPr>
        <w:t>城投综合能源投</w:t>
      </w:r>
      <w:r>
        <w:rPr>
          <w:rFonts w:hint="eastAsia" w:ascii="宋体" w:hAnsi="宋体" w:eastAsia="宋体" w:cs="宋体"/>
          <w:sz w:val="24"/>
          <w:szCs w:val="24"/>
          <w:highlight w:val="none"/>
        </w:rPr>
        <w:t>资经营管理有限公司</w:t>
      </w:r>
      <w:r>
        <w:rPr>
          <w:rFonts w:hint="eastAsia" w:cs="Arial" w:asciiTheme="minorEastAsia" w:hAnsiTheme="minorEastAsia" w:eastAsiaTheme="minorEastAsia"/>
          <w:sz w:val="24"/>
          <w:highlight w:val="none"/>
        </w:rPr>
        <w:t>网站发布的文本为准。</w:t>
      </w:r>
    </w:p>
    <w:p>
      <w:pPr>
        <w:pStyle w:val="28"/>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highlight w:val="none"/>
        </w:rPr>
      </w:pPr>
      <w:r>
        <w:rPr>
          <w:rFonts w:hint="eastAsia" w:asciiTheme="minorEastAsia" w:hAnsiTheme="minorEastAsia"/>
          <w:b/>
          <w:sz w:val="24"/>
          <w:szCs w:val="24"/>
          <w:highlight w:val="none"/>
        </w:rPr>
        <w:t>采购人地址及联系方式</w:t>
      </w:r>
    </w:p>
    <w:p>
      <w:pPr>
        <w:spacing w:before="120" w:beforeLines="50" w:after="120" w:afterLines="50" w:line="360" w:lineRule="auto"/>
        <w:ind w:firstLine="480" w:firstLineChars="200"/>
        <w:rPr>
          <w:rFonts w:hint="eastAsia" w:cs="Arial" w:asciiTheme="minorEastAsia" w:hAnsiTheme="minorEastAsia" w:eastAsiaTheme="minorEastAsia"/>
          <w:sz w:val="24"/>
          <w:highlight w:val="none"/>
          <w:lang w:eastAsia="zh-CN"/>
        </w:rPr>
      </w:pPr>
      <w:r>
        <w:rPr>
          <w:rFonts w:hint="eastAsia" w:cs="Arial" w:asciiTheme="minorEastAsia" w:hAnsiTheme="minorEastAsia" w:eastAsiaTheme="minorEastAsia"/>
          <w:sz w:val="24"/>
          <w:highlight w:val="none"/>
        </w:rPr>
        <w:t>采购单位：</w:t>
      </w:r>
      <w:r>
        <w:rPr>
          <w:rFonts w:hint="eastAsia" w:cs="Arial" w:asciiTheme="minorEastAsia" w:hAnsiTheme="minorEastAsia" w:eastAsiaTheme="minorEastAsia"/>
          <w:sz w:val="24"/>
          <w:highlight w:val="none"/>
          <w:lang w:eastAsia="zh-CN"/>
        </w:rPr>
        <w:t>广州城投综合能源投资经营管理有限公司</w:t>
      </w:r>
    </w:p>
    <w:p>
      <w:pPr>
        <w:spacing w:before="120" w:beforeLines="50" w:after="120" w:afterLines="50" w:line="360" w:lineRule="auto"/>
        <w:ind w:firstLine="480" w:firstLineChars="200"/>
        <w:rPr>
          <w:rFonts w:cs="Arial" w:asciiTheme="minorEastAsia" w:hAnsiTheme="minorEastAsia" w:eastAsiaTheme="minorEastAsia"/>
          <w:color w:val="000000"/>
          <w:sz w:val="24"/>
          <w:highlight w:val="none"/>
        </w:rPr>
      </w:pPr>
      <w:r>
        <w:rPr>
          <w:rFonts w:hint="eastAsia" w:cs="Arial" w:asciiTheme="minorEastAsia" w:hAnsiTheme="minorEastAsia" w:eastAsiaTheme="minorEastAsia"/>
          <w:color w:val="000000"/>
          <w:sz w:val="24"/>
          <w:highlight w:val="none"/>
        </w:rPr>
        <w:t>联系地址：广州市番禺区大学城明志街</w:t>
      </w:r>
      <w:r>
        <w:rPr>
          <w:rFonts w:cs="Arial" w:asciiTheme="minorEastAsia" w:hAnsiTheme="minorEastAsia" w:eastAsiaTheme="minorEastAsia"/>
          <w:color w:val="000000"/>
          <w:sz w:val="24"/>
          <w:highlight w:val="none"/>
        </w:rPr>
        <w:t>1</w:t>
      </w:r>
      <w:r>
        <w:rPr>
          <w:rFonts w:hint="eastAsia" w:cs="Arial" w:asciiTheme="minorEastAsia" w:hAnsiTheme="minorEastAsia" w:eastAsiaTheme="minorEastAsia"/>
          <w:color w:val="000000"/>
          <w:sz w:val="24"/>
          <w:highlight w:val="none"/>
        </w:rPr>
        <w:t>号信息枢纽楼9楼</w:t>
      </w:r>
    </w:p>
    <w:p>
      <w:pPr>
        <w:spacing w:before="120" w:beforeLines="50" w:after="120" w:afterLines="50" w:line="360" w:lineRule="auto"/>
        <w:ind w:firstLine="480" w:firstLineChars="200"/>
        <w:rPr>
          <w:rFonts w:hint="eastAsia" w:cs="Arial" w:asciiTheme="minorEastAsia" w:hAnsiTheme="minorEastAsia" w:eastAsiaTheme="minorEastAsia"/>
          <w:color w:val="000000"/>
          <w:sz w:val="24"/>
          <w:highlight w:val="none"/>
          <w:lang w:eastAsia="zh-CN"/>
        </w:rPr>
      </w:pPr>
      <w:r>
        <w:rPr>
          <w:rFonts w:hint="eastAsia" w:cs="Arial" w:asciiTheme="minorEastAsia" w:hAnsiTheme="minorEastAsia" w:eastAsiaTheme="minorEastAsia"/>
          <w:color w:val="000000"/>
          <w:sz w:val="24"/>
          <w:highlight w:val="none"/>
        </w:rPr>
        <w:t>联系人：</w:t>
      </w:r>
      <w:r>
        <w:rPr>
          <w:rFonts w:hint="eastAsia" w:cs="Arial" w:asciiTheme="minorEastAsia" w:hAnsiTheme="minorEastAsia" w:eastAsiaTheme="minorEastAsia"/>
          <w:color w:val="000000"/>
          <w:sz w:val="24"/>
          <w:highlight w:val="none"/>
          <w:lang w:val="en-US" w:eastAsia="zh-CN"/>
        </w:rPr>
        <w:t>王小姐</w:t>
      </w:r>
    </w:p>
    <w:p>
      <w:pPr>
        <w:spacing w:before="120" w:beforeLines="50" w:after="120" w:afterLines="50" w:line="360" w:lineRule="auto"/>
        <w:ind w:firstLine="480" w:firstLineChars="200"/>
        <w:rPr>
          <w:rFonts w:hint="default" w:cs="Arial" w:asciiTheme="minorEastAsia" w:hAnsiTheme="minorEastAsia" w:eastAsiaTheme="minorEastAsia"/>
          <w:color w:val="000000"/>
          <w:sz w:val="24"/>
          <w:highlight w:val="none"/>
          <w:lang w:val="en-US" w:eastAsia="zh-CN"/>
        </w:rPr>
      </w:pPr>
      <w:r>
        <w:rPr>
          <w:rFonts w:hint="eastAsia" w:cs="Arial" w:asciiTheme="minorEastAsia" w:hAnsiTheme="minorEastAsia" w:eastAsiaTheme="minorEastAsia"/>
          <w:color w:val="000000"/>
          <w:sz w:val="24"/>
          <w:highlight w:val="none"/>
        </w:rPr>
        <w:t>联系电话：0</w:t>
      </w:r>
      <w:r>
        <w:rPr>
          <w:rFonts w:cs="Arial" w:asciiTheme="minorEastAsia" w:hAnsiTheme="minorEastAsia" w:eastAsiaTheme="minorEastAsia"/>
          <w:color w:val="000000"/>
          <w:sz w:val="24"/>
          <w:highlight w:val="none"/>
        </w:rPr>
        <w:t>20-393020</w:t>
      </w:r>
      <w:r>
        <w:rPr>
          <w:rFonts w:hint="eastAsia" w:cs="Arial" w:asciiTheme="minorEastAsia" w:hAnsiTheme="minorEastAsia" w:eastAsiaTheme="minorEastAsia"/>
          <w:color w:val="000000"/>
          <w:sz w:val="24"/>
          <w:highlight w:val="none"/>
          <w:lang w:val="en-US" w:eastAsia="zh-CN"/>
        </w:rPr>
        <w:t>78</w:t>
      </w:r>
    </w:p>
    <w:p>
      <w:pPr>
        <w:spacing w:before="120" w:beforeLines="50" w:after="120" w:afterLines="50" w:line="360" w:lineRule="auto"/>
        <w:ind w:firstLine="480" w:firstLineChars="200"/>
        <w:rPr>
          <w:rFonts w:cs="Arial" w:asciiTheme="minorEastAsia" w:hAnsiTheme="minorEastAsia" w:eastAsiaTheme="minorEastAsia"/>
          <w:sz w:val="24"/>
          <w:highlight w:val="none"/>
        </w:rPr>
      </w:pPr>
      <w:r>
        <w:rPr>
          <w:rFonts w:hint="eastAsia" w:cs="Arial" w:asciiTheme="minorEastAsia" w:hAnsiTheme="minorEastAsia" w:eastAsiaTheme="minorEastAsia"/>
          <w:sz w:val="24"/>
          <w:highlight w:val="none"/>
        </w:rPr>
        <w:t>附件1：投标报价</w:t>
      </w:r>
    </w:p>
    <w:p>
      <w:pPr>
        <w:spacing w:before="120" w:beforeLines="50" w:after="120" w:afterLines="50" w:line="360" w:lineRule="auto"/>
        <w:ind w:firstLine="480" w:firstLineChars="200"/>
        <w:rPr>
          <w:rFonts w:cs="Arial" w:asciiTheme="minorEastAsia" w:hAnsiTheme="minorEastAsia" w:eastAsiaTheme="minorEastAsia"/>
          <w:sz w:val="24"/>
          <w:highlight w:val="none"/>
        </w:rPr>
      </w:pPr>
      <w:r>
        <w:rPr>
          <w:rFonts w:hint="eastAsia" w:cs="Arial" w:asciiTheme="minorEastAsia" w:hAnsiTheme="minorEastAsia" w:eastAsiaTheme="minorEastAsia"/>
          <w:sz w:val="24"/>
          <w:highlight w:val="none"/>
        </w:rPr>
        <w:t>附件</w:t>
      </w:r>
      <w:r>
        <w:rPr>
          <w:rFonts w:cs="Arial" w:asciiTheme="minorEastAsia" w:hAnsiTheme="minorEastAsia" w:eastAsiaTheme="minorEastAsia"/>
          <w:sz w:val="24"/>
          <w:highlight w:val="none"/>
        </w:rPr>
        <w:t>2</w:t>
      </w:r>
      <w:r>
        <w:rPr>
          <w:rFonts w:hint="eastAsia" w:cs="Arial" w:asciiTheme="minorEastAsia" w:hAnsiTheme="minorEastAsia" w:eastAsiaTheme="minorEastAsia"/>
          <w:sz w:val="24"/>
          <w:highlight w:val="none"/>
        </w:rPr>
        <w:t>：供应商调查表</w:t>
      </w:r>
    </w:p>
    <w:p>
      <w:pPr>
        <w:spacing w:before="120" w:beforeLines="50" w:after="120" w:afterLines="50" w:line="360" w:lineRule="auto"/>
        <w:ind w:firstLine="480" w:firstLineChars="200"/>
        <w:rPr>
          <w:rFonts w:cs="Arial" w:asciiTheme="minorEastAsia" w:hAnsiTheme="minorEastAsia" w:eastAsiaTheme="minorEastAsia"/>
          <w:sz w:val="24"/>
          <w:highlight w:val="none"/>
        </w:rPr>
      </w:pPr>
      <w:r>
        <w:rPr>
          <w:rFonts w:hint="eastAsia" w:cs="Arial" w:asciiTheme="minorEastAsia" w:hAnsiTheme="minorEastAsia" w:eastAsiaTheme="minorEastAsia"/>
          <w:sz w:val="24"/>
          <w:highlight w:val="none"/>
        </w:rPr>
        <w:t>附件</w:t>
      </w:r>
      <w:r>
        <w:rPr>
          <w:rFonts w:cs="Arial" w:asciiTheme="minorEastAsia" w:hAnsiTheme="minorEastAsia" w:eastAsiaTheme="minorEastAsia"/>
          <w:sz w:val="24"/>
          <w:highlight w:val="none"/>
        </w:rPr>
        <w:t>3</w:t>
      </w:r>
      <w:r>
        <w:rPr>
          <w:rFonts w:hint="eastAsia" w:cs="Arial" w:asciiTheme="minorEastAsia" w:hAnsiTheme="minorEastAsia" w:eastAsiaTheme="minorEastAsia"/>
          <w:sz w:val="24"/>
          <w:highlight w:val="none"/>
        </w:rPr>
        <w:t>：法定代表人身份证明书</w:t>
      </w:r>
    </w:p>
    <w:p>
      <w:pPr>
        <w:spacing w:before="120" w:beforeLines="50" w:after="120" w:afterLines="50" w:line="360" w:lineRule="auto"/>
        <w:ind w:firstLine="480" w:firstLineChars="200"/>
        <w:rPr>
          <w:rFonts w:hint="eastAsia" w:cs="Arial" w:asciiTheme="minorEastAsia" w:hAnsiTheme="minorEastAsia" w:eastAsiaTheme="minorEastAsia"/>
          <w:sz w:val="24"/>
          <w:highlight w:val="none"/>
        </w:rPr>
      </w:pPr>
      <w:r>
        <w:rPr>
          <w:rFonts w:hint="eastAsia" w:cs="Arial" w:asciiTheme="minorEastAsia" w:hAnsiTheme="minorEastAsia" w:eastAsiaTheme="minorEastAsia"/>
          <w:sz w:val="24"/>
          <w:highlight w:val="none"/>
        </w:rPr>
        <w:t>附件</w:t>
      </w:r>
      <w:r>
        <w:rPr>
          <w:rFonts w:cs="Arial" w:asciiTheme="minorEastAsia" w:hAnsiTheme="minorEastAsia" w:eastAsiaTheme="minorEastAsia"/>
          <w:sz w:val="24"/>
          <w:highlight w:val="none"/>
        </w:rPr>
        <w:t>4</w:t>
      </w:r>
      <w:r>
        <w:rPr>
          <w:rFonts w:hint="eastAsia" w:cs="Arial" w:asciiTheme="minorEastAsia" w:hAnsiTheme="minorEastAsia" w:eastAsiaTheme="minorEastAsia"/>
          <w:sz w:val="24"/>
          <w:highlight w:val="none"/>
        </w:rPr>
        <w:t>：法定代表人授权委托证明书</w:t>
      </w:r>
    </w:p>
    <w:p>
      <w:pPr>
        <w:spacing w:before="120" w:beforeLines="50" w:after="120" w:afterLines="50" w:line="360" w:lineRule="auto"/>
        <w:ind w:firstLine="480" w:firstLineChars="200"/>
        <w:rPr>
          <w:rFonts w:hint="default" w:cs="Arial" w:asciiTheme="minorEastAsia" w:hAnsiTheme="minorEastAsia" w:eastAsiaTheme="minorEastAsia"/>
          <w:sz w:val="24"/>
          <w:highlight w:val="none"/>
          <w:lang w:val="en-US" w:eastAsia="zh-CN"/>
        </w:rPr>
      </w:pPr>
      <w:r>
        <w:rPr>
          <w:rFonts w:hint="eastAsia" w:cs="Arial" w:asciiTheme="minorEastAsia" w:hAnsiTheme="minorEastAsia" w:eastAsiaTheme="minorEastAsia"/>
          <w:sz w:val="24"/>
          <w:highlight w:val="none"/>
          <w:lang w:val="en-US" w:eastAsia="zh-CN"/>
        </w:rPr>
        <w:t>附件5：实质性要求响应表</w:t>
      </w:r>
    </w:p>
    <w:p>
      <w:pPr>
        <w:spacing w:before="120" w:beforeLines="50" w:after="120" w:afterLines="50" w:line="360" w:lineRule="auto"/>
        <w:ind w:firstLine="480" w:firstLineChars="200"/>
        <w:rPr>
          <w:rFonts w:cs="Arial" w:asciiTheme="minorEastAsia" w:hAnsiTheme="minorEastAsia" w:eastAsiaTheme="minorEastAsia"/>
          <w:sz w:val="24"/>
          <w:highlight w:val="none"/>
        </w:rPr>
      </w:pPr>
      <w:r>
        <w:rPr>
          <w:rFonts w:hint="eastAsia" w:cs="Arial" w:asciiTheme="minorEastAsia" w:hAnsiTheme="minorEastAsia" w:eastAsiaTheme="minorEastAsia"/>
          <w:sz w:val="24"/>
          <w:highlight w:val="none"/>
        </w:rPr>
        <w:t>附件</w:t>
      </w:r>
      <w:r>
        <w:rPr>
          <w:rFonts w:hint="eastAsia" w:cs="Arial" w:asciiTheme="minorEastAsia" w:hAnsiTheme="minorEastAsia" w:eastAsiaTheme="minorEastAsia"/>
          <w:sz w:val="24"/>
          <w:highlight w:val="none"/>
          <w:lang w:val="en-US" w:eastAsia="zh-CN"/>
        </w:rPr>
        <w:t>6</w:t>
      </w:r>
      <w:r>
        <w:rPr>
          <w:rFonts w:hint="eastAsia" w:cs="Arial" w:asciiTheme="minorEastAsia" w:hAnsiTheme="minorEastAsia" w:eastAsiaTheme="minorEastAsia"/>
          <w:sz w:val="24"/>
          <w:highlight w:val="none"/>
        </w:rPr>
        <w:t>：投标人资格及有效性审查表</w:t>
      </w:r>
    </w:p>
    <w:p>
      <w:pPr>
        <w:spacing w:before="120" w:beforeLines="50" w:after="120" w:afterLines="50" w:line="360" w:lineRule="auto"/>
        <w:ind w:firstLine="480" w:firstLineChars="200"/>
        <w:rPr>
          <w:rFonts w:cs="Arial" w:asciiTheme="minorEastAsia" w:hAnsiTheme="minorEastAsia" w:eastAsiaTheme="minorEastAsia"/>
          <w:sz w:val="24"/>
          <w:highlight w:val="none"/>
        </w:rPr>
      </w:pPr>
      <w:r>
        <w:rPr>
          <w:rFonts w:cs="Arial" w:asciiTheme="minorEastAsia" w:hAnsiTheme="minorEastAsia" w:eastAsiaTheme="minorEastAsia"/>
          <w:sz w:val="24"/>
          <w:highlight w:val="none"/>
        </w:rPr>
        <w:t>附件</w:t>
      </w:r>
      <w:r>
        <w:rPr>
          <w:rFonts w:hint="eastAsia" w:cs="Arial" w:asciiTheme="minorEastAsia" w:hAnsiTheme="minorEastAsia" w:eastAsiaTheme="minorEastAsia"/>
          <w:sz w:val="24"/>
          <w:highlight w:val="none"/>
          <w:lang w:val="en-US" w:eastAsia="zh-CN"/>
        </w:rPr>
        <w:t>7</w:t>
      </w:r>
      <w:r>
        <w:rPr>
          <w:rFonts w:hint="eastAsia" w:cs="Arial" w:asciiTheme="minorEastAsia" w:hAnsiTheme="minorEastAsia" w:eastAsiaTheme="minorEastAsia"/>
          <w:sz w:val="24"/>
          <w:highlight w:val="none"/>
        </w:rPr>
        <w:t>：</w:t>
      </w:r>
      <w:r>
        <w:rPr>
          <w:rFonts w:cs="Arial" w:asciiTheme="minorEastAsia" w:hAnsiTheme="minorEastAsia" w:eastAsiaTheme="minorEastAsia"/>
          <w:sz w:val="24"/>
          <w:highlight w:val="none"/>
        </w:rPr>
        <w:t>评分标准</w:t>
      </w:r>
    </w:p>
    <w:p>
      <w:pPr>
        <w:ind w:left="1200" w:hanging="1200" w:hangingChars="500"/>
        <w:jc w:val="left"/>
        <w:rPr>
          <w:rFonts w:hint="eastAsia" w:ascii="宋体" w:hAnsi="宋体" w:eastAsia="宋体" w:cs="宋体"/>
          <w:b w:val="0"/>
          <w:bCs w:val="0"/>
          <w:sz w:val="24"/>
          <w:szCs w:val="24"/>
          <w:highlight w:val="none"/>
        </w:rPr>
      </w:pPr>
      <w:r>
        <w:rPr>
          <w:rFonts w:hint="eastAsia" w:cs="Arial" w:asciiTheme="minorEastAsia" w:hAnsiTheme="minorEastAsia" w:eastAsiaTheme="minorEastAsia"/>
          <w:sz w:val="24"/>
          <w:highlight w:val="none"/>
          <w:lang w:val="en-US" w:eastAsia="zh-CN"/>
        </w:rPr>
        <w:t xml:space="preserve">   </w:t>
      </w:r>
      <w:r>
        <w:rPr>
          <w:rFonts w:hint="eastAsia" w:cs="Arial" w:asciiTheme="minorEastAsia" w:hAnsiTheme="minorEastAsia" w:eastAsiaTheme="minorEastAsia"/>
          <w:sz w:val="24"/>
          <w:highlight w:val="none"/>
        </w:rPr>
        <w:t>附件</w:t>
      </w:r>
      <w:r>
        <w:rPr>
          <w:rFonts w:hint="eastAsia" w:cs="Arial" w:asciiTheme="minorEastAsia" w:hAnsiTheme="minorEastAsia" w:eastAsiaTheme="minorEastAsia"/>
          <w:sz w:val="24"/>
          <w:highlight w:val="none"/>
          <w:lang w:val="en-US" w:eastAsia="zh-CN"/>
        </w:rPr>
        <w:t>8</w:t>
      </w:r>
      <w:r>
        <w:rPr>
          <w:rFonts w:hint="eastAsia" w:cs="Arial" w:asciiTheme="minorEastAsia" w:hAnsiTheme="minorEastAsia" w:eastAsiaTheme="minorEastAsia"/>
          <w:sz w:val="24"/>
          <w:highlight w:val="none"/>
        </w:rPr>
        <w:t>：采购需求书</w:t>
      </w:r>
      <w:r>
        <w:rPr>
          <w:rFonts w:hint="eastAsia" w:cs="Arial" w:asciiTheme="minorEastAsia" w:hAnsiTheme="minorEastAsia" w:eastAsiaTheme="minorEastAsia"/>
          <w:sz w:val="24"/>
          <w:highlight w:val="none"/>
          <w:lang w:val="en-US" w:eastAsia="zh-CN"/>
        </w:rPr>
        <w:t xml:space="preserve">                                                   （1）</w:t>
      </w:r>
      <w:r>
        <w:rPr>
          <w:rFonts w:hint="eastAsia" w:ascii="宋体" w:hAnsi="宋体" w:eastAsia="宋体" w:cs="宋体"/>
          <w:b w:val="0"/>
          <w:bCs w:val="0"/>
          <w:sz w:val="24"/>
          <w:szCs w:val="24"/>
          <w:highlight w:val="none"/>
        </w:rPr>
        <w:t>新型物联网中央空调计时型温控器研发应用示范采购需求</w:t>
      </w:r>
    </w:p>
    <w:p>
      <w:pPr>
        <w:ind w:left="1197" w:leftChars="570" w:firstLine="0" w:firstLineChars="0"/>
        <w:jc w:val="left"/>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新型物联网中央空调计时型温控器研发应用示范技术方案</w:t>
      </w:r>
    </w:p>
    <w:p>
      <w:pPr>
        <w:spacing w:before="120" w:beforeLines="50" w:after="120" w:afterLines="50" w:line="360" w:lineRule="auto"/>
        <w:ind w:firstLine="480" w:firstLineChars="200"/>
        <w:rPr>
          <w:rFonts w:cs="Arial" w:asciiTheme="minorEastAsia" w:hAnsiTheme="minorEastAsia" w:eastAsiaTheme="minorEastAsia"/>
          <w:sz w:val="24"/>
          <w:highlight w:val="none"/>
        </w:rPr>
      </w:pPr>
    </w:p>
    <w:p>
      <w:pPr>
        <w:spacing w:before="50" w:after="50" w:line="360" w:lineRule="auto"/>
        <w:ind w:firstLine="1920" w:firstLineChars="800"/>
        <w:rPr>
          <w:rFonts w:cs="Arial" w:asciiTheme="minorEastAsia" w:hAnsiTheme="minorEastAsia" w:eastAsiaTheme="minorEastAsia"/>
          <w:sz w:val="24"/>
          <w:highlight w:val="none"/>
        </w:rPr>
      </w:pPr>
    </w:p>
    <w:p>
      <w:pPr>
        <w:spacing w:before="50" w:after="50" w:line="360" w:lineRule="auto"/>
        <w:ind w:firstLine="0" w:firstLineChars="0"/>
        <w:jc w:val="right"/>
        <w:rPr>
          <w:rFonts w:hint="eastAsia" w:cs="Arial" w:asciiTheme="minorEastAsia" w:hAnsiTheme="minorEastAsia" w:eastAsiaTheme="minorEastAsia"/>
          <w:sz w:val="24"/>
          <w:highlight w:val="none"/>
          <w:lang w:eastAsia="zh-CN"/>
        </w:rPr>
      </w:pPr>
      <w:r>
        <w:rPr>
          <w:rFonts w:hint="eastAsia" w:cs="Arial" w:asciiTheme="minorEastAsia" w:hAnsiTheme="minorEastAsia" w:eastAsiaTheme="minorEastAsia"/>
          <w:sz w:val="24"/>
          <w:highlight w:val="none"/>
        </w:rPr>
        <w:t>采购人：</w:t>
      </w:r>
      <w:r>
        <w:rPr>
          <w:rFonts w:hint="eastAsia" w:cs="Arial" w:asciiTheme="minorEastAsia" w:hAnsiTheme="minorEastAsia" w:eastAsiaTheme="minorEastAsia"/>
          <w:sz w:val="24"/>
          <w:highlight w:val="none"/>
          <w:lang w:eastAsia="zh-CN"/>
        </w:rPr>
        <w:t>广州城投综合能源投资经营管理有限公司</w:t>
      </w:r>
    </w:p>
    <w:p>
      <w:pPr>
        <w:spacing w:before="50" w:after="50" w:line="360" w:lineRule="auto"/>
        <w:ind w:firstLine="0" w:firstLineChars="0"/>
        <w:jc w:val="right"/>
        <w:rPr>
          <w:rFonts w:cs="Arial" w:asciiTheme="minorEastAsia" w:hAnsiTheme="minorEastAsia" w:eastAsiaTheme="minorEastAsia"/>
          <w:sz w:val="24"/>
          <w:highlight w:val="none"/>
        </w:rPr>
      </w:pPr>
      <w:r>
        <w:rPr>
          <w:rFonts w:hint="eastAsia" w:cs="Arial" w:asciiTheme="minorEastAsia" w:hAnsiTheme="minorEastAsia" w:eastAsiaTheme="minorEastAsia"/>
          <w:sz w:val="24"/>
          <w:highlight w:val="none"/>
        </w:rPr>
        <w:t>202</w:t>
      </w:r>
      <w:r>
        <w:rPr>
          <w:rFonts w:hint="eastAsia" w:cs="Arial" w:asciiTheme="minorEastAsia" w:hAnsiTheme="minorEastAsia" w:eastAsiaTheme="minorEastAsia"/>
          <w:sz w:val="24"/>
          <w:highlight w:val="none"/>
          <w:lang w:val="en-US" w:eastAsia="zh-CN"/>
        </w:rPr>
        <w:t>3</w:t>
      </w:r>
      <w:r>
        <w:rPr>
          <w:rFonts w:hint="eastAsia" w:cs="Arial" w:asciiTheme="minorEastAsia" w:hAnsiTheme="minorEastAsia" w:eastAsiaTheme="minorEastAsia"/>
          <w:sz w:val="24"/>
          <w:highlight w:val="none"/>
        </w:rPr>
        <w:t>年</w:t>
      </w:r>
      <w:r>
        <w:rPr>
          <w:rFonts w:hint="eastAsia" w:cs="Arial" w:asciiTheme="minorEastAsia" w:hAnsiTheme="minorEastAsia" w:eastAsiaTheme="minorEastAsia"/>
          <w:sz w:val="24"/>
          <w:highlight w:val="none"/>
          <w:lang w:val="en-US" w:eastAsia="zh-CN"/>
        </w:rPr>
        <w:t>11</w:t>
      </w:r>
      <w:r>
        <w:rPr>
          <w:rFonts w:hint="eastAsia" w:cs="Arial" w:asciiTheme="minorEastAsia" w:hAnsiTheme="minorEastAsia" w:eastAsiaTheme="minorEastAsia"/>
          <w:sz w:val="24"/>
          <w:highlight w:val="none"/>
        </w:rPr>
        <w:t>月</w:t>
      </w:r>
      <w:r>
        <w:rPr>
          <w:rFonts w:hint="eastAsia" w:cs="Arial" w:asciiTheme="minorEastAsia" w:hAnsiTheme="minorEastAsia" w:eastAsiaTheme="minorEastAsia"/>
          <w:sz w:val="24"/>
          <w:highlight w:val="none"/>
          <w:lang w:val="en-US" w:eastAsia="zh-CN"/>
        </w:rPr>
        <w:t>13</w:t>
      </w:r>
      <w:r>
        <w:rPr>
          <w:rFonts w:hint="eastAsia" w:cs="Arial" w:asciiTheme="minorEastAsia" w:hAnsiTheme="minorEastAsia" w:eastAsiaTheme="minorEastAsia"/>
          <w:sz w:val="24"/>
          <w:highlight w:val="none"/>
        </w:rPr>
        <w:t>日</w:t>
      </w:r>
    </w:p>
    <w:p>
      <w:pPr>
        <w:spacing w:before="50" w:after="50" w:line="360" w:lineRule="auto"/>
        <w:ind w:firstLine="200"/>
        <w:rPr>
          <w:rFonts w:ascii="宋体" w:hAnsi="宋体" w:cs="Arial"/>
          <w:color w:val="000000"/>
          <w:sz w:val="30"/>
          <w:szCs w:val="30"/>
          <w:highlight w:val="none"/>
        </w:rPr>
      </w:pPr>
    </w:p>
    <w:p>
      <w:pPr>
        <w:widowControl/>
        <w:jc w:val="left"/>
        <w:rPr>
          <w:rFonts w:ascii="宋体" w:hAnsi="宋体" w:cs="Arial"/>
          <w:color w:val="000000"/>
          <w:sz w:val="30"/>
          <w:szCs w:val="30"/>
          <w:highlight w:val="none"/>
        </w:rPr>
      </w:pPr>
      <w:r>
        <w:rPr>
          <w:rFonts w:ascii="宋体" w:hAnsi="宋体" w:cs="Arial"/>
          <w:color w:val="000000"/>
          <w:sz w:val="30"/>
          <w:szCs w:val="30"/>
          <w:highlight w:val="none"/>
        </w:rPr>
        <w:br w:type="page"/>
      </w:r>
    </w:p>
    <w:p>
      <w:pPr>
        <w:spacing w:before="93" w:line="360" w:lineRule="auto"/>
        <w:rPr>
          <w:rFonts w:hAnsi="宋体"/>
          <w:b/>
          <w:sz w:val="28"/>
          <w:szCs w:val="28"/>
          <w:highlight w:val="none"/>
        </w:rPr>
      </w:pPr>
      <w:r>
        <w:rPr>
          <w:rFonts w:hint="eastAsia" w:ascii="宋体" w:hAnsi="宋体" w:cs="Arial"/>
          <w:color w:val="000000"/>
          <w:sz w:val="30"/>
          <w:szCs w:val="30"/>
          <w:highlight w:val="none"/>
        </w:rPr>
        <w:t>附件1</w:t>
      </w:r>
    </w:p>
    <w:p>
      <w:pPr>
        <w:pStyle w:val="8"/>
        <w:spacing w:line="360" w:lineRule="auto"/>
        <w:ind w:firstLine="3684" w:firstLineChars="1315"/>
        <w:rPr>
          <w:rFonts w:hAnsi="宋体"/>
          <w:b/>
          <w:sz w:val="28"/>
          <w:szCs w:val="28"/>
          <w:highlight w:val="none"/>
        </w:rPr>
      </w:pPr>
      <w:r>
        <w:rPr>
          <w:rFonts w:hAnsi="宋体"/>
          <w:b/>
          <w:sz w:val="28"/>
          <w:szCs w:val="28"/>
          <w:highlight w:val="none"/>
        </w:rPr>
        <w:t>报价一览表</w:t>
      </w:r>
    </w:p>
    <w:p>
      <w:pPr>
        <w:pStyle w:val="28"/>
        <w:numPr>
          <w:ilvl w:val="-1"/>
          <w:numId w:val="0"/>
        </w:numPr>
        <w:spacing w:before="120" w:beforeLines="50" w:after="120" w:afterLines="50" w:line="360" w:lineRule="auto"/>
        <w:ind w:left="0" w:firstLine="0" w:firstLineChars="0"/>
        <w:rPr>
          <w:rFonts w:asciiTheme="minorEastAsia" w:hAnsiTheme="minorEastAsia"/>
          <w:sz w:val="24"/>
          <w:szCs w:val="24"/>
          <w:highlight w:val="none"/>
        </w:rPr>
      </w:pPr>
      <w:r>
        <w:rPr>
          <w:rFonts w:hint="eastAsia" w:hAnsi="宋体"/>
          <w:sz w:val="24"/>
          <w:highlight w:val="none"/>
        </w:rPr>
        <w:t>项目名称：</w:t>
      </w:r>
      <w:r>
        <w:rPr>
          <w:rFonts w:hint="eastAsia" w:ascii="宋体" w:hAnsi="宋体" w:eastAsia="宋体" w:cs="宋体"/>
          <w:b w:val="0"/>
          <w:sz w:val="24"/>
          <w:szCs w:val="24"/>
          <w:highlight w:val="none"/>
          <w:u w:val="none"/>
        </w:rPr>
        <w:t>新型物联网中央空调计时型温控器研发应用示范</w:t>
      </w:r>
    </w:p>
    <w:tbl>
      <w:tblPr>
        <w:tblStyle w:val="16"/>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152"/>
        <w:gridCol w:w="1817"/>
        <w:gridCol w:w="3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jc w:val="center"/>
        </w:trPr>
        <w:tc>
          <w:tcPr>
            <w:tcW w:w="851" w:type="dxa"/>
            <w:vAlign w:val="center"/>
          </w:tcPr>
          <w:p>
            <w:pPr>
              <w:spacing w:line="360" w:lineRule="auto"/>
              <w:jc w:val="center"/>
              <w:rPr>
                <w:rFonts w:hAnsi="宋体"/>
                <w:bCs/>
                <w:sz w:val="24"/>
                <w:highlight w:val="none"/>
              </w:rPr>
            </w:pPr>
            <w:r>
              <w:rPr>
                <w:rFonts w:hint="eastAsia" w:hAnsi="宋体"/>
                <w:bCs/>
                <w:sz w:val="24"/>
                <w:highlight w:val="none"/>
              </w:rPr>
              <w:t>序号</w:t>
            </w:r>
          </w:p>
        </w:tc>
        <w:tc>
          <w:tcPr>
            <w:tcW w:w="3152" w:type="dxa"/>
            <w:vAlign w:val="center"/>
          </w:tcPr>
          <w:p>
            <w:pPr>
              <w:spacing w:line="360" w:lineRule="auto"/>
              <w:jc w:val="center"/>
              <w:rPr>
                <w:rFonts w:hAnsi="宋体"/>
                <w:bCs/>
                <w:sz w:val="24"/>
                <w:highlight w:val="none"/>
              </w:rPr>
            </w:pPr>
            <w:r>
              <w:rPr>
                <w:rFonts w:hint="eastAsia" w:hAnsi="宋体"/>
                <w:bCs/>
                <w:sz w:val="24"/>
                <w:highlight w:val="none"/>
              </w:rPr>
              <w:t>项目名称</w:t>
            </w:r>
          </w:p>
        </w:tc>
        <w:tc>
          <w:tcPr>
            <w:tcW w:w="5161" w:type="dxa"/>
            <w:gridSpan w:val="2"/>
            <w:vAlign w:val="center"/>
          </w:tcPr>
          <w:p>
            <w:pPr>
              <w:spacing w:line="360" w:lineRule="auto"/>
              <w:jc w:val="center"/>
              <w:rPr>
                <w:rFonts w:hAnsi="宋体"/>
                <w:bCs/>
                <w:sz w:val="24"/>
                <w:highlight w:val="none"/>
              </w:rPr>
            </w:pPr>
            <w:r>
              <w:rPr>
                <w:rFonts w:hint="eastAsia" w:hAnsi="宋体"/>
                <w:bCs/>
                <w:sz w:val="24"/>
                <w:highlight w:val="none"/>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51" w:type="dxa"/>
            <w:vAlign w:val="center"/>
          </w:tcPr>
          <w:p>
            <w:pPr>
              <w:spacing w:line="360" w:lineRule="auto"/>
              <w:jc w:val="center"/>
              <w:rPr>
                <w:rFonts w:hAnsi="宋体"/>
                <w:sz w:val="24"/>
                <w:highlight w:val="none"/>
              </w:rPr>
            </w:pPr>
            <w:r>
              <w:rPr>
                <w:rFonts w:hint="eastAsia" w:hAnsi="宋体"/>
                <w:sz w:val="24"/>
                <w:highlight w:val="none"/>
              </w:rPr>
              <w:t>1</w:t>
            </w:r>
          </w:p>
        </w:tc>
        <w:tc>
          <w:tcPr>
            <w:tcW w:w="3152" w:type="dxa"/>
            <w:vAlign w:val="center"/>
          </w:tcPr>
          <w:p>
            <w:pPr>
              <w:spacing w:line="360" w:lineRule="auto"/>
              <w:jc w:val="center"/>
              <w:rPr>
                <w:rFonts w:hAnsi="宋体"/>
                <w:sz w:val="24"/>
                <w:highlight w:val="none"/>
              </w:rPr>
            </w:pPr>
            <w:r>
              <w:rPr>
                <w:rFonts w:hint="eastAsia" w:hAnsi="宋体"/>
                <w:sz w:val="24"/>
                <w:highlight w:val="none"/>
              </w:rPr>
              <w:t>投标总价（含税）</w:t>
            </w:r>
          </w:p>
        </w:tc>
        <w:tc>
          <w:tcPr>
            <w:tcW w:w="5161" w:type="dxa"/>
            <w:gridSpan w:val="2"/>
            <w:vAlign w:val="center"/>
          </w:tcPr>
          <w:p>
            <w:pPr>
              <w:spacing w:line="360" w:lineRule="auto"/>
              <w:rPr>
                <w:rFonts w:hAnsi="宋体"/>
                <w:sz w:val="24"/>
                <w:highlight w:val="none"/>
              </w:rPr>
            </w:pPr>
            <w:r>
              <w:rPr>
                <w:rFonts w:hint="eastAsia" w:ascii="宋体" w:hAnsi="宋体"/>
                <w:sz w:val="24"/>
                <w:highlight w:val="none"/>
              </w:rPr>
              <w:t>大写</w:t>
            </w:r>
            <w:r>
              <w:rPr>
                <w:rFonts w:hint="eastAsia" w:hAnsi="宋体"/>
                <w:sz w:val="24"/>
                <w:highlight w:val="none"/>
              </w:rPr>
              <w:t>：</w:t>
            </w:r>
          </w:p>
          <w:p>
            <w:pPr>
              <w:spacing w:line="360" w:lineRule="auto"/>
              <w:rPr>
                <w:rFonts w:hAnsi="宋体"/>
                <w:sz w:val="24"/>
                <w:highlight w:val="none"/>
              </w:rPr>
            </w:pPr>
            <w:r>
              <w:rPr>
                <w:rFonts w:hint="eastAsia" w:hAnsi="宋体"/>
                <w:sz w:val="24"/>
                <w:highlight w:val="none"/>
              </w:rPr>
              <w:t>小写：</w:t>
            </w:r>
          </w:p>
          <w:p>
            <w:pPr>
              <w:spacing w:line="360" w:lineRule="auto"/>
              <w:rPr>
                <w:rFonts w:hAnsi="宋体"/>
                <w:sz w:val="24"/>
                <w:highlight w:val="none"/>
              </w:rPr>
            </w:pPr>
            <w:r>
              <w:rPr>
                <w:rFonts w:hint="eastAsia" w:hAnsi="宋体"/>
                <w:sz w:val="24"/>
                <w:highlight w:val="none"/>
              </w:rPr>
              <w:t>必须开具增值税专用发票，税点（）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pPr>
              <w:spacing w:line="360" w:lineRule="auto"/>
              <w:jc w:val="center"/>
              <w:rPr>
                <w:rFonts w:hint="default" w:hAnsi="宋体" w:eastAsia="宋体"/>
                <w:sz w:val="24"/>
                <w:highlight w:val="none"/>
                <w:lang w:val="en-US" w:eastAsia="zh-CN"/>
              </w:rPr>
            </w:pPr>
            <w:r>
              <w:rPr>
                <w:rFonts w:hint="eastAsia" w:hAnsi="宋体"/>
                <w:sz w:val="24"/>
                <w:highlight w:val="none"/>
                <w:lang w:val="en-US" w:eastAsia="zh-CN"/>
              </w:rPr>
              <w:t>1.1</w:t>
            </w:r>
          </w:p>
        </w:tc>
        <w:tc>
          <w:tcPr>
            <w:tcW w:w="3152" w:type="dxa"/>
            <w:vAlign w:val="center"/>
          </w:tcPr>
          <w:p>
            <w:pPr>
              <w:spacing w:line="360" w:lineRule="auto"/>
              <w:jc w:val="center"/>
              <w:rPr>
                <w:rFonts w:hint="default" w:hAnsi="宋体" w:eastAsia="宋体"/>
                <w:sz w:val="24"/>
                <w:highlight w:val="none"/>
                <w:lang w:val="en-US" w:eastAsia="zh-CN"/>
              </w:rPr>
            </w:pPr>
            <w:r>
              <w:rPr>
                <w:rFonts w:hint="eastAsia" w:hAnsi="宋体"/>
                <w:sz w:val="24"/>
                <w:highlight w:val="none"/>
                <w:lang w:val="en-US" w:eastAsia="zh-CN"/>
              </w:rPr>
              <w:t>新型物联网中央空调计时型温控器硬件开发报价</w:t>
            </w:r>
          </w:p>
        </w:tc>
        <w:tc>
          <w:tcPr>
            <w:tcW w:w="5161" w:type="dxa"/>
            <w:gridSpan w:val="2"/>
            <w:vAlign w:val="center"/>
          </w:tcPr>
          <w:p>
            <w:pPr>
              <w:spacing w:line="360" w:lineRule="auto"/>
              <w:rPr>
                <w:rFonts w:hint="eastAsia" w:ascii="宋体" w:hAnsi="宋体"/>
                <w:sz w:val="24"/>
                <w:highlight w:val="none"/>
              </w:rPr>
            </w:pPr>
          </w:p>
          <w:p>
            <w:pPr>
              <w:spacing w:line="360" w:lineRule="auto"/>
              <w:rPr>
                <w:rFonts w:hAnsi="宋体"/>
                <w:sz w:val="24"/>
                <w:highlight w:val="none"/>
              </w:rPr>
            </w:pPr>
            <w:r>
              <w:rPr>
                <w:rFonts w:hint="eastAsia" w:ascii="宋体" w:hAnsi="宋体"/>
                <w:sz w:val="24"/>
                <w:highlight w:val="none"/>
              </w:rPr>
              <w:t>大写</w:t>
            </w:r>
            <w:r>
              <w:rPr>
                <w:rFonts w:hint="eastAsia" w:hAnsi="宋体"/>
                <w:sz w:val="24"/>
                <w:highlight w:val="none"/>
              </w:rPr>
              <w:t>：</w:t>
            </w:r>
          </w:p>
          <w:p>
            <w:pPr>
              <w:spacing w:line="360" w:lineRule="auto"/>
              <w:rPr>
                <w:rFonts w:hint="eastAsia" w:hAnsi="宋体"/>
                <w:sz w:val="24"/>
                <w:highlight w:val="none"/>
              </w:rPr>
            </w:pPr>
            <w:r>
              <w:rPr>
                <w:rFonts w:hint="eastAsia" w:hAnsi="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51" w:type="dxa"/>
            <w:vAlign w:val="center"/>
          </w:tcPr>
          <w:p>
            <w:pPr>
              <w:spacing w:line="360" w:lineRule="auto"/>
              <w:ind w:firstLine="0" w:firstLineChars="0"/>
              <w:jc w:val="both"/>
              <w:rPr>
                <w:rFonts w:hint="default" w:hAnsi="宋体"/>
                <w:sz w:val="24"/>
                <w:highlight w:val="none"/>
                <w:lang w:val="en-US" w:eastAsia="zh-CN"/>
              </w:rPr>
            </w:pPr>
            <w:r>
              <w:rPr>
                <w:rFonts w:hint="eastAsia" w:hAnsi="宋体"/>
                <w:sz w:val="24"/>
                <w:highlight w:val="none"/>
                <w:lang w:val="en-US" w:eastAsia="zh-CN"/>
              </w:rPr>
              <w:t>1.2</w:t>
            </w:r>
          </w:p>
        </w:tc>
        <w:tc>
          <w:tcPr>
            <w:tcW w:w="3152" w:type="dxa"/>
            <w:vAlign w:val="center"/>
          </w:tcPr>
          <w:p>
            <w:pPr>
              <w:spacing w:line="360" w:lineRule="auto"/>
              <w:jc w:val="center"/>
              <w:rPr>
                <w:rFonts w:hint="default" w:hAnsi="宋体"/>
                <w:sz w:val="24"/>
                <w:highlight w:val="none"/>
                <w:lang w:val="en-US" w:eastAsia="zh-CN"/>
              </w:rPr>
            </w:pPr>
            <w:r>
              <w:rPr>
                <w:rFonts w:hint="eastAsia" w:hAnsi="宋体"/>
                <w:sz w:val="24"/>
                <w:highlight w:val="none"/>
                <w:lang w:val="en-US" w:eastAsia="zh-CN"/>
              </w:rPr>
              <w:t>软件平台对接报价</w:t>
            </w:r>
          </w:p>
        </w:tc>
        <w:tc>
          <w:tcPr>
            <w:tcW w:w="5161" w:type="dxa"/>
            <w:gridSpan w:val="2"/>
            <w:vAlign w:val="center"/>
          </w:tcPr>
          <w:p>
            <w:pPr>
              <w:spacing w:line="360" w:lineRule="auto"/>
              <w:rPr>
                <w:rFonts w:hAnsi="宋体"/>
                <w:sz w:val="24"/>
                <w:highlight w:val="none"/>
              </w:rPr>
            </w:pPr>
            <w:r>
              <w:rPr>
                <w:rFonts w:hint="eastAsia" w:ascii="宋体" w:hAnsi="宋体"/>
                <w:sz w:val="24"/>
                <w:highlight w:val="none"/>
              </w:rPr>
              <w:t>大写</w:t>
            </w:r>
            <w:r>
              <w:rPr>
                <w:rFonts w:hint="eastAsia" w:hAnsi="宋体"/>
                <w:sz w:val="24"/>
                <w:highlight w:val="none"/>
              </w:rPr>
              <w:t>：</w:t>
            </w:r>
          </w:p>
          <w:p>
            <w:pPr>
              <w:spacing w:line="360" w:lineRule="auto"/>
              <w:rPr>
                <w:rFonts w:hint="eastAsia" w:hAnsi="宋体"/>
                <w:sz w:val="24"/>
                <w:highlight w:val="none"/>
              </w:rPr>
            </w:pPr>
            <w:r>
              <w:rPr>
                <w:rFonts w:hint="eastAsia" w:hAnsi="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51" w:type="dxa"/>
            <w:vAlign w:val="center"/>
          </w:tcPr>
          <w:p>
            <w:pPr>
              <w:spacing w:line="360" w:lineRule="auto"/>
              <w:jc w:val="center"/>
              <w:rPr>
                <w:rFonts w:hint="default" w:hAnsi="宋体" w:eastAsia="宋体"/>
                <w:sz w:val="24"/>
                <w:highlight w:val="none"/>
                <w:lang w:val="en-US" w:eastAsia="zh-CN"/>
              </w:rPr>
            </w:pPr>
            <w:r>
              <w:rPr>
                <w:rFonts w:hint="eastAsia" w:hAnsi="宋体"/>
                <w:sz w:val="24"/>
                <w:highlight w:val="none"/>
                <w:lang w:val="en-US" w:eastAsia="zh-CN"/>
              </w:rPr>
              <w:t>1.3</w:t>
            </w:r>
          </w:p>
        </w:tc>
        <w:tc>
          <w:tcPr>
            <w:tcW w:w="3152" w:type="dxa"/>
            <w:vAlign w:val="center"/>
          </w:tcPr>
          <w:p>
            <w:pPr>
              <w:spacing w:line="360" w:lineRule="auto"/>
              <w:jc w:val="center"/>
              <w:rPr>
                <w:rFonts w:hint="default" w:hAnsi="宋体" w:eastAsia="宋体"/>
                <w:sz w:val="24"/>
                <w:highlight w:val="none"/>
                <w:lang w:val="en-US" w:eastAsia="zh-CN"/>
              </w:rPr>
            </w:pPr>
            <w:r>
              <w:rPr>
                <w:rFonts w:hint="eastAsia" w:hAnsi="宋体"/>
                <w:sz w:val="24"/>
                <w:highlight w:val="none"/>
                <w:lang w:val="en-US" w:eastAsia="zh-CN"/>
              </w:rPr>
              <w:t>新型物联网中央空调计时型温控器样机开发报价</w:t>
            </w:r>
          </w:p>
        </w:tc>
        <w:tc>
          <w:tcPr>
            <w:tcW w:w="5161" w:type="dxa"/>
            <w:gridSpan w:val="2"/>
            <w:vAlign w:val="center"/>
          </w:tcPr>
          <w:p>
            <w:pPr>
              <w:spacing w:line="360" w:lineRule="auto"/>
              <w:rPr>
                <w:rFonts w:hint="eastAsia" w:hAnsi="宋体"/>
                <w:sz w:val="24"/>
                <w:highlight w:val="none"/>
              </w:rPr>
            </w:pPr>
          </w:p>
          <w:p>
            <w:pPr>
              <w:spacing w:line="360" w:lineRule="auto"/>
              <w:rPr>
                <w:rFonts w:hint="eastAsia" w:hAnsi="宋体"/>
                <w:sz w:val="24"/>
                <w:highlight w:val="none"/>
              </w:rPr>
            </w:pPr>
            <w:r>
              <w:rPr>
                <w:rFonts w:hint="eastAsia" w:ascii="宋体" w:hAnsi="宋体"/>
                <w:sz w:val="24"/>
                <w:highlight w:val="none"/>
              </w:rPr>
              <w:t>大写</w:t>
            </w:r>
            <w:r>
              <w:rPr>
                <w:rFonts w:hint="eastAsia" w:hAnsi="宋体"/>
                <w:sz w:val="24"/>
                <w:highlight w:val="none"/>
              </w:rPr>
              <w:t>：</w:t>
            </w:r>
          </w:p>
          <w:p>
            <w:pPr>
              <w:spacing w:line="360" w:lineRule="auto"/>
              <w:rPr>
                <w:rFonts w:hint="eastAsia" w:hAnsi="宋体"/>
                <w:sz w:val="24"/>
                <w:highlight w:val="none"/>
              </w:rPr>
            </w:pPr>
            <w:r>
              <w:rPr>
                <w:rFonts w:hint="eastAsia" w:hAnsi="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1" w:type="dxa"/>
            <w:vAlign w:val="center"/>
          </w:tcPr>
          <w:p>
            <w:pPr>
              <w:spacing w:line="360" w:lineRule="auto"/>
              <w:jc w:val="center"/>
              <w:rPr>
                <w:rFonts w:hint="default" w:hAnsi="宋体"/>
                <w:sz w:val="24"/>
                <w:highlight w:val="none"/>
                <w:lang w:val="en-US" w:eastAsia="zh-CN"/>
              </w:rPr>
            </w:pPr>
            <w:r>
              <w:rPr>
                <w:rFonts w:hint="eastAsia" w:hAnsi="宋体"/>
                <w:sz w:val="24"/>
                <w:highlight w:val="none"/>
                <w:lang w:val="en-US" w:eastAsia="zh-CN"/>
              </w:rPr>
              <w:t>2</w:t>
            </w:r>
          </w:p>
        </w:tc>
        <w:tc>
          <w:tcPr>
            <w:tcW w:w="3152" w:type="dxa"/>
            <w:vAlign w:val="center"/>
          </w:tcPr>
          <w:p>
            <w:pPr>
              <w:spacing w:line="360" w:lineRule="auto"/>
              <w:jc w:val="center"/>
              <w:rPr>
                <w:rFonts w:hint="default" w:hAnsi="宋体"/>
                <w:sz w:val="24"/>
                <w:highlight w:val="none"/>
                <w:lang w:val="en-US" w:eastAsia="zh-CN"/>
              </w:rPr>
            </w:pPr>
            <w:r>
              <w:rPr>
                <w:rFonts w:hint="eastAsia" w:hAnsi="宋体"/>
                <w:sz w:val="24"/>
                <w:highlight w:val="none"/>
                <w:lang w:val="en-US" w:eastAsia="zh-CN"/>
              </w:rPr>
              <w:t>工期</w:t>
            </w:r>
          </w:p>
        </w:tc>
        <w:tc>
          <w:tcPr>
            <w:tcW w:w="5161" w:type="dxa"/>
            <w:gridSpan w:val="2"/>
            <w:vAlign w:val="center"/>
          </w:tcPr>
          <w:p>
            <w:pPr>
              <w:spacing w:line="360" w:lineRule="auto"/>
              <w:rPr>
                <w:rFonts w:hint="eastAsia"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51" w:type="dxa"/>
            <w:vAlign w:val="center"/>
          </w:tcPr>
          <w:p>
            <w:pPr>
              <w:spacing w:line="360" w:lineRule="auto"/>
              <w:jc w:val="center"/>
              <w:rPr>
                <w:rFonts w:hint="default" w:hAnsi="宋体"/>
                <w:sz w:val="24"/>
                <w:highlight w:val="none"/>
                <w:lang w:val="en-US" w:eastAsia="zh-CN"/>
              </w:rPr>
            </w:pPr>
            <w:r>
              <w:rPr>
                <w:rFonts w:hint="eastAsia" w:hAnsi="宋体"/>
                <w:sz w:val="24"/>
                <w:highlight w:val="none"/>
                <w:lang w:val="en-US" w:eastAsia="zh-CN"/>
              </w:rPr>
              <w:t>3</w:t>
            </w:r>
          </w:p>
        </w:tc>
        <w:tc>
          <w:tcPr>
            <w:tcW w:w="3152" w:type="dxa"/>
            <w:vAlign w:val="center"/>
          </w:tcPr>
          <w:p>
            <w:pPr>
              <w:spacing w:line="360" w:lineRule="auto"/>
              <w:jc w:val="center"/>
              <w:rPr>
                <w:rFonts w:hint="default" w:hAnsi="宋体"/>
                <w:sz w:val="24"/>
                <w:highlight w:val="none"/>
                <w:lang w:val="en-US" w:eastAsia="zh-CN"/>
              </w:rPr>
            </w:pPr>
            <w:r>
              <w:rPr>
                <w:rFonts w:hint="eastAsia" w:hAnsi="宋体"/>
                <w:sz w:val="24"/>
                <w:highlight w:val="none"/>
                <w:lang w:val="en-US" w:eastAsia="zh-CN"/>
              </w:rPr>
              <w:t>质保期</w:t>
            </w:r>
          </w:p>
        </w:tc>
        <w:tc>
          <w:tcPr>
            <w:tcW w:w="5161" w:type="dxa"/>
            <w:gridSpan w:val="2"/>
            <w:vAlign w:val="center"/>
          </w:tcPr>
          <w:p>
            <w:pPr>
              <w:spacing w:line="360" w:lineRule="auto"/>
              <w:rPr>
                <w:rFonts w:hint="eastAsia"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1" w:type="dxa"/>
            <w:vMerge w:val="restart"/>
            <w:vAlign w:val="center"/>
          </w:tcPr>
          <w:p>
            <w:pPr>
              <w:spacing w:line="360" w:lineRule="auto"/>
              <w:jc w:val="center"/>
              <w:rPr>
                <w:rFonts w:hint="eastAsia" w:hAnsi="宋体" w:eastAsia="宋体"/>
                <w:sz w:val="24"/>
                <w:highlight w:val="none"/>
                <w:lang w:eastAsia="zh-CN"/>
              </w:rPr>
            </w:pPr>
            <w:r>
              <w:rPr>
                <w:rFonts w:hint="eastAsia" w:hAnsi="宋体"/>
                <w:sz w:val="24"/>
                <w:highlight w:val="none"/>
                <w:lang w:val="en-US" w:eastAsia="zh-CN"/>
              </w:rPr>
              <w:t>4</w:t>
            </w:r>
          </w:p>
        </w:tc>
        <w:tc>
          <w:tcPr>
            <w:tcW w:w="3152" w:type="dxa"/>
            <w:vMerge w:val="restart"/>
            <w:vAlign w:val="center"/>
          </w:tcPr>
          <w:p>
            <w:pPr>
              <w:spacing w:line="360" w:lineRule="auto"/>
              <w:jc w:val="center"/>
              <w:rPr>
                <w:rFonts w:hAnsi="宋体"/>
                <w:sz w:val="24"/>
                <w:highlight w:val="none"/>
              </w:rPr>
            </w:pPr>
            <w:r>
              <w:rPr>
                <w:rFonts w:hint="eastAsia" w:hAnsi="宋体"/>
                <w:sz w:val="24"/>
                <w:highlight w:val="none"/>
              </w:rPr>
              <w:t>拟委派的项目</w:t>
            </w:r>
          </w:p>
          <w:p>
            <w:pPr>
              <w:spacing w:line="360" w:lineRule="auto"/>
              <w:jc w:val="center"/>
              <w:rPr>
                <w:rFonts w:hAnsi="宋体"/>
                <w:sz w:val="24"/>
                <w:highlight w:val="none"/>
              </w:rPr>
            </w:pPr>
            <w:r>
              <w:rPr>
                <w:rFonts w:hint="eastAsia" w:hAnsi="宋体"/>
                <w:sz w:val="24"/>
                <w:highlight w:val="none"/>
              </w:rPr>
              <w:t>负责人</w:t>
            </w:r>
          </w:p>
        </w:tc>
        <w:tc>
          <w:tcPr>
            <w:tcW w:w="1817" w:type="dxa"/>
            <w:vAlign w:val="center"/>
          </w:tcPr>
          <w:p>
            <w:pPr>
              <w:spacing w:line="360" w:lineRule="auto"/>
              <w:jc w:val="center"/>
              <w:rPr>
                <w:rFonts w:hAnsi="宋体"/>
                <w:sz w:val="24"/>
                <w:highlight w:val="none"/>
              </w:rPr>
            </w:pPr>
            <w:r>
              <w:rPr>
                <w:rFonts w:hint="eastAsia" w:hAnsi="宋体"/>
                <w:sz w:val="24"/>
                <w:highlight w:val="none"/>
              </w:rPr>
              <w:t>姓名</w:t>
            </w:r>
          </w:p>
        </w:tc>
        <w:tc>
          <w:tcPr>
            <w:tcW w:w="334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Merge w:val="continue"/>
            <w:vAlign w:val="center"/>
          </w:tcPr>
          <w:p>
            <w:pPr>
              <w:spacing w:line="360" w:lineRule="auto"/>
              <w:jc w:val="center"/>
              <w:rPr>
                <w:rFonts w:hAnsi="宋体"/>
                <w:sz w:val="24"/>
                <w:highlight w:val="none"/>
              </w:rPr>
            </w:pPr>
          </w:p>
        </w:tc>
        <w:tc>
          <w:tcPr>
            <w:tcW w:w="3152" w:type="dxa"/>
            <w:vMerge w:val="continue"/>
            <w:vAlign w:val="center"/>
          </w:tcPr>
          <w:p>
            <w:pPr>
              <w:spacing w:line="360" w:lineRule="auto"/>
              <w:jc w:val="center"/>
              <w:rPr>
                <w:rFonts w:hAnsi="宋体"/>
                <w:sz w:val="24"/>
                <w:highlight w:val="none"/>
              </w:rPr>
            </w:pPr>
          </w:p>
        </w:tc>
        <w:tc>
          <w:tcPr>
            <w:tcW w:w="1817" w:type="dxa"/>
            <w:vAlign w:val="center"/>
          </w:tcPr>
          <w:p>
            <w:pPr>
              <w:spacing w:line="360" w:lineRule="auto"/>
              <w:jc w:val="center"/>
              <w:rPr>
                <w:rFonts w:hAnsi="宋体"/>
                <w:sz w:val="24"/>
                <w:highlight w:val="none"/>
              </w:rPr>
            </w:pPr>
            <w:r>
              <w:rPr>
                <w:rFonts w:hint="eastAsia" w:hAnsi="宋体"/>
                <w:sz w:val="24"/>
                <w:highlight w:val="none"/>
              </w:rPr>
              <w:t>主要工作经验</w:t>
            </w:r>
          </w:p>
        </w:tc>
        <w:tc>
          <w:tcPr>
            <w:tcW w:w="334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vMerge w:val="continue"/>
            <w:vAlign w:val="center"/>
          </w:tcPr>
          <w:p>
            <w:pPr>
              <w:spacing w:line="360" w:lineRule="auto"/>
              <w:jc w:val="center"/>
              <w:rPr>
                <w:rFonts w:hAnsi="宋体"/>
                <w:sz w:val="24"/>
                <w:highlight w:val="none"/>
              </w:rPr>
            </w:pPr>
          </w:p>
        </w:tc>
        <w:tc>
          <w:tcPr>
            <w:tcW w:w="3152" w:type="dxa"/>
            <w:vMerge w:val="continue"/>
            <w:vAlign w:val="center"/>
          </w:tcPr>
          <w:p>
            <w:pPr>
              <w:spacing w:line="360" w:lineRule="auto"/>
              <w:jc w:val="center"/>
              <w:rPr>
                <w:rFonts w:hAnsi="宋体"/>
                <w:sz w:val="24"/>
                <w:highlight w:val="none"/>
              </w:rPr>
            </w:pPr>
          </w:p>
        </w:tc>
        <w:tc>
          <w:tcPr>
            <w:tcW w:w="1817" w:type="dxa"/>
            <w:vAlign w:val="center"/>
          </w:tcPr>
          <w:p>
            <w:pPr>
              <w:spacing w:line="360" w:lineRule="auto"/>
              <w:jc w:val="center"/>
              <w:rPr>
                <w:rFonts w:hAnsi="宋体"/>
                <w:sz w:val="24"/>
                <w:highlight w:val="none"/>
              </w:rPr>
            </w:pPr>
            <w:r>
              <w:rPr>
                <w:rFonts w:hint="eastAsia" w:hAnsi="宋体"/>
                <w:sz w:val="24"/>
                <w:highlight w:val="none"/>
              </w:rPr>
              <w:t>联系方式</w:t>
            </w:r>
          </w:p>
        </w:tc>
        <w:tc>
          <w:tcPr>
            <w:tcW w:w="3344" w:type="dxa"/>
            <w:vAlign w:val="center"/>
          </w:tcPr>
          <w:p>
            <w:pPr>
              <w:spacing w:line="360" w:lineRule="auto"/>
              <w:jc w:val="center"/>
              <w:rPr>
                <w:rFonts w:hAnsi="宋体"/>
                <w:sz w:val="24"/>
                <w:highlight w:val="none"/>
              </w:rPr>
            </w:pPr>
          </w:p>
        </w:tc>
      </w:tr>
    </w:tbl>
    <w:p>
      <w:pPr>
        <w:spacing w:line="360" w:lineRule="auto"/>
        <w:rPr>
          <w:rFonts w:hAnsi="宋体"/>
          <w:sz w:val="24"/>
          <w:szCs w:val="32"/>
          <w:highlight w:val="none"/>
        </w:rPr>
      </w:pPr>
      <w:r>
        <w:rPr>
          <w:rFonts w:hint="eastAsia" w:hAnsi="宋体"/>
          <w:sz w:val="24"/>
          <w:szCs w:val="32"/>
          <w:highlight w:val="none"/>
        </w:rPr>
        <w:t>注：（1）投标总价为人民币报价。</w:t>
      </w:r>
    </w:p>
    <w:p>
      <w:pPr>
        <w:tabs>
          <w:tab w:val="left" w:pos="8364"/>
        </w:tabs>
        <w:spacing w:line="360" w:lineRule="auto"/>
        <w:ind w:firstLine="0" w:firstLineChars="0"/>
        <w:rPr>
          <w:rFonts w:hAnsi="宋体"/>
          <w:sz w:val="24"/>
          <w:szCs w:val="32"/>
          <w:highlight w:val="none"/>
        </w:rPr>
      </w:pPr>
      <w:r>
        <w:rPr>
          <w:rFonts w:hint="eastAsia" w:hAnsi="宋体"/>
          <w:sz w:val="24"/>
          <w:szCs w:val="32"/>
          <w:highlight w:val="none"/>
        </w:rPr>
        <w:t>（2）投标总价应包括投标人完成本项目（如果中标）所必须的所有成本费用和投标人应承担的一切税费，包括但不限于全部人工费、材料、成果资料制作、交通、差旅费、利润</w:t>
      </w:r>
      <w:r>
        <w:rPr>
          <w:rFonts w:hAnsi="宋体"/>
          <w:sz w:val="24"/>
          <w:szCs w:val="32"/>
          <w:highlight w:val="none"/>
        </w:rPr>
        <w:t>及税费</w:t>
      </w:r>
      <w:r>
        <w:rPr>
          <w:rFonts w:hint="eastAsia" w:hAnsi="宋体"/>
          <w:sz w:val="24"/>
          <w:szCs w:val="32"/>
          <w:highlight w:val="none"/>
        </w:rPr>
        <w:t>等完成项目内容所需的全部费用。投标人认为需要发生的其他相关服务等等。</w:t>
      </w:r>
    </w:p>
    <w:p>
      <w:pPr>
        <w:tabs>
          <w:tab w:val="left" w:pos="8364"/>
        </w:tabs>
        <w:spacing w:line="360" w:lineRule="auto"/>
        <w:ind w:firstLine="0" w:firstLineChars="0"/>
        <w:rPr>
          <w:rFonts w:hAnsi="宋体"/>
          <w:sz w:val="24"/>
          <w:szCs w:val="32"/>
          <w:highlight w:val="none"/>
        </w:rPr>
      </w:pPr>
      <w:r>
        <w:rPr>
          <w:rFonts w:hint="eastAsia" w:hAnsi="宋体"/>
          <w:sz w:val="24"/>
          <w:szCs w:val="32"/>
          <w:highlight w:val="none"/>
        </w:rPr>
        <w:t>（3）若用小写表示的金额和用大写表示的金额不一致，以大写表示的金额为准。</w:t>
      </w:r>
    </w:p>
    <w:p>
      <w:pPr>
        <w:spacing w:before="72" w:beforeLines="30" w:line="360" w:lineRule="auto"/>
        <w:rPr>
          <w:rFonts w:hAnsi="宋体"/>
          <w:szCs w:val="21"/>
          <w:highlight w:val="none"/>
        </w:rPr>
      </w:pPr>
      <w:r>
        <w:rPr>
          <w:rFonts w:hint="eastAsia" w:hAnsi="宋体"/>
          <w:szCs w:val="21"/>
          <w:highlight w:val="none"/>
        </w:rPr>
        <w:t xml:space="preserve">投标人名称（盖章）： </w:t>
      </w:r>
      <w:r>
        <w:rPr>
          <w:rFonts w:hAnsi="宋体"/>
          <w:szCs w:val="21"/>
          <w:highlight w:val="none"/>
        </w:rPr>
        <w:t xml:space="preserve">                                </w:t>
      </w:r>
      <w:r>
        <w:rPr>
          <w:rFonts w:hint="eastAsia" w:hAnsi="宋体"/>
          <w:szCs w:val="21"/>
          <w:highlight w:val="none"/>
        </w:rPr>
        <w:t>日期：</w:t>
      </w:r>
      <w:r>
        <w:rPr>
          <w:rFonts w:hAnsi="宋体"/>
          <w:szCs w:val="21"/>
          <w:highlight w:val="none"/>
        </w:rPr>
        <w:t>202</w:t>
      </w:r>
      <w:r>
        <w:rPr>
          <w:rFonts w:hint="eastAsia" w:hAnsi="宋体"/>
          <w:szCs w:val="21"/>
          <w:highlight w:val="none"/>
          <w:lang w:val="en-US" w:eastAsia="zh-CN"/>
        </w:rPr>
        <w:t>3</w:t>
      </w:r>
      <w:r>
        <w:rPr>
          <w:rFonts w:hAnsi="宋体"/>
          <w:szCs w:val="21"/>
          <w:highlight w:val="none"/>
        </w:rPr>
        <w:t>年</w:t>
      </w:r>
      <w:r>
        <w:rPr>
          <w:rFonts w:hint="eastAsia" w:hAnsi="宋体"/>
          <w:szCs w:val="21"/>
          <w:highlight w:val="none"/>
        </w:rPr>
        <w:t xml:space="preserve"> </w:t>
      </w:r>
      <w:r>
        <w:rPr>
          <w:rFonts w:hAnsi="宋体"/>
          <w:szCs w:val="21"/>
          <w:highlight w:val="none"/>
        </w:rPr>
        <w:t xml:space="preserve">   </w:t>
      </w:r>
      <w:r>
        <w:rPr>
          <w:rFonts w:hint="eastAsia" w:hAnsi="宋体"/>
          <w:szCs w:val="21"/>
          <w:highlight w:val="none"/>
        </w:rPr>
        <w:t xml:space="preserve">月 </w:t>
      </w:r>
      <w:r>
        <w:rPr>
          <w:rFonts w:hAnsi="宋体"/>
          <w:szCs w:val="21"/>
          <w:highlight w:val="none"/>
        </w:rPr>
        <w:t xml:space="preserve">   </w:t>
      </w:r>
      <w:r>
        <w:rPr>
          <w:rFonts w:hint="eastAsia" w:hAnsi="宋体"/>
          <w:szCs w:val="21"/>
          <w:highlight w:val="none"/>
        </w:rPr>
        <w:t>日</w:t>
      </w:r>
    </w:p>
    <w:p>
      <w:pPr>
        <w:widowControl/>
        <w:jc w:val="left"/>
        <w:rPr>
          <w:rFonts w:ascii="宋体" w:hAnsi="宋体" w:cs="Arial"/>
          <w:color w:val="000000"/>
          <w:sz w:val="30"/>
          <w:szCs w:val="30"/>
          <w:highlight w:val="none"/>
        </w:rPr>
      </w:pPr>
      <w:r>
        <w:rPr>
          <w:rFonts w:hint="eastAsia" w:ascii="宋体" w:hAnsi="宋体" w:cs="Arial"/>
          <w:color w:val="000000"/>
          <w:sz w:val="30"/>
          <w:szCs w:val="30"/>
          <w:highlight w:val="none"/>
        </w:rPr>
        <w:t>附件2</w:t>
      </w:r>
    </w:p>
    <w:tbl>
      <w:tblPr>
        <w:tblStyle w:val="16"/>
        <w:tblW w:w="8977" w:type="dxa"/>
        <w:tblInd w:w="95" w:type="dxa"/>
        <w:tblLayout w:type="fixed"/>
        <w:tblCellMar>
          <w:top w:w="0" w:type="dxa"/>
          <w:left w:w="108" w:type="dxa"/>
          <w:bottom w:w="0" w:type="dxa"/>
          <w:right w:w="108" w:type="dxa"/>
        </w:tblCellMar>
      </w:tblPr>
      <w:tblGrid>
        <w:gridCol w:w="1748"/>
        <w:gridCol w:w="1276"/>
        <w:gridCol w:w="1701"/>
        <w:gridCol w:w="1417"/>
        <w:gridCol w:w="1276"/>
        <w:gridCol w:w="1559"/>
      </w:tblGrid>
      <w:tr>
        <w:tblPrEx>
          <w:tblCellMar>
            <w:top w:w="0" w:type="dxa"/>
            <w:left w:w="108" w:type="dxa"/>
            <w:bottom w:w="0" w:type="dxa"/>
            <w:right w:w="108" w:type="dxa"/>
          </w:tblCellMar>
        </w:tblPrEx>
        <w:trPr>
          <w:trHeight w:val="444" w:hRule="atLeast"/>
        </w:trPr>
        <w:tc>
          <w:tcPr>
            <w:tcW w:w="8977" w:type="dxa"/>
            <w:gridSpan w:val="6"/>
            <w:tcBorders>
              <w:top w:val="nil"/>
              <w:left w:val="nil"/>
              <w:bottom w:val="single" w:color="auto" w:sz="4" w:space="0"/>
              <w:right w:val="nil"/>
            </w:tcBorders>
            <w:shd w:val="clear" w:color="auto" w:fill="auto"/>
            <w:vAlign w:val="center"/>
          </w:tcPr>
          <w:p>
            <w:pPr>
              <w:widowControl/>
              <w:spacing w:line="360" w:lineRule="auto"/>
              <w:ind w:firstLine="2772" w:firstLineChars="630"/>
              <w:rPr>
                <w:rFonts w:ascii="黑体" w:hAnsi="黑体" w:eastAsia="黑体" w:cs="宋体"/>
                <w:kern w:val="0"/>
                <w:sz w:val="44"/>
                <w:szCs w:val="44"/>
                <w:highlight w:val="none"/>
              </w:rPr>
            </w:pPr>
            <w:r>
              <w:rPr>
                <w:rFonts w:hint="eastAsia" w:ascii="黑体" w:hAnsi="黑体" w:eastAsia="黑体" w:cs="宋体"/>
                <w:kern w:val="0"/>
                <w:sz w:val="44"/>
                <w:szCs w:val="44"/>
                <w:highlight w:val="none"/>
              </w:rPr>
              <w:t>供应商调查表</w:t>
            </w:r>
          </w:p>
          <w:p>
            <w:pPr>
              <w:spacing w:line="360" w:lineRule="auto"/>
              <w:ind w:left="1050" w:hanging="1050" w:hangingChars="500"/>
              <w:rPr>
                <w:rFonts w:hAnsi="宋体"/>
                <w:szCs w:val="21"/>
                <w:highlight w:val="none"/>
              </w:rPr>
            </w:pPr>
            <w:r>
              <w:rPr>
                <w:rFonts w:cs="宋体" w:asciiTheme="minorEastAsia" w:hAnsiTheme="minorEastAsia" w:eastAsiaTheme="minorEastAsia"/>
                <w:kern w:val="0"/>
                <w:szCs w:val="21"/>
                <w:highlight w:val="none"/>
              </w:rPr>
              <w:t>项目名称</w:t>
            </w:r>
            <w:r>
              <w:rPr>
                <w:rFonts w:hint="eastAsia" w:cs="宋体" w:asciiTheme="minorEastAsia" w:hAnsiTheme="minorEastAsia" w:eastAsiaTheme="minorEastAsia"/>
                <w:kern w:val="0"/>
                <w:szCs w:val="21"/>
                <w:highlight w:val="none"/>
              </w:rPr>
              <w:t>：</w:t>
            </w:r>
            <w:r>
              <w:rPr>
                <w:rFonts w:hint="eastAsia" w:ascii="宋体" w:hAnsi="宋体" w:eastAsia="宋体" w:cs="宋体"/>
                <w:b w:val="0"/>
                <w:sz w:val="24"/>
                <w:szCs w:val="24"/>
                <w:highlight w:val="none"/>
                <w:u w:val="none"/>
              </w:rPr>
              <w:t>新型物联网中央空调计时型温控器研发应用示范</w:t>
            </w:r>
          </w:p>
        </w:tc>
      </w:tr>
      <w:tr>
        <w:tblPrEx>
          <w:tblCellMar>
            <w:top w:w="0" w:type="dxa"/>
            <w:left w:w="108" w:type="dxa"/>
            <w:bottom w:w="0" w:type="dxa"/>
            <w:right w:w="108" w:type="dxa"/>
          </w:tblCellMar>
        </w:tblPrEx>
        <w:trPr>
          <w:trHeight w:val="513"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 xml:space="preserve">单位名称 </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Cs/>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法人代表</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highlight w:val="none"/>
              </w:rPr>
            </w:pPr>
          </w:p>
        </w:tc>
      </w:tr>
      <w:tr>
        <w:tblPrEx>
          <w:tblCellMar>
            <w:top w:w="0" w:type="dxa"/>
            <w:left w:w="108" w:type="dxa"/>
            <w:bottom w:w="0" w:type="dxa"/>
            <w:right w:w="108" w:type="dxa"/>
          </w:tblCellMar>
        </w:tblPrEx>
        <w:trPr>
          <w:trHeight w:val="51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详细地址</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邮    编</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highlight w:val="none"/>
              </w:rPr>
            </w:pPr>
          </w:p>
        </w:tc>
      </w:tr>
      <w:tr>
        <w:tblPrEx>
          <w:tblCellMar>
            <w:top w:w="0" w:type="dxa"/>
            <w:left w:w="108" w:type="dxa"/>
            <w:bottom w:w="0" w:type="dxa"/>
            <w:right w:w="108" w:type="dxa"/>
          </w:tblCellMar>
        </w:tblPrEx>
        <w:trPr>
          <w:trHeight w:val="525"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成立日期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营业执照号码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发证机构</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highlight w:val="none"/>
              </w:rPr>
            </w:pPr>
          </w:p>
        </w:tc>
      </w:tr>
      <w:tr>
        <w:tblPrEx>
          <w:tblCellMar>
            <w:top w:w="0" w:type="dxa"/>
            <w:left w:w="108" w:type="dxa"/>
            <w:bottom w:w="0" w:type="dxa"/>
            <w:right w:w="108" w:type="dxa"/>
          </w:tblCellMar>
        </w:tblPrEx>
        <w:trPr>
          <w:trHeight w:val="59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固定电话号码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传真号码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注册资金</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highlight w:val="none"/>
              </w:rPr>
            </w:pPr>
          </w:p>
        </w:tc>
      </w:tr>
      <w:tr>
        <w:tblPrEx>
          <w:tblCellMar>
            <w:top w:w="0" w:type="dxa"/>
            <w:left w:w="108" w:type="dxa"/>
            <w:bottom w:w="0" w:type="dxa"/>
            <w:right w:w="108" w:type="dxa"/>
          </w:tblCellMar>
        </w:tblPrEx>
        <w:trPr>
          <w:trHeight w:val="544"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公司类型</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机构性质</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highlight w:val="none"/>
              </w:rPr>
            </w:pPr>
          </w:p>
        </w:tc>
      </w:tr>
      <w:tr>
        <w:tblPrEx>
          <w:tblCellMar>
            <w:top w:w="0" w:type="dxa"/>
            <w:left w:w="108" w:type="dxa"/>
            <w:bottom w:w="0" w:type="dxa"/>
            <w:right w:w="108" w:type="dxa"/>
          </w:tblCellMar>
        </w:tblPrEx>
        <w:trPr>
          <w:trHeight w:val="55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项目联系人</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联系电话</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highlight w:val="none"/>
              </w:rPr>
            </w:pPr>
          </w:p>
        </w:tc>
      </w:tr>
      <w:tr>
        <w:tblPrEx>
          <w:tblCellMar>
            <w:top w:w="0" w:type="dxa"/>
            <w:left w:w="108" w:type="dxa"/>
            <w:bottom w:w="0" w:type="dxa"/>
            <w:right w:w="108" w:type="dxa"/>
          </w:tblCellMar>
        </w:tblPrEx>
        <w:trPr>
          <w:trHeight w:val="39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经营范围</w:t>
            </w:r>
          </w:p>
        </w:tc>
        <w:tc>
          <w:tcPr>
            <w:tcW w:w="72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cs="宋体"/>
                <w:b/>
                <w:bCs/>
                <w:kern w:val="0"/>
                <w:sz w:val="24"/>
                <w:highlight w:val="none"/>
              </w:rPr>
            </w:pPr>
          </w:p>
          <w:p>
            <w:pPr>
              <w:widowControl/>
              <w:spacing w:line="360" w:lineRule="auto"/>
              <w:rPr>
                <w:rFonts w:ascii="宋体" w:hAnsi="宋体" w:cs="宋体"/>
                <w:b/>
                <w:bCs/>
                <w:kern w:val="0"/>
                <w:sz w:val="24"/>
                <w:highlight w:val="none"/>
              </w:rPr>
            </w:pPr>
          </w:p>
          <w:p>
            <w:pPr>
              <w:widowControl/>
              <w:spacing w:line="360" w:lineRule="auto"/>
              <w:rPr>
                <w:rFonts w:ascii="宋体" w:hAnsi="宋体" w:cs="宋体"/>
                <w:b/>
                <w:bCs/>
                <w:kern w:val="0"/>
                <w:sz w:val="24"/>
                <w:highlight w:val="none"/>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序号</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资质证书（认证项目）名称</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发证机关</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highlight w:val="none"/>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highlight w:val="none"/>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3</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highlight w:val="none"/>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highlight w:val="none"/>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主要服务行业</w:t>
            </w:r>
          </w:p>
        </w:tc>
        <w:tc>
          <w:tcPr>
            <w:tcW w:w="2977"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highlight w:val="none"/>
              </w:rPr>
            </w:pPr>
          </w:p>
        </w:tc>
        <w:tc>
          <w:tcPr>
            <w:tcW w:w="1417"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主要客户</w:t>
            </w:r>
          </w:p>
        </w:tc>
        <w:tc>
          <w:tcPr>
            <w:tcW w:w="2835"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highlight w:val="none"/>
              </w:rPr>
            </w:pPr>
          </w:p>
        </w:tc>
      </w:tr>
      <w:tr>
        <w:tblPrEx>
          <w:tblCellMar>
            <w:top w:w="0" w:type="dxa"/>
            <w:left w:w="108" w:type="dxa"/>
            <w:bottom w:w="0" w:type="dxa"/>
            <w:right w:w="108" w:type="dxa"/>
          </w:tblCellMar>
        </w:tblPrEx>
        <w:trPr>
          <w:trHeight w:val="397" w:hRule="atLeast"/>
        </w:trPr>
        <w:tc>
          <w:tcPr>
            <w:tcW w:w="8977" w:type="dxa"/>
            <w:gridSpan w:val="6"/>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近三年类似业绩</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序号</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服务单位</w:t>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项目内容</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highlight w:val="none"/>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highlight w:val="none"/>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highlight w:val="none"/>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highlight w:val="none"/>
              </w:rPr>
            </w:pPr>
          </w:p>
        </w:tc>
      </w:tr>
    </w:tbl>
    <w:p>
      <w:pPr>
        <w:spacing w:line="360" w:lineRule="auto"/>
        <w:rPr>
          <w:rFonts w:asciiTheme="minorEastAsia" w:hAnsiTheme="minorEastAsia" w:eastAsiaTheme="minorEastAsia"/>
          <w:sz w:val="28"/>
          <w:szCs w:val="28"/>
          <w:highlight w:val="none"/>
        </w:rPr>
      </w:pPr>
    </w:p>
    <w:p>
      <w:pPr>
        <w:spacing w:line="360" w:lineRule="auto"/>
        <w:ind w:left="560" w:hanging="560" w:hangingChars="200"/>
        <w:rPr>
          <w:rFonts w:asciiTheme="minorEastAsia" w:hAnsiTheme="minorEastAsia" w:eastAsiaTheme="minorEastAsia"/>
          <w:sz w:val="28"/>
          <w:szCs w:val="28"/>
          <w:highlight w:val="none"/>
        </w:rPr>
      </w:pPr>
      <w:r>
        <w:rPr>
          <w:rFonts w:asciiTheme="minorEastAsia" w:hAnsiTheme="minorEastAsia" w:eastAsiaTheme="minorEastAsia"/>
          <w:sz w:val="28"/>
          <w:szCs w:val="28"/>
          <w:highlight w:val="none"/>
        </w:rPr>
        <w:t>投标单位</w:t>
      </w:r>
      <w:r>
        <w:rPr>
          <w:rFonts w:hint="eastAsia" w:asciiTheme="minorEastAsia" w:hAnsiTheme="minorEastAsia" w:eastAsiaTheme="minorEastAsia"/>
          <w:sz w:val="28"/>
          <w:szCs w:val="28"/>
          <w:highlight w:val="none"/>
        </w:rPr>
        <w:t>（加盖公章）：</w:t>
      </w:r>
    </w:p>
    <w:p>
      <w:pPr>
        <w:spacing w:line="360" w:lineRule="auto"/>
        <w:ind w:left="560" w:hanging="560" w:hangingChars="200"/>
        <w:rPr>
          <w:rFonts w:asciiTheme="minorEastAsia" w:hAnsiTheme="minorEastAsia" w:eastAsiaTheme="minorEastAsia"/>
          <w:sz w:val="28"/>
          <w:szCs w:val="28"/>
          <w:highlight w:val="none"/>
        </w:rPr>
      </w:pPr>
    </w:p>
    <w:p>
      <w:pPr>
        <w:spacing w:line="360" w:lineRule="auto"/>
        <w:ind w:left="560" w:hanging="560" w:hangingChars="200"/>
        <w:rPr>
          <w:rFonts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t>日期：202</w:t>
      </w:r>
      <w:r>
        <w:rPr>
          <w:rFonts w:hint="eastAsia" w:asciiTheme="minorEastAsia" w:hAnsiTheme="minorEastAsia" w:eastAsiaTheme="minorEastAsia"/>
          <w:sz w:val="28"/>
          <w:szCs w:val="28"/>
          <w:highlight w:val="none"/>
          <w:lang w:val="en-US" w:eastAsia="zh-CN"/>
        </w:rPr>
        <w:t>3</w:t>
      </w:r>
      <w:r>
        <w:rPr>
          <w:rFonts w:hint="eastAsia" w:asciiTheme="minorEastAsia" w:hAnsiTheme="minorEastAsia" w:eastAsiaTheme="minorEastAsia"/>
          <w:sz w:val="28"/>
          <w:szCs w:val="28"/>
          <w:highlight w:val="none"/>
        </w:rPr>
        <w:t>年 月 日</w:t>
      </w:r>
    </w:p>
    <w:p>
      <w:pPr>
        <w:spacing w:line="360" w:lineRule="auto"/>
        <w:rPr>
          <w:rFonts w:asciiTheme="minorEastAsia" w:hAnsiTheme="minorEastAsia" w:eastAsiaTheme="minorEastAsia"/>
          <w:sz w:val="30"/>
          <w:szCs w:val="30"/>
          <w:highlight w:val="none"/>
        </w:rPr>
      </w:pPr>
    </w:p>
    <w:p>
      <w:pPr>
        <w:spacing w:line="360" w:lineRule="auto"/>
        <w:rPr>
          <w:rFonts w:asciiTheme="minorEastAsia" w:hAnsiTheme="minorEastAsia" w:eastAsiaTheme="minorEastAsia"/>
          <w:sz w:val="30"/>
          <w:szCs w:val="30"/>
          <w:highlight w:val="none"/>
        </w:rPr>
      </w:pPr>
    </w:p>
    <w:p>
      <w:pPr>
        <w:spacing w:line="360" w:lineRule="auto"/>
        <w:rPr>
          <w:rFonts w:asciiTheme="minorEastAsia" w:hAnsiTheme="minorEastAsia" w:eastAsiaTheme="minorEastAsia"/>
          <w:sz w:val="30"/>
          <w:szCs w:val="30"/>
          <w:highlight w:val="none"/>
        </w:rPr>
      </w:pPr>
      <w:r>
        <w:rPr>
          <w:rFonts w:asciiTheme="minorEastAsia" w:hAnsiTheme="minorEastAsia" w:eastAsiaTheme="minorEastAsia"/>
          <w:sz w:val="30"/>
          <w:szCs w:val="30"/>
          <w:highlight w:val="none"/>
        </w:rPr>
        <w:t>附件</w:t>
      </w:r>
      <w:r>
        <w:rPr>
          <w:rFonts w:hint="eastAsia" w:asciiTheme="minorEastAsia" w:hAnsiTheme="minorEastAsia" w:eastAsiaTheme="minorEastAsia"/>
          <w:sz w:val="30"/>
          <w:szCs w:val="30"/>
          <w:highlight w:val="none"/>
        </w:rPr>
        <w:t>3</w:t>
      </w:r>
    </w:p>
    <w:p>
      <w:pPr>
        <w:spacing w:line="360" w:lineRule="auto"/>
        <w:ind w:firstLine="2530" w:firstLineChars="700"/>
        <w:rPr>
          <w:rFonts w:eastAsia="黑体"/>
          <w:b/>
          <w:bCs/>
          <w:sz w:val="36"/>
          <w:highlight w:val="none"/>
        </w:rPr>
      </w:pPr>
      <w:r>
        <w:rPr>
          <w:rFonts w:hint="eastAsia" w:eastAsia="黑体"/>
          <w:b/>
          <w:bCs/>
          <w:sz w:val="36"/>
          <w:highlight w:val="none"/>
        </w:rPr>
        <w:t>法定代表人身份证明书</w:t>
      </w:r>
    </w:p>
    <w:p>
      <w:pPr>
        <w:spacing w:line="360" w:lineRule="auto"/>
        <w:jc w:val="center"/>
        <w:rPr>
          <w:b/>
          <w:bCs/>
          <w:szCs w:val="21"/>
          <w:highlight w:val="none"/>
        </w:rPr>
      </w:pPr>
    </w:p>
    <w:p>
      <w:pPr>
        <w:spacing w:line="360" w:lineRule="auto"/>
        <w:ind w:firstLine="1680" w:firstLineChars="700"/>
        <w:rPr>
          <w:rFonts w:ascii="宋体" w:hAnsi="宋体" w:cs="宋体"/>
          <w:sz w:val="24"/>
          <w:szCs w:val="22"/>
          <w:highlight w:val="none"/>
        </w:rPr>
      </w:pPr>
      <w:r>
        <w:rPr>
          <w:rFonts w:hint="eastAsia" w:ascii="宋体" w:hAnsi="宋体" w:cs="宋体"/>
          <w:sz w:val="24"/>
          <w:szCs w:val="22"/>
          <w:highlight w:val="none"/>
        </w:rPr>
        <w:t xml:space="preserve">在我单位任职务，是我单位法定代表人，身份证号为 </w:t>
      </w:r>
      <w:r>
        <w:rPr>
          <w:rFonts w:ascii="宋体" w:hAnsi="宋体" w:cs="宋体"/>
          <w:sz w:val="24"/>
          <w:szCs w:val="22"/>
          <w:highlight w:val="none"/>
        </w:rPr>
        <w:t xml:space="preserve">     </w:t>
      </w:r>
      <w:r>
        <w:rPr>
          <w:rFonts w:hint="eastAsia" w:ascii="宋体" w:hAnsi="宋体" w:cs="宋体"/>
          <w:sz w:val="24"/>
          <w:szCs w:val="22"/>
          <w:highlight w:val="none"/>
        </w:rPr>
        <w:t>，特此证明。</w:t>
      </w:r>
    </w:p>
    <w:p>
      <w:pPr>
        <w:spacing w:line="360" w:lineRule="auto"/>
        <w:ind w:firstLine="537" w:firstLineChars="224"/>
        <w:rPr>
          <w:rFonts w:ascii="宋体" w:hAnsi="宋体" w:cs="宋体"/>
          <w:sz w:val="24"/>
          <w:szCs w:val="22"/>
          <w:highlight w:val="none"/>
        </w:rPr>
      </w:pPr>
    </w:p>
    <w:p>
      <w:pPr>
        <w:spacing w:line="360" w:lineRule="auto"/>
        <w:jc w:val="left"/>
        <w:rPr>
          <w:rFonts w:ascii="宋体" w:hAnsi="宋体" w:cs="宋体"/>
          <w:sz w:val="24"/>
          <w:szCs w:val="22"/>
          <w:highlight w:val="none"/>
        </w:rPr>
      </w:pPr>
      <w:r>
        <w:rPr>
          <w:rFonts w:hint="eastAsia" w:ascii="宋体" w:hAnsi="宋体" w:cs="宋体"/>
          <w:sz w:val="24"/>
          <w:szCs w:val="22"/>
          <w:highlight w:val="none"/>
        </w:rPr>
        <w:t>（单位盖章）</w:t>
      </w:r>
    </w:p>
    <w:p>
      <w:pPr>
        <w:spacing w:line="360" w:lineRule="auto"/>
        <w:ind w:firstLine="537" w:firstLineChars="224"/>
        <w:rPr>
          <w:rFonts w:hAnsi="宋体" w:cs="宋体"/>
          <w:sz w:val="24"/>
          <w:highlight w:val="none"/>
        </w:rPr>
      </w:pPr>
    </w:p>
    <w:p>
      <w:pPr>
        <w:spacing w:line="360" w:lineRule="auto"/>
        <w:rPr>
          <w:rFonts w:hAnsi="宋体" w:cs="宋体"/>
          <w:sz w:val="24"/>
          <w:highlight w:val="none"/>
        </w:rPr>
      </w:pPr>
      <w:r>
        <w:rPr>
          <w:rFonts w:hint="eastAsia" w:hAnsi="宋体" w:cs="宋体"/>
          <w:sz w:val="24"/>
          <w:highlight w:val="none"/>
        </w:rPr>
        <w:t>日期：202</w:t>
      </w:r>
      <w:r>
        <w:rPr>
          <w:rFonts w:hint="eastAsia" w:hAnsi="宋体" w:cs="宋体"/>
          <w:sz w:val="24"/>
          <w:highlight w:val="none"/>
          <w:lang w:val="en-US" w:eastAsia="zh-CN"/>
        </w:rPr>
        <w:t>3</w:t>
      </w:r>
      <w:r>
        <w:rPr>
          <w:rFonts w:hint="eastAsia" w:hAnsi="宋体" w:cs="宋体"/>
          <w:sz w:val="24"/>
          <w:highlight w:val="none"/>
        </w:rPr>
        <w:t xml:space="preserve">年 </w:t>
      </w:r>
      <w:r>
        <w:rPr>
          <w:rFonts w:hAnsi="宋体" w:cs="宋体"/>
          <w:sz w:val="24"/>
          <w:highlight w:val="none"/>
        </w:rPr>
        <w:t xml:space="preserve">   </w:t>
      </w:r>
      <w:r>
        <w:rPr>
          <w:rFonts w:hint="eastAsia" w:hAnsi="宋体" w:cs="宋体"/>
          <w:sz w:val="24"/>
          <w:highlight w:val="none"/>
        </w:rPr>
        <w:t xml:space="preserve">月 </w:t>
      </w:r>
      <w:r>
        <w:rPr>
          <w:rFonts w:hAnsi="宋体" w:cs="宋体"/>
          <w:sz w:val="24"/>
          <w:highlight w:val="none"/>
        </w:rPr>
        <w:t xml:space="preserve">   </w:t>
      </w:r>
      <w:r>
        <w:rPr>
          <w:rFonts w:hint="eastAsia" w:hAnsi="宋体" w:cs="宋体"/>
          <w:sz w:val="24"/>
          <w:highlight w:val="none"/>
        </w:rPr>
        <w:t>日</w:t>
      </w:r>
    </w:p>
    <w:p>
      <w:pPr>
        <w:spacing w:line="360" w:lineRule="auto"/>
        <w:rPr>
          <w:rFonts w:ascii="宋体" w:hAnsi="宋体" w:cs="宋体"/>
          <w:sz w:val="24"/>
          <w:szCs w:val="22"/>
          <w:highlight w:val="none"/>
        </w:rPr>
      </w:pPr>
    </w:p>
    <w:p>
      <w:pPr>
        <w:spacing w:line="360" w:lineRule="auto"/>
        <w:rPr>
          <w:rFonts w:ascii="宋体" w:hAnsi="宋体" w:cs="宋体"/>
          <w:sz w:val="24"/>
          <w:szCs w:val="22"/>
          <w:highlight w:val="none"/>
        </w:rPr>
      </w:pPr>
      <w:r>
        <w:rPr>
          <w:rFonts w:hint="eastAsia" w:ascii="宋体" w:hAnsi="宋体" w:cs="宋体"/>
          <w:sz w:val="24"/>
          <w:szCs w:val="22"/>
          <w:highlight w:val="none"/>
        </w:rPr>
        <w:t>单位通信地址：</w:t>
      </w:r>
    </w:p>
    <w:p>
      <w:pPr>
        <w:spacing w:line="360" w:lineRule="auto"/>
        <w:rPr>
          <w:rFonts w:ascii="宋体" w:hAnsi="宋体" w:cs="宋体"/>
          <w:sz w:val="24"/>
          <w:szCs w:val="22"/>
          <w:highlight w:val="none"/>
        </w:rPr>
      </w:pPr>
    </w:p>
    <w:p>
      <w:pPr>
        <w:spacing w:line="360" w:lineRule="auto"/>
        <w:rPr>
          <w:rFonts w:ascii="宋体" w:hAnsi="宋体" w:cs="宋体"/>
          <w:sz w:val="24"/>
          <w:szCs w:val="22"/>
          <w:highlight w:val="none"/>
        </w:rPr>
      </w:pPr>
      <w:r>
        <w:rPr>
          <w:rFonts w:hint="eastAsia" w:ascii="宋体" w:hAnsi="宋体" w:cs="宋体"/>
          <w:sz w:val="24"/>
          <w:szCs w:val="22"/>
          <w:highlight w:val="none"/>
        </w:rPr>
        <w:t>邮政编码：                 单位联系电话：</w:t>
      </w:r>
    </w:p>
    <w:p>
      <w:pPr>
        <w:spacing w:line="360" w:lineRule="auto"/>
        <w:rPr>
          <w:sz w:val="20"/>
          <w:szCs w:val="22"/>
          <w:highlight w:val="none"/>
        </w:rPr>
      </w:pPr>
    </w:p>
    <w:p>
      <w:pPr>
        <w:spacing w:line="360" w:lineRule="auto"/>
        <w:rPr>
          <w:sz w:val="20"/>
          <w:szCs w:val="22"/>
          <w:highlight w:val="none"/>
        </w:rPr>
      </w:pPr>
    </w:p>
    <w:p>
      <w:pPr>
        <w:spacing w:line="360" w:lineRule="auto"/>
        <w:rPr>
          <w:rFonts w:ascii="宋体" w:hAnsi="宋体" w:cs="Arial"/>
          <w:color w:val="000000"/>
          <w:sz w:val="24"/>
          <w:highlight w:val="none"/>
        </w:rPr>
      </w:pPr>
      <w:r>
        <w:rPr>
          <w:rFonts w:hint="eastAsia" w:ascii="宋体" w:hAnsi="宋体" w:cs="Arial"/>
          <w:color w:val="000000"/>
          <w:sz w:val="24"/>
          <w:highlight w:val="none"/>
        </w:rPr>
        <w:t>附：法人代表身份证正反面或其他身份证明材料复印件</w:t>
      </w:r>
    </w:p>
    <w:p>
      <w:pPr>
        <w:spacing w:line="360" w:lineRule="auto"/>
        <w:rPr>
          <w:rFonts w:ascii="宋体" w:hAnsi="宋体" w:cs="Arial"/>
          <w:color w:val="000000"/>
          <w:sz w:val="24"/>
          <w:highlight w:val="none"/>
        </w:rPr>
      </w:pPr>
    </w:p>
    <w:p>
      <w:pPr>
        <w:spacing w:line="360" w:lineRule="auto"/>
        <w:rPr>
          <w:rFonts w:ascii="宋体" w:hAnsi="宋体" w:cs="Arial"/>
          <w:color w:val="000000"/>
          <w:sz w:val="30"/>
          <w:szCs w:val="30"/>
          <w:highlight w:val="none"/>
        </w:rPr>
      </w:pPr>
      <w:r>
        <w:rPr>
          <w:rFonts w:hint="eastAsia" w:ascii="宋体" w:hAnsi="宋体" w:cs="Arial"/>
          <w:color w:val="000000"/>
          <w:sz w:val="24"/>
          <w:highlight w:val="none"/>
        </w:rPr>
        <w:br w:type="page"/>
      </w:r>
      <w:r>
        <w:rPr>
          <w:rFonts w:hint="eastAsia" w:ascii="宋体" w:hAnsi="宋体" w:cs="黑体"/>
          <w:color w:val="000000"/>
          <w:sz w:val="30"/>
          <w:szCs w:val="30"/>
          <w:highlight w:val="none"/>
        </w:rPr>
        <w:t>附件</w:t>
      </w:r>
      <w:r>
        <w:rPr>
          <w:rFonts w:ascii="宋体" w:hAnsi="宋体" w:cs="黑体"/>
          <w:color w:val="000000"/>
          <w:sz w:val="30"/>
          <w:szCs w:val="30"/>
          <w:highlight w:val="none"/>
        </w:rPr>
        <w:t>4</w:t>
      </w:r>
    </w:p>
    <w:p>
      <w:pPr>
        <w:spacing w:line="360" w:lineRule="auto"/>
        <w:ind w:firstLine="2168" w:firstLineChars="600"/>
        <w:rPr>
          <w:rFonts w:eastAsia="黑体"/>
          <w:b/>
          <w:bCs/>
          <w:sz w:val="36"/>
          <w:highlight w:val="none"/>
        </w:rPr>
      </w:pPr>
      <w:r>
        <w:rPr>
          <w:rFonts w:hint="eastAsia" w:eastAsia="黑体"/>
          <w:b/>
          <w:bCs/>
          <w:sz w:val="36"/>
          <w:highlight w:val="none"/>
        </w:rPr>
        <w:t>法定代表人授权委托证明书</w:t>
      </w:r>
    </w:p>
    <w:p>
      <w:pPr>
        <w:spacing w:line="360" w:lineRule="auto"/>
        <w:ind w:firstLine="424" w:firstLineChars="177"/>
        <w:rPr>
          <w:rFonts w:ascii="宋体" w:hAnsi="宋体"/>
          <w:bCs/>
          <w:sz w:val="24"/>
          <w:highlight w:val="none"/>
        </w:rPr>
      </w:pPr>
    </w:p>
    <w:p>
      <w:pPr>
        <w:spacing w:before="120" w:beforeLines="50" w:after="120" w:afterLines="50" w:line="360" w:lineRule="auto"/>
        <w:ind w:firstLine="480" w:firstLineChars="200"/>
        <w:rPr>
          <w:rFonts w:ascii="宋体" w:hAnsi="宋体"/>
          <w:sz w:val="24"/>
          <w:highlight w:val="none"/>
        </w:rPr>
      </w:pPr>
      <w:r>
        <w:rPr>
          <w:rFonts w:hint="eastAsia" w:ascii="宋体" w:hAnsi="宋体"/>
          <w:bCs/>
          <w:sz w:val="24"/>
          <w:highlight w:val="none"/>
        </w:rPr>
        <w:t>兹授权</w:t>
      </w:r>
      <w:r>
        <w:rPr>
          <w:rFonts w:hint="eastAsia" w:ascii="宋体" w:hAnsi="宋体"/>
          <w:bCs/>
          <w:sz w:val="24"/>
          <w:highlight w:val="none"/>
          <w:u w:val="single"/>
        </w:rPr>
        <w:t>（委托代理人姓名）</w:t>
      </w:r>
      <w:r>
        <w:rPr>
          <w:rFonts w:hint="eastAsia" w:ascii="宋体" w:hAnsi="宋体"/>
          <w:bCs/>
          <w:sz w:val="24"/>
          <w:highlight w:val="none"/>
        </w:rPr>
        <w:t>为我方委托代理人，其权限是：</w:t>
      </w:r>
      <w:r>
        <w:rPr>
          <w:rFonts w:hint="eastAsia" w:ascii="宋体" w:hAnsi="宋体"/>
          <w:sz w:val="24"/>
          <w:highlight w:val="none"/>
        </w:rPr>
        <w:t>办理</w:t>
      </w:r>
      <w:r>
        <w:rPr>
          <w:rFonts w:hint="eastAsia" w:ascii="宋体" w:hAnsi="宋体"/>
          <w:sz w:val="24"/>
          <w:highlight w:val="none"/>
          <w:u w:val="single"/>
        </w:rPr>
        <w:t>广州</w:t>
      </w:r>
      <w:r>
        <w:rPr>
          <w:rFonts w:hint="eastAsia" w:ascii="宋体" w:hAnsi="宋体"/>
          <w:sz w:val="24"/>
          <w:highlight w:val="none"/>
          <w:u w:val="single"/>
          <w:lang w:val="en-US" w:eastAsia="zh-CN"/>
        </w:rPr>
        <w:t>城投综合能源</w:t>
      </w:r>
      <w:r>
        <w:rPr>
          <w:rFonts w:hint="eastAsia" w:ascii="宋体" w:hAnsi="宋体"/>
          <w:sz w:val="24"/>
          <w:highlight w:val="none"/>
          <w:u w:val="single"/>
        </w:rPr>
        <w:t>投资经营管理有限公司</w:t>
      </w:r>
      <w:r>
        <w:rPr>
          <w:rFonts w:hint="eastAsia" w:ascii="宋体" w:hAnsi="宋体"/>
          <w:sz w:val="24"/>
          <w:highlight w:val="none"/>
        </w:rPr>
        <w:t>组织的“</w:t>
      </w:r>
      <w:r>
        <w:rPr>
          <w:rFonts w:hint="eastAsia" w:ascii="宋体" w:hAnsi="宋体" w:eastAsia="宋体" w:cs="宋体"/>
          <w:b w:val="0"/>
          <w:sz w:val="24"/>
          <w:szCs w:val="24"/>
          <w:highlight w:val="none"/>
          <w:u w:val="none"/>
        </w:rPr>
        <w:t>新型物联网中央空调计时型温控器研发应用示范</w:t>
      </w:r>
      <w:r>
        <w:rPr>
          <w:rFonts w:hint="eastAsia" w:ascii="宋体" w:hAnsi="宋体"/>
          <w:sz w:val="24"/>
          <w:highlight w:val="none"/>
        </w:rPr>
        <w:t>”的投标和合同执行，以我方的名义处理一切与之有关的事宜。</w:t>
      </w:r>
    </w:p>
    <w:p>
      <w:pPr>
        <w:spacing w:before="120" w:beforeLines="50" w:after="120" w:afterLines="50" w:line="360" w:lineRule="auto"/>
        <w:ind w:firstLine="480" w:firstLineChars="200"/>
        <w:rPr>
          <w:rFonts w:ascii="宋体" w:hAnsi="宋体"/>
          <w:bCs/>
          <w:sz w:val="24"/>
          <w:highlight w:val="none"/>
        </w:rPr>
      </w:pPr>
      <w:r>
        <w:rPr>
          <w:rFonts w:hint="eastAsia" w:ascii="宋体" w:hAnsi="宋体"/>
          <w:sz w:val="24"/>
          <w:highlight w:val="none"/>
          <w:lang w:val="en-GB"/>
        </w:rPr>
        <w:t>本</w:t>
      </w:r>
      <w:r>
        <w:rPr>
          <w:rFonts w:hint="eastAsia" w:ascii="宋体" w:hAnsi="宋体"/>
          <w:sz w:val="24"/>
          <w:highlight w:val="none"/>
        </w:rPr>
        <w:t>授权书</w:t>
      </w:r>
      <w:r>
        <w:rPr>
          <w:rFonts w:hint="eastAsia" w:ascii="宋体" w:hAnsi="宋体"/>
          <w:sz w:val="24"/>
          <w:highlight w:val="none"/>
          <w:lang w:val="en-GB"/>
        </w:rPr>
        <w:t>自</w:t>
      </w:r>
      <w:r>
        <w:rPr>
          <w:rFonts w:ascii="宋体" w:hAnsi="宋体"/>
          <w:sz w:val="24"/>
          <w:highlight w:val="none"/>
          <w:lang w:val="en-GB"/>
        </w:rPr>
        <w:t>202</w:t>
      </w:r>
      <w:r>
        <w:rPr>
          <w:rFonts w:hint="eastAsia" w:ascii="宋体" w:hAnsi="宋体"/>
          <w:sz w:val="24"/>
          <w:highlight w:val="none"/>
          <w:lang w:val="en-US" w:eastAsia="zh-CN"/>
        </w:rPr>
        <w:t>3</w:t>
      </w:r>
      <w:r>
        <w:rPr>
          <w:rFonts w:ascii="宋体" w:hAnsi="宋体"/>
          <w:sz w:val="24"/>
          <w:highlight w:val="none"/>
          <w:lang w:val="en-GB"/>
        </w:rPr>
        <w:t>年</w:t>
      </w:r>
      <w:r>
        <w:rPr>
          <w:rFonts w:hint="eastAsia" w:ascii="宋体" w:hAnsi="宋体"/>
          <w:sz w:val="24"/>
          <w:highlight w:val="none"/>
          <w:lang w:val="en-GB"/>
        </w:rPr>
        <w:t xml:space="preserve"> </w:t>
      </w:r>
      <w:r>
        <w:rPr>
          <w:rFonts w:ascii="宋体" w:hAnsi="宋体"/>
          <w:sz w:val="24"/>
          <w:highlight w:val="none"/>
          <w:lang w:val="en-GB"/>
        </w:rPr>
        <w:t xml:space="preserve">  </w:t>
      </w:r>
      <w:r>
        <w:rPr>
          <w:rFonts w:hint="eastAsia" w:ascii="宋体" w:hAnsi="宋体"/>
          <w:sz w:val="24"/>
          <w:highlight w:val="none"/>
        </w:rPr>
        <w:t xml:space="preserve">月 </w:t>
      </w:r>
      <w:r>
        <w:rPr>
          <w:rFonts w:ascii="宋体" w:hAnsi="宋体"/>
          <w:sz w:val="24"/>
          <w:highlight w:val="none"/>
        </w:rPr>
        <w:t xml:space="preserve">   </w:t>
      </w:r>
      <w:r>
        <w:rPr>
          <w:rFonts w:hint="eastAsia" w:ascii="宋体" w:hAnsi="宋体"/>
          <w:sz w:val="24"/>
          <w:highlight w:val="none"/>
        </w:rPr>
        <w:t>日</w:t>
      </w:r>
      <w:r>
        <w:rPr>
          <w:rFonts w:hint="eastAsia" w:ascii="宋体" w:hAnsi="宋体"/>
          <w:sz w:val="24"/>
          <w:highlight w:val="none"/>
          <w:lang w:val="en-GB"/>
        </w:rPr>
        <w:t>签章之日起生效，特此声明。</w:t>
      </w:r>
    </w:p>
    <w:p>
      <w:pPr>
        <w:spacing w:before="120" w:beforeLines="50" w:after="120" w:afterLines="50" w:line="360" w:lineRule="auto"/>
        <w:ind w:firstLine="480" w:firstLineChars="200"/>
        <w:rPr>
          <w:rFonts w:ascii="宋体" w:hAnsi="宋体"/>
          <w:sz w:val="24"/>
          <w:highlight w:val="none"/>
        </w:rPr>
      </w:pPr>
    </w:p>
    <w:p>
      <w:pPr>
        <w:spacing w:before="120" w:beforeLines="50" w:after="120" w:afterLines="50" w:line="360" w:lineRule="auto"/>
        <w:ind w:firstLine="480" w:firstLineChars="200"/>
        <w:rPr>
          <w:rFonts w:ascii="宋体" w:hAnsi="宋体"/>
          <w:sz w:val="24"/>
          <w:highlight w:val="none"/>
          <w:u w:val="single"/>
        </w:rPr>
      </w:pPr>
      <w:r>
        <w:rPr>
          <w:rFonts w:hint="eastAsia" w:ascii="宋体" w:hAnsi="宋体"/>
          <w:sz w:val="24"/>
          <w:highlight w:val="none"/>
        </w:rPr>
        <w:t>附：代理人性别：   年龄：   职务：</w:t>
      </w:r>
    </w:p>
    <w:p>
      <w:pPr>
        <w:spacing w:before="120" w:beforeLines="50" w:after="120" w:afterLines="50" w:line="360" w:lineRule="auto"/>
        <w:ind w:firstLine="480" w:firstLineChars="200"/>
        <w:rPr>
          <w:rFonts w:ascii="宋体" w:hAnsi="宋体"/>
          <w:sz w:val="24"/>
          <w:highlight w:val="none"/>
          <w:u w:val="single"/>
        </w:rPr>
      </w:pPr>
      <w:r>
        <w:rPr>
          <w:rFonts w:hint="eastAsia" w:ascii="宋体" w:hAnsi="宋体"/>
          <w:sz w:val="24"/>
          <w:highlight w:val="none"/>
        </w:rPr>
        <w:t>　　身份证号码：</w:t>
      </w:r>
    </w:p>
    <w:p>
      <w:pPr>
        <w:spacing w:before="120" w:beforeLines="50" w:after="120" w:afterLines="50" w:line="360" w:lineRule="auto"/>
        <w:ind w:firstLine="480" w:firstLineChars="200"/>
        <w:rPr>
          <w:rFonts w:ascii="宋体" w:hAnsi="宋体"/>
          <w:sz w:val="24"/>
          <w:highlight w:val="none"/>
        </w:rPr>
      </w:pPr>
      <w:r>
        <w:rPr>
          <w:rFonts w:hint="eastAsia" w:ascii="宋体" w:hAnsi="宋体"/>
          <w:sz w:val="24"/>
          <w:highlight w:val="none"/>
        </w:rPr>
        <w:t>附：被授权人有效身份证正反面或其他身份证明材料复印</w:t>
      </w:r>
    </w:p>
    <w:p>
      <w:pPr>
        <w:widowControl/>
        <w:spacing w:before="120" w:beforeLines="50" w:after="120" w:afterLines="50" w:line="360" w:lineRule="auto"/>
        <w:rPr>
          <w:rFonts w:ascii="宋体" w:hAnsi="宋体" w:cs="宋体"/>
          <w:kern w:val="0"/>
          <w:sz w:val="24"/>
          <w:highlight w:val="none"/>
        </w:rPr>
      </w:pPr>
    </w:p>
    <w:p>
      <w:pPr>
        <w:widowControl/>
        <w:spacing w:before="120" w:beforeLines="50" w:after="120" w:afterLines="50" w:line="360" w:lineRule="auto"/>
        <w:rPr>
          <w:rFonts w:ascii="宋体" w:hAnsi="宋体" w:cs="宋体"/>
          <w:kern w:val="0"/>
          <w:sz w:val="24"/>
          <w:highlight w:val="none"/>
        </w:rPr>
      </w:pPr>
    </w:p>
    <w:p>
      <w:pPr>
        <w:widowControl/>
        <w:spacing w:before="120" w:beforeLines="50" w:after="120" w:afterLines="50" w:line="360" w:lineRule="auto"/>
        <w:rPr>
          <w:rFonts w:ascii="宋体" w:hAnsi="宋体" w:cs="宋体"/>
          <w:kern w:val="0"/>
          <w:sz w:val="24"/>
          <w:highlight w:val="none"/>
        </w:rPr>
      </w:pPr>
      <w:r>
        <w:rPr>
          <w:rFonts w:hint="eastAsia" w:ascii="宋体" w:hAnsi="宋体" w:cs="宋体"/>
          <w:kern w:val="0"/>
          <w:sz w:val="24"/>
          <w:highlight w:val="none"/>
        </w:rPr>
        <w:t>（单位盖章）：</w:t>
      </w:r>
    </w:p>
    <w:p>
      <w:pPr>
        <w:widowControl/>
        <w:spacing w:before="120" w:beforeLines="50" w:after="120" w:afterLines="50" w:line="360" w:lineRule="auto"/>
        <w:rPr>
          <w:rFonts w:ascii="宋体" w:hAnsi="宋体" w:cs="宋体"/>
          <w:kern w:val="0"/>
          <w:sz w:val="24"/>
          <w:highlight w:val="none"/>
        </w:rPr>
      </w:pPr>
    </w:p>
    <w:p>
      <w:pPr>
        <w:widowControl/>
        <w:spacing w:before="120" w:beforeLines="50" w:after="120" w:afterLines="50" w:line="360" w:lineRule="auto"/>
        <w:rPr>
          <w:rFonts w:ascii="宋体" w:hAnsi="宋体" w:cs="宋体"/>
          <w:kern w:val="0"/>
          <w:sz w:val="24"/>
          <w:highlight w:val="none"/>
        </w:rPr>
      </w:pPr>
      <w:r>
        <w:rPr>
          <w:rFonts w:hint="eastAsia" w:ascii="宋体" w:hAnsi="宋体" w:cs="宋体"/>
          <w:kern w:val="0"/>
          <w:sz w:val="24"/>
          <w:highlight w:val="none"/>
        </w:rPr>
        <w:t>法定代表人（签字或盖章）：</w:t>
      </w:r>
    </w:p>
    <w:p>
      <w:pPr>
        <w:widowControl/>
        <w:spacing w:before="120" w:beforeLines="50" w:after="120" w:afterLines="50" w:line="360" w:lineRule="auto"/>
        <w:rPr>
          <w:rFonts w:ascii="宋体" w:hAnsi="宋体" w:cs="宋体"/>
          <w:kern w:val="0"/>
          <w:sz w:val="24"/>
          <w:highlight w:val="none"/>
        </w:rPr>
      </w:pPr>
      <w:r>
        <w:rPr>
          <w:rFonts w:hint="eastAsia" w:ascii="宋体" w:hAnsi="宋体" w:cs="宋体"/>
          <w:kern w:val="0"/>
          <w:sz w:val="24"/>
          <w:highlight w:val="none"/>
        </w:rPr>
        <w:t>被授权人（签字或盖章）：</w:t>
      </w:r>
    </w:p>
    <w:p>
      <w:pPr>
        <w:widowControl/>
        <w:spacing w:before="120" w:beforeLines="50" w:after="120" w:afterLines="50" w:line="360" w:lineRule="auto"/>
        <w:rPr>
          <w:rFonts w:ascii="宋体" w:hAnsi="宋体" w:cs="宋体"/>
          <w:kern w:val="0"/>
          <w:sz w:val="24"/>
          <w:highlight w:val="none"/>
        </w:rPr>
      </w:pPr>
      <w:r>
        <w:rPr>
          <w:rFonts w:hint="eastAsia" w:ascii="宋体" w:hAnsi="宋体" w:cs="宋体"/>
          <w:kern w:val="0"/>
          <w:sz w:val="24"/>
          <w:highlight w:val="none"/>
        </w:rPr>
        <w:t>日期： 202</w:t>
      </w:r>
      <w:r>
        <w:rPr>
          <w:rFonts w:hint="eastAsia" w:ascii="宋体" w:hAnsi="宋体" w:cs="宋体"/>
          <w:kern w:val="0"/>
          <w:sz w:val="24"/>
          <w:highlight w:val="none"/>
          <w:lang w:val="en-US" w:eastAsia="zh-CN"/>
        </w:rPr>
        <w:t>3</w:t>
      </w:r>
      <w:r>
        <w:rPr>
          <w:rFonts w:hint="eastAsia" w:ascii="宋体" w:hAnsi="宋体" w:cs="宋体"/>
          <w:kern w:val="0"/>
          <w:sz w:val="24"/>
          <w:highlight w:val="none"/>
        </w:rPr>
        <w:t>年   月   日</w:t>
      </w:r>
    </w:p>
    <w:p>
      <w:pPr>
        <w:widowControl/>
        <w:spacing w:before="120" w:beforeLines="50" w:after="120" w:afterLines="50" w:line="360" w:lineRule="auto"/>
        <w:jc w:val="left"/>
        <w:rPr>
          <w:rFonts w:hAnsi="宋体"/>
          <w:sz w:val="20"/>
          <w:szCs w:val="20"/>
          <w:highlight w:val="none"/>
        </w:rPr>
      </w:pPr>
      <w:r>
        <w:rPr>
          <w:rFonts w:hint="eastAsia" w:hAnsi="宋体" w:cs="宋体"/>
          <w:sz w:val="24"/>
          <w:highlight w:val="none"/>
          <w:lang w:val="zh-CN"/>
        </w:rPr>
        <w:t>说明：法定代表人亲自办理投标事宜的，无需提交本证明书。</w:t>
      </w:r>
    </w:p>
    <w:p>
      <w:pPr>
        <w:spacing w:before="120" w:beforeLines="50" w:after="120" w:afterLines="50" w:line="360" w:lineRule="auto"/>
        <w:rPr>
          <w:rFonts w:asciiTheme="minorEastAsia" w:hAnsiTheme="minorEastAsia" w:eastAsiaTheme="minorEastAsia"/>
          <w:sz w:val="30"/>
          <w:szCs w:val="30"/>
          <w:highlight w:val="none"/>
        </w:rPr>
      </w:pPr>
    </w:p>
    <w:p>
      <w:pPr>
        <w:spacing w:before="120" w:beforeLines="50" w:after="120" w:afterLines="50" w:line="360" w:lineRule="auto"/>
        <w:rPr>
          <w:rFonts w:asciiTheme="minorEastAsia" w:hAnsiTheme="minorEastAsia" w:eastAsiaTheme="minorEastAsia"/>
          <w:sz w:val="30"/>
          <w:szCs w:val="30"/>
          <w:highlight w:val="none"/>
        </w:rPr>
      </w:pPr>
    </w:p>
    <w:p>
      <w:pPr>
        <w:spacing w:before="120" w:beforeLines="50" w:after="120" w:afterLines="50" w:line="360" w:lineRule="auto"/>
        <w:rPr>
          <w:rFonts w:asciiTheme="minorEastAsia" w:hAnsiTheme="minorEastAsia" w:eastAsiaTheme="minorEastAsia"/>
          <w:sz w:val="30"/>
          <w:szCs w:val="30"/>
          <w:highlight w:val="none"/>
        </w:rPr>
      </w:pPr>
    </w:p>
    <w:p>
      <w:pPr>
        <w:spacing w:line="360" w:lineRule="auto"/>
        <w:rPr>
          <w:rFonts w:asciiTheme="minorEastAsia" w:hAnsiTheme="minorEastAsia" w:eastAsiaTheme="minorEastAsia"/>
          <w:sz w:val="30"/>
          <w:szCs w:val="30"/>
          <w:highlight w:val="none"/>
        </w:rPr>
      </w:pPr>
    </w:p>
    <w:p>
      <w:pPr>
        <w:pStyle w:val="6"/>
        <w:spacing w:line="360" w:lineRule="auto"/>
        <w:jc w:val="both"/>
        <w:rPr>
          <w:rFonts w:ascii="宋体" w:hAnsi="宋体" w:eastAsia="宋体"/>
          <w:b/>
          <w:bCs/>
          <w:sz w:val="28"/>
          <w:szCs w:val="30"/>
          <w:highlight w:val="none"/>
        </w:rPr>
      </w:pPr>
      <w:r>
        <w:rPr>
          <w:rFonts w:hint="eastAsia" w:asciiTheme="minorEastAsia" w:hAnsiTheme="minorEastAsia" w:eastAsiaTheme="minorEastAsia"/>
          <w:sz w:val="30"/>
          <w:szCs w:val="30"/>
          <w:highlight w:val="none"/>
        </w:rPr>
        <w:t>附件5</w:t>
      </w:r>
      <w:r>
        <w:rPr>
          <w:rFonts w:hint="eastAsia" w:asciiTheme="minorEastAsia" w:hAnsiTheme="minorEastAsia" w:eastAsiaTheme="minorEastAsia"/>
          <w:sz w:val="30"/>
          <w:szCs w:val="30"/>
          <w:highlight w:val="none"/>
          <w:lang w:val="en-US" w:eastAsia="zh-CN"/>
        </w:rPr>
        <w:t xml:space="preserve">               </w:t>
      </w:r>
      <w:r>
        <w:rPr>
          <w:rFonts w:hint="eastAsia" w:ascii="宋体" w:hAnsi="宋体" w:eastAsia="宋体"/>
          <w:b/>
          <w:bCs/>
          <w:sz w:val="28"/>
          <w:szCs w:val="30"/>
          <w:highlight w:val="none"/>
        </w:rPr>
        <w:t>★实质性要求响应表</w:t>
      </w:r>
    </w:p>
    <w:p>
      <w:pPr>
        <w:spacing w:line="360" w:lineRule="auto"/>
        <w:rPr>
          <w:rFonts w:ascii="宋体" w:hAnsi="宋体" w:eastAsia="宋体"/>
          <w:szCs w:val="21"/>
          <w:highlight w:val="none"/>
        </w:rPr>
      </w:pPr>
      <w:r>
        <w:rPr>
          <w:rFonts w:hint="eastAsia" w:ascii="宋体" w:hAnsi="宋体" w:eastAsia="宋体"/>
          <w:szCs w:val="21"/>
          <w:highlight w:val="none"/>
        </w:rPr>
        <w:t>项目名称：</w:t>
      </w:r>
      <w:r>
        <w:rPr>
          <w:rFonts w:hint="eastAsia" w:ascii="宋体" w:hAnsi="宋体" w:eastAsia="宋体" w:cs="宋体"/>
          <w:b w:val="0"/>
          <w:sz w:val="24"/>
          <w:szCs w:val="24"/>
          <w:highlight w:val="none"/>
          <w:u w:val="none"/>
        </w:rPr>
        <w:t>新型物联网中央空调计时型温控器研发应用示范</w:t>
      </w:r>
    </w:p>
    <w:tbl>
      <w:tblPr>
        <w:tblStyle w:val="16"/>
        <w:tblW w:w="95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35"/>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★实质性招标要求内容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投标响应详细内容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正/负/无偏离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偏离说明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★（2）中央空调联网计时型温控器需求：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5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A、基本功能：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1）电子式液晶中央空调温控器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2）内置感温元件：NTC；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3）可设定温度范围：5℃~35℃；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4）控温精度：±1℃；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5）有高、中、低、自动风速设定；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6）自耗功率：&lt;1W；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7）工作电压：200-240VAC，50/60HZ；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8）负载电流：≤3A；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9）外壳材料：PC+ABS（阻燃）；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10）外形尺寸：86X86X13mm（标准86盒）；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11）高中低风速三挡应具有自复位的过电流短路保护装置。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5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B、定制功能：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1）通讯方式：温控器内置4G无线通信模块；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2）前置面板激光刻印大学城能源公司商标LOGO和“客服热线400-8876-540”；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3）具有记忆功能，能设定在开机状态下断电重启后选择是关机状态还是开机状态；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0"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4）具有远程调温功能和远程限温功能，系统下发可调温度区间命令后，则用户只能在温控器限定的温度区间进行调温，例如限定用户只能在22℃~28℃区间内调温，区间外的调温不能操作。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5）具有远程调风速档功能和远程限风速档功能，例如系统下发限中档命令后，则用户不能操作其他档位，风速限定在中档；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6）具有远程开关温控器功能；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7）具有远程锁定功能，下发远程锁定命令后，除开关外其余功能全部锁定，例如禁止调温，禁止调档，用户只能开和关；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8）具有远程禁用功能，下发远程禁用命令后，全部功能禁用，用户在温控器面板不能任何操作包括开关操作，取消禁用操作后温控器处于关机待机状态；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9）液晶面板能切换显示六位数累计时间和六位数剩余时间，显示单位是小时，远程读取的单位精确到分钟；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温控器兼容两种计时方式，风机计时和二通阀当量时间计时，可通过本地按键操作切换计时方式。风机计时方式为开机即开风机进行计时，关机即关风机结束计时，二通阀当量时间计时方式为采集二通阀通断的累计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11）累计时间和剩余时间都具有储存和远程读写功能，即使网络断线也不影响就地使用，累计时间为递增，剩余时间为递减，当递减为0时能自动关闭并禁用温控器；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温控器本地能储存三挡风速系数和22℃~28℃的温度系数，能远程读写。风机计时方式的累计时间和剩余时间由高中低三挡风机运行采集时间乘以温度系数和风速系数得出，二通阀当量时间计时方式的累计时间和剩余时间由高中低三挡二通阀运行采集时间乘以风速系数得出，即得出的累计时间和剩余时间是折算成26℃低档标准节能工况下的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13）加密芯片功能：电源部分无法通过简单电平信号控制，需要面板进行加密数据通信，才可正常进行风机和阀门控制。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14）防盗装置：温控器应具有防拆功能，内三角防盗螺丝封装或设置防盗铅封装置（专用标记及编码由中标人提供）。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15）状态主动上报功能：温控器需具备定时主动上报状态的功能，方便后台查询温控器的实时状态。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16）通信运营服务：本定制温控器使用的4G卡必须由当地通讯运营商提供。同时提供3年或以上物联网温控器数据通信服务（每台温控器的流量不低于500M/年）。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备用温控器流转：购方负责拆下并邮寄到中标方进行更换或维修，来回运费由中标方负责，修复或更换的新温控器需10日内寄回采购方，时间戳点以收货时间为准。中标方免费提供2%总量温控器备表存放在采购方作维修更换流转使用，故障表由采购方寄回给中标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18）中标方需要在合同约定时间内对接完成，满足物联网温控器管理平台软件功能要求（附件：物联网温控器管理平台软件功能介绍）。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spacing w:before="120" w:beforeLines="50" w:after="120" w:afterLines="50" w:line="360" w:lineRule="auto"/>
        <w:rPr>
          <w:rFonts w:ascii="宋体" w:hAnsi="宋体" w:eastAsia="宋体" w:cs="Arial"/>
          <w:b/>
          <w:szCs w:val="21"/>
          <w:highlight w:val="none"/>
        </w:rPr>
      </w:pPr>
      <w:r>
        <w:rPr>
          <w:rFonts w:hint="eastAsia" w:ascii="宋体" w:hAnsi="宋体" w:eastAsia="宋体" w:cs="Arial"/>
          <w:b/>
          <w:szCs w:val="21"/>
          <w:highlight w:val="none"/>
        </w:rPr>
        <w:t>投标人必须将对竞选文件中有关</w:t>
      </w:r>
      <w:r>
        <w:rPr>
          <w:rFonts w:ascii="宋体" w:hAnsi="宋体" w:eastAsia="宋体" w:cs="Arial"/>
          <w:b/>
          <w:szCs w:val="21"/>
          <w:highlight w:val="none"/>
        </w:rPr>
        <w:t>“</w:t>
      </w:r>
      <w:r>
        <w:rPr>
          <w:rFonts w:hint="eastAsia" w:ascii="宋体" w:hAnsi="宋体" w:eastAsia="宋体" w:cs="宋体"/>
          <w:b/>
          <w:szCs w:val="21"/>
          <w:highlight w:val="none"/>
        </w:rPr>
        <w:t>★</w:t>
      </w:r>
      <w:r>
        <w:rPr>
          <w:rFonts w:ascii="宋体" w:hAnsi="宋体" w:eastAsia="宋体" w:cs="Arial"/>
          <w:b/>
          <w:szCs w:val="21"/>
          <w:highlight w:val="none"/>
        </w:rPr>
        <w:t>”</w:t>
      </w:r>
      <w:r>
        <w:rPr>
          <w:rFonts w:hint="eastAsia" w:ascii="宋体" w:hAnsi="宋体" w:eastAsia="宋体" w:cs="Arial"/>
          <w:b/>
          <w:szCs w:val="21"/>
          <w:highlight w:val="none"/>
        </w:rPr>
        <w:t>号的实质性要求进行响应，响应详细</w:t>
      </w:r>
      <w:r>
        <w:rPr>
          <w:rFonts w:hint="eastAsia" w:ascii="宋体" w:hAnsi="宋体" w:eastAsia="宋体" w:cs="Arial"/>
          <w:b/>
          <w:bCs/>
          <w:szCs w:val="21"/>
          <w:highlight w:val="none"/>
        </w:rPr>
        <w:t>内容</w:t>
      </w:r>
      <w:r>
        <w:rPr>
          <w:rFonts w:hint="eastAsia" w:ascii="宋体" w:hAnsi="宋体" w:eastAsia="宋体" w:cs="Arial"/>
          <w:b/>
          <w:szCs w:val="21"/>
          <w:highlight w:val="none"/>
        </w:rPr>
        <w:t>填写此表。</w:t>
      </w:r>
    </w:p>
    <w:p>
      <w:pPr>
        <w:rPr>
          <w:rFonts w:ascii="宋体" w:hAnsi="宋体" w:eastAsia="宋体" w:cs="Arial"/>
          <w:szCs w:val="21"/>
          <w:highlight w:val="none"/>
        </w:rPr>
      </w:pPr>
      <w:r>
        <w:rPr>
          <w:rFonts w:hint="eastAsia" w:ascii="宋体" w:hAnsi="宋体" w:eastAsia="宋体" w:cs="Arial"/>
          <w:szCs w:val="21"/>
          <w:highlight w:val="none"/>
        </w:rPr>
        <w:t>备注：</w:t>
      </w:r>
      <w:r>
        <w:rPr>
          <w:rFonts w:ascii="宋体" w:hAnsi="宋体" w:eastAsia="宋体" w:cs="Arial"/>
          <w:szCs w:val="21"/>
          <w:highlight w:val="none"/>
        </w:rPr>
        <w:t>竞选文件中标有“★”的指标均被视为实质性响应指标，投标人如有一项带“★”的指标未响应或不满足，将按无效投标处理。</w:t>
      </w:r>
    </w:p>
    <w:p>
      <w:pPr>
        <w:spacing w:before="120" w:beforeLines="50" w:after="120" w:afterLines="50" w:line="360" w:lineRule="auto"/>
        <w:ind w:firstLine="105" w:firstLineChars="50"/>
        <w:jc w:val="left"/>
        <w:rPr>
          <w:rFonts w:hint="eastAsia" w:ascii="宋体" w:hAnsi="宋体" w:eastAsia="宋体"/>
          <w:highlight w:val="none"/>
        </w:rPr>
      </w:pPr>
      <w:r>
        <w:rPr>
          <w:rFonts w:hint="eastAsia" w:ascii="宋体" w:hAnsi="宋体" w:eastAsia="宋体"/>
          <w:highlight w:val="none"/>
        </w:rPr>
        <w:t>供应商名称（盖公章）：日期：</w:t>
      </w:r>
      <w:r>
        <w:rPr>
          <w:rFonts w:ascii="宋体" w:hAnsi="宋体" w:eastAsia="宋体"/>
          <w:highlight w:val="none"/>
        </w:rPr>
        <w:t>20</w:t>
      </w:r>
      <w:r>
        <w:rPr>
          <w:rFonts w:hint="eastAsia" w:ascii="宋体" w:hAnsi="宋体" w:eastAsia="宋体"/>
          <w:highlight w:val="none"/>
          <w:lang w:val="en-US" w:eastAsia="zh-CN"/>
        </w:rPr>
        <w:t>23</w:t>
      </w:r>
      <w:r>
        <w:rPr>
          <w:rFonts w:ascii="宋体" w:hAnsi="宋体" w:eastAsia="宋体"/>
          <w:highlight w:val="none"/>
        </w:rPr>
        <w:t xml:space="preserve">  年 </w:t>
      </w:r>
      <w:r>
        <w:rPr>
          <w:rFonts w:hint="eastAsia" w:ascii="宋体" w:hAnsi="宋体" w:eastAsia="宋体"/>
          <w:highlight w:val="none"/>
        </w:rPr>
        <w:t xml:space="preserve">月 </w:t>
      </w:r>
      <w:r>
        <w:rPr>
          <w:rFonts w:ascii="宋体" w:hAnsi="宋体" w:eastAsia="宋体"/>
          <w:highlight w:val="none"/>
        </w:rPr>
        <w:t xml:space="preserve"> </w:t>
      </w:r>
      <w:r>
        <w:rPr>
          <w:rFonts w:hint="eastAsia" w:ascii="宋体" w:hAnsi="宋体" w:eastAsia="宋体"/>
          <w:highlight w:val="none"/>
        </w:rPr>
        <w:t>日</w:t>
      </w:r>
    </w:p>
    <w:p>
      <w:pPr>
        <w:spacing w:line="360" w:lineRule="auto"/>
        <w:rPr>
          <w:rFonts w:hint="eastAsia" w:asciiTheme="minorEastAsia" w:hAnsiTheme="minorEastAsia" w:eastAsiaTheme="minorEastAsia"/>
          <w:sz w:val="30"/>
          <w:szCs w:val="30"/>
          <w:highlight w:val="none"/>
          <w:lang w:val="en-US" w:eastAsia="zh-CN"/>
        </w:rPr>
      </w:pPr>
    </w:p>
    <w:p>
      <w:pPr>
        <w:spacing w:line="360" w:lineRule="auto"/>
        <w:jc w:val="left"/>
        <w:rPr>
          <w:rFonts w:hint="eastAsia" w:ascii="宋体" w:hAnsi="宋体" w:cs="宋体"/>
          <w:b/>
          <w:bCs/>
          <w:sz w:val="32"/>
          <w:szCs w:val="36"/>
          <w:highlight w:val="none"/>
        </w:rPr>
      </w:pPr>
      <w:r>
        <w:rPr>
          <w:rFonts w:hint="eastAsia" w:asciiTheme="minorEastAsia" w:hAnsiTheme="minorEastAsia" w:eastAsiaTheme="minorEastAsia"/>
          <w:sz w:val="30"/>
          <w:szCs w:val="30"/>
          <w:highlight w:val="none"/>
          <w:lang w:val="en-US" w:eastAsia="zh-CN"/>
        </w:rPr>
        <w:t xml:space="preserve">附件6      </w:t>
      </w:r>
      <w:r>
        <w:rPr>
          <w:rFonts w:hint="eastAsia" w:ascii="宋体" w:hAnsi="宋体" w:cs="宋体"/>
          <w:b/>
          <w:bCs/>
          <w:sz w:val="32"/>
          <w:szCs w:val="36"/>
          <w:highlight w:val="none"/>
        </w:rPr>
        <w:t>投标人资格及有效性审查表</w:t>
      </w:r>
    </w:p>
    <w:p>
      <w:pPr>
        <w:spacing w:line="360" w:lineRule="auto"/>
        <w:jc w:val="left"/>
        <w:rPr>
          <w:rFonts w:hint="eastAsia" w:ascii="宋体" w:hAnsi="宋体" w:cs="宋体"/>
          <w:b/>
          <w:bCs/>
          <w:sz w:val="32"/>
          <w:szCs w:val="36"/>
          <w:highlight w:val="none"/>
        </w:rPr>
      </w:pPr>
    </w:p>
    <w:p>
      <w:pPr>
        <w:spacing w:line="360" w:lineRule="auto"/>
        <w:ind w:left="1000" w:hanging="1000" w:hangingChars="500"/>
        <w:rPr>
          <w:rFonts w:hAnsi="宋体"/>
          <w:sz w:val="20"/>
          <w:szCs w:val="21"/>
          <w:highlight w:val="none"/>
        </w:rPr>
      </w:pPr>
      <w:r>
        <w:rPr>
          <w:rFonts w:hint="eastAsia" w:ascii="宋体" w:hAnsi="宋体"/>
          <w:bCs/>
          <w:sz w:val="20"/>
          <w:szCs w:val="21"/>
          <w:highlight w:val="none"/>
        </w:rPr>
        <w:t>项目名称：</w:t>
      </w:r>
      <w:r>
        <w:rPr>
          <w:rFonts w:hint="eastAsia" w:ascii="宋体" w:hAnsi="宋体" w:eastAsia="宋体" w:cs="宋体"/>
          <w:b w:val="0"/>
          <w:sz w:val="24"/>
          <w:szCs w:val="24"/>
          <w:highlight w:val="none"/>
          <w:u w:val="none"/>
        </w:rPr>
        <w:t>新型物联网中央空调计时型温控器研发应用示范</w:t>
      </w:r>
    </w:p>
    <w:tbl>
      <w:tblPr>
        <w:tblStyle w:val="16"/>
        <w:tblW w:w="87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7248"/>
        <w:gridCol w:w="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7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评审内容</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必须是具有独立承担民事责任能力的在中华人民共和国境内注册的法人，具备有效的工商营业执照、企业法人组织机构代码证书、税务登记证书（或三证合一），按国家法律经营。</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投标人没有处于被责令停业或破产状态，且资产未被重组、接管和冻结，声明在投标活动中3年内没有重大违法活动和涉嫌违规行为。（格式自拟）</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本项目不接受联合体报价。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投标文件按竞选文件的规定密封、盖章和签署；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投标文件按竞选文件规定的格式填写，无内容不全或关键字迹模糊、无法辩认情形；</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对同一竞选项目未出现两个或以上的投标报价，且没声明哪个有效；</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投标总报价不得高于采购限价；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投标总报价不低于企业自身成本；</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工期满足竞选文件要求的；</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方案中无未响应竞选文件中已明确必须要作实质性响应的内容；</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投标文件无附有采购人不能接受的条件；</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符合竞选文件中规定的其他实质性要求。</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评审结论（</w:t>
            </w:r>
            <w:r>
              <w:rPr>
                <w:rFonts w:hint="eastAsia" w:ascii="宋体" w:hAnsi="宋体" w:eastAsia="宋体" w:cs="宋体"/>
                <w:i w:val="0"/>
                <w:iCs w:val="0"/>
                <w:color w:val="000000"/>
                <w:kern w:val="0"/>
                <w:sz w:val="18"/>
                <w:szCs w:val="18"/>
                <w:u w:val="none"/>
                <w:lang w:val="en-US" w:eastAsia="zh-CN" w:bidi="ar"/>
              </w:rPr>
              <w:t>通过/不通过</w:t>
            </w:r>
            <w:r>
              <w:rPr>
                <w:rFonts w:hint="eastAsia" w:ascii="宋体" w:hAnsi="宋体" w:eastAsia="宋体" w:cs="宋体"/>
                <w:b/>
                <w:bCs/>
                <w:i w:val="0"/>
                <w:iCs w:val="0"/>
                <w:color w:val="000000"/>
                <w:kern w:val="0"/>
                <w:sz w:val="18"/>
                <w:szCs w:val="18"/>
                <w:u w:val="none"/>
                <w:lang w:val="en-US" w:eastAsia="zh-CN" w:bidi="ar"/>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spacing w:line="360" w:lineRule="auto"/>
        <w:ind w:firstLine="440"/>
        <w:rPr>
          <w:rFonts w:ascii="宋体" w:hAnsi="宋体"/>
          <w:sz w:val="18"/>
          <w:szCs w:val="21"/>
          <w:highlight w:val="none"/>
        </w:rPr>
      </w:pPr>
      <w:r>
        <w:rPr>
          <w:rFonts w:hint="eastAsia" w:ascii="宋体" w:hAnsi="宋体"/>
          <w:sz w:val="18"/>
          <w:szCs w:val="21"/>
          <w:highlight w:val="none"/>
        </w:rPr>
        <w:t>注：</w:t>
      </w:r>
    </w:p>
    <w:p>
      <w:pPr>
        <w:numPr>
          <w:ilvl w:val="0"/>
          <w:numId w:val="4"/>
        </w:numPr>
        <w:adjustRightInd w:val="0"/>
        <w:snapToGrid w:val="0"/>
        <w:spacing w:line="360" w:lineRule="auto"/>
        <w:ind w:firstLine="363" w:firstLineChars="202"/>
        <w:rPr>
          <w:rFonts w:ascii="宋体" w:hAnsi="宋体"/>
          <w:sz w:val="18"/>
          <w:szCs w:val="21"/>
          <w:highlight w:val="none"/>
        </w:rPr>
      </w:pPr>
      <w:r>
        <w:rPr>
          <w:rFonts w:hint="eastAsia" w:ascii="宋体" w:hAnsi="宋体"/>
          <w:sz w:val="18"/>
          <w:szCs w:val="21"/>
          <w:highlight w:val="none"/>
        </w:rPr>
        <w:t>投标人分栏中填写“√”表示该项符合竞选文件要求，“×”表示该项不符合竞选文件要求，“○”表示无该项内容；</w:t>
      </w:r>
    </w:p>
    <w:p>
      <w:pPr>
        <w:numPr>
          <w:ilvl w:val="0"/>
          <w:numId w:val="4"/>
        </w:numPr>
        <w:adjustRightInd w:val="0"/>
        <w:snapToGrid w:val="0"/>
        <w:spacing w:line="360" w:lineRule="auto"/>
        <w:ind w:firstLine="363" w:firstLineChars="202"/>
        <w:rPr>
          <w:rFonts w:ascii="宋体" w:hAnsi="宋体"/>
          <w:sz w:val="18"/>
          <w:szCs w:val="21"/>
          <w:highlight w:val="none"/>
        </w:rPr>
      </w:pPr>
      <w:r>
        <w:rPr>
          <w:rFonts w:hint="eastAsia" w:ascii="宋体" w:hAnsi="宋体"/>
          <w:sz w:val="18"/>
          <w:szCs w:val="21"/>
          <w:highlight w:val="none"/>
        </w:rPr>
        <w:t>经评标委员会审核后，出现一个“×”的结论为“不通过”，即按废标处理。</w:t>
      </w:r>
    </w:p>
    <w:p>
      <w:pPr>
        <w:numPr>
          <w:ilvl w:val="0"/>
          <w:numId w:val="4"/>
        </w:numPr>
        <w:adjustRightInd w:val="0"/>
        <w:snapToGrid w:val="0"/>
        <w:spacing w:line="360" w:lineRule="auto"/>
        <w:ind w:firstLine="363" w:firstLineChars="202"/>
        <w:rPr>
          <w:rFonts w:ascii="宋体" w:hAnsi="宋体"/>
          <w:sz w:val="18"/>
          <w:szCs w:val="21"/>
          <w:highlight w:val="none"/>
        </w:rPr>
      </w:pPr>
      <w:r>
        <w:rPr>
          <w:rFonts w:hint="eastAsia" w:ascii="宋体" w:hAnsi="宋体"/>
          <w:sz w:val="18"/>
          <w:szCs w:val="21"/>
          <w:highlight w:val="none"/>
        </w:rPr>
        <w:t>表中全部条件满足为“通过”，同意进入下一阶段评审。</w:t>
      </w:r>
    </w:p>
    <w:p>
      <w:pPr>
        <w:numPr>
          <w:ilvl w:val="0"/>
          <w:numId w:val="4"/>
        </w:numPr>
        <w:adjustRightInd w:val="0"/>
        <w:snapToGrid w:val="0"/>
        <w:spacing w:line="360" w:lineRule="auto"/>
        <w:ind w:firstLine="363" w:firstLineChars="202"/>
        <w:rPr>
          <w:rFonts w:ascii="宋体" w:hAnsi="宋体"/>
          <w:sz w:val="18"/>
          <w:szCs w:val="21"/>
          <w:highlight w:val="none"/>
        </w:rPr>
      </w:pPr>
      <w:r>
        <w:rPr>
          <w:rFonts w:hint="eastAsia"/>
          <w:sz w:val="18"/>
          <w:szCs w:val="21"/>
          <w:highlight w:val="none"/>
        </w:rPr>
        <w:t>如对本表中某种情形的</w:t>
      </w:r>
      <w:r>
        <w:rPr>
          <w:rFonts w:hint="eastAsia" w:ascii="宋体" w:hAnsi="宋体"/>
          <w:sz w:val="18"/>
          <w:szCs w:val="21"/>
          <w:highlight w:val="none"/>
        </w:rPr>
        <w:t>评委意见不一致时，</w:t>
      </w:r>
      <w:r>
        <w:rPr>
          <w:rFonts w:hint="eastAsia"/>
          <w:sz w:val="18"/>
          <w:szCs w:val="21"/>
          <w:highlight w:val="none"/>
        </w:rPr>
        <w:t>以评标委员会过半数成员的意见作为评标委员会对该情形的认定结论。</w:t>
      </w:r>
    </w:p>
    <w:p>
      <w:pPr>
        <w:adjustRightInd w:val="0"/>
        <w:snapToGrid w:val="0"/>
        <w:spacing w:line="360" w:lineRule="auto"/>
        <w:ind w:left="424"/>
        <w:rPr>
          <w:rFonts w:ascii="宋体" w:hAnsi="宋体"/>
          <w:szCs w:val="21"/>
          <w:highlight w:val="none"/>
        </w:rPr>
      </w:pPr>
      <w:r>
        <w:rPr>
          <w:rFonts w:hint="eastAsia" w:ascii="宋体" w:hAnsi="宋体"/>
          <w:bCs/>
          <w:szCs w:val="21"/>
          <w:highlight w:val="none"/>
        </w:rPr>
        <w:t xml:space="preserve">评委签名：   </w:t>
      </w:r>
      <w:r>
        <w:rPr>
          <w:rFonts w:ascii="宋体" w:hAnsi="宋体"/>
          <w:bCs/>
          <w:szCs w:val="21"/>
          <w:highlight w:val="none"/>
        </w:rPr>
        <w:t xml:space="preserve">                                      </w:t>
      </w:r>
      <w:r>
        <w:rPr>
          <w:rFonts w:hint="eastAsia" w:ascii="宋体" w:hAnsi="宋体"/>
          <w:bCs/>
          <w:szCs w:val="21"/>
          <w:highlight w:val="none"/>
        </w:rPr>
        <w:t>日 期：</w:t>
      </w:r>
      <w:r>
        <w:rPr>
          <w:rFonts w:ascii="宋体" w:hAnsi="宋体"/>
          <w:szCs w:val="21"/>
          <w:highlight w:val="none"/>
        </w:rPr>
        <w:t>202</w:t>
      </w:r>
      <w:r>
        <w:rPr>
          <w:rFonts w:hint="eastAsia" w:ascii="宋体" w:hAnsi="宋体"/>
          <w:szCs w:val="21"/>
          <w:highlight w:val="none"/>
          <w:lang w:val="en-US" w:eastAsia="zh-CN"/>
        </w:rPr>
        <w:t>3</w:t>
      </w:r>
      <w:r>
        <w:rPr>
          <w:rFonts w:ascii="宋体" w:hAnsi="宋体"/>
          <w:szCs w:val="21"/>
          <w:highlight w:val="none"/>
        </w:rPr>
        <w:t>年</w:t>
      </w:r>
      <w:r>
        <w:rPr>
          <w:rFonts w:hint="eastAsia" w:ascii="宋体" w:hAnsi="宋体"/>
          <w:szCs w:val="21"/>
          <w:highlight w:val="none"/>
        </w:rPr>
        <w:t xml:space="preserve">   月   日</w:t>
      </w:r>
    </w:p>
    <w:p>
      <w:pPr>
        <w:spacing w:line="360" w:lineRule="auto"/>
        <w:rPr>
          <w:rFonts w:hint="eastAsia" w:ascii="宋体" w:hAnsi="宋体" w:cs="Arial"/>
          <w:color w:val="000000"/>
          <w:sz w:val="30"/>
          <w:szCs w:val="30"/>
          <w:highlight w:val="none"/>
        </w:rPr>
      </w:pPr>
    </w:p>
    <w:p>
      <w:pPr>
        <w:spacing w:line="360" w:lineRule="auto"/>
        <w:rPr>
          <w:rFonts w:hint="eastAsia" w:ascii="宋体" w:hAnsi="宋体" w:cs="Arial"/>
          <w:color w:val="000000"/>
          <w:sz w:val="30"/>
          <w:szCs w:val="30"/>
          <w:highlight w:val="none"/>
        </w:rPr>
      </w:pPr>
    </w:p>
    <w:p>
      <w:pPr>
        <w:spacing w:line="360" w:lineRule="auto"/>
        <w:rPr>
          <w:rFonts w:hint="eastAsia" w:ascii="宋体" w:hAnsi="宋体" w:cs="Arial"/>
          <w:color w:val="000000"/>
          <w:sz w:val="30"/>
          <w:szCs w:val="30"/>
          <w:highlight w:val="none"/>
        </w:rPr>
      </w:pPr>
    </w:p>
    <w:p>
      <w:pPr>
        <w:spacing w:line="360" w:lineRule="auto"/>
        <w:rPr>
          <w:rFonts w:hint="eastAsia" w:ascii="宋体" w:hAnsi="宋体" w:cs="Arial"/>
          <w:color w:val="000000"/>
          <w:sz w:val="30"/>
          <w:szCs w:val="30"/>
          <w:highlight w:val="none"/>
        </w:rPr>
      </w:pPr>
    </w:p>
    <w:p>
      <w:pPr>
        <w:spacing w:line="360" w:lineRule="auto"/>
        <w:rPr>
          <w:rFonts w:hint="eastAsia" w:hAnsi="宋体" w:eastAsia="宋体"/>
          <w:szCs w:val="21"/>
          <w:highlight w:val="none"/>
          <w:lang w:eastAsia="zh-CN"/>
        </w:rPr>
      </w:pPr>
      <w:r>
        <w:rPr>
          <w:rFonts w:hint="eastAsia" w:ascii="宋体" w:hAnsi="宋体" w:cs="Arial"/>
          <w:color w:val="000000"/>
          <w:sz w:val="30"/>
          <w:szCs w:val="30"/>
          <w:highlight w:val="none"/>
        </w:rPr>
        <w:t>附件</w:t>
      </w:r>
      <w:r>
        <w:rPr>
          <w:rFonts w:hint="eastAsia" w:ascii="宋体" w:hAnsi="宋体" w:cs="Arial"/>
          <w:color w:val="000000"/>
          <w:sz w:val="30"/>
          <w:szCs w:val="30"/>
          <w:highlight w:val="none"/>
          <w:lang w:val="en-US" w:eastAsia="zh-CN"/>
        </w:rPr>
        <w:t>7</w:t>
      </w:r>
    </w:p>
    <w:p>
      <w:pPr>
        <w:spacing w:before="72" w:beforeLines="30" w:line="360" w:lineRule="auto"/>
        <w:ind w:left="0" w:firstLine="0" w:firstLineChars="0"/>
        <w:jc w:val="center"/>
        <w:rPr>
          <w:rFonts w:ascii="宋体" w:hAnsi="宋体" w:cs="Arial"/>
          <w:b/>
          <w:color w:val="000000"/>
          <w:sz w:val="30"/>
          <w:szCs w:val="30"/>
          <w:highlight w:val="none"/>
        </w:rPr>
      </w:pPr>
      <w:r>
        <w:rPr>
          <w:rFonts w:ascii="宋体" w:hAnsi="宋体" w:cs="Arial"/>
          <w:b/>
          <w:color w:val="000000"/>
          <w:sz w:val="30"/>
          <w:szCs w:val="30"/>
          <w:highlight w:val="none"/>
        </w:rPr>
        <w:t>评分标准</w:t>
      </w:r>
    </w:p>
    <w:p>
      <w:pPr>
        <w:widowControl/>
        <w:autoSpaceDE/>
        <w:autoSpaceDN/>
        <w:adjustRightInd/>
        <w:spacing w:before="0" w:beforeLines="-2147483648" w:line="240" w:lineRule="auto"/>
        <w:ind w:left="0" w:firstLine="0" w:firstLineChars="0"/>
        <w:jc w:val="left"/>
        <w:textAlignment w:val="center"/>
        <w:rPr>
          <w:rFonts w:hint="eastAsia" w:ascii="宋体" w:hAnsi="宋体" w:cs="宋体"/>
          <w:b w:val="0"/>
          <w:color w:val="000000"/>
          <w:kern w:val="0"/>
          <w:sz w:val="22"/>
          <w:szCs w:val="22"/>
          <w:highlight w:val="none"/>
          <w:u w:val="none"/>
          <w:lang w:bidi="ar"/>
        </w:rPr>
      </w:pPr>
      <w:r>
        <w:rPr>
          <w:rFonts w:hint="eastAsia" w:ascii="宋体" w:hAnsi="宋体" w:eastAsia="宋体" w:cs="宋体"/>
          <w:color w:val="000000"/>
          <w:kern w:val="0"/>
          <w:sz w:val="22"/>
          <w:szCs w:val="22"/>
          <w:highlight w:val="none"/>
          <w:u w:val="none"/>
          <w:lang w:bidi="ar"/>
        </w:rPr>
        <w:t>项目名称：</w:t>
      </w:r>
      <w:r>
        <w:rPr>
          <w:rFonts w:hint="eastAsia" w:ascii="宋体" w:hAnsi="宋体" w:eastAsia="宋体" w:cs="宋体"/>
          <w:b w:val="0"/>
          <w:sz w:val="24"/>
          <w:szCs w:val="24"/>
          <w:highlight w:val="none"/>
          <w:u w:val="none"/>
        </w:rPr>
        <w:t>新型物联网中央空调计时型温控器研发应用示范</w:t>
      </w:r>
    </w:p>
    <w:tbl>
      <w:tblPr>
        <w:tblStyle w:val="16"/>
        <w:tblW w:w="10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275"/>
        <w:gridCol w:w="1080"/>
        <w:gridCol w:w="6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评审大项</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评审内容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6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商务部分（25分）</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企业综合实力情况</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（1）投标人获得省级或以上“高新技术企业”证书，得4分；获得市级“高新技术企业”证书，得2分。本小项最高分得4分。                                                                              （2）投标人具有专业研发实验室的，提供实验室设备的采购发票作为证明，本小项最高得分4分，不提供不得分。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注：本项累计最高得8分。须提供有效期内相关证书复印件，未符合以上条件或未按要求提供相关证明文件不得分。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体系认证情况</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投标人具备质量管理体系认证证书（ISO9001）、环境管理体系认证（ISO14001 ）、职业健康安全管理体系（ISO45001），每个得1分，本项最高得3分。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注：须提供有效期内相关证书复印件，未符合以上条件或未按要求提供相关证明文件不得分。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企业信用情况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投标人自2020年1月1日至今，纳税信用等级被评为A级的，每年得1分，本项最高得3分。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注：须提供证书扫描件或网站查询截图，未符合以上条件或未按要求提供相关证明文件不得分。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科技创新情况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投标人自2020年1月1日至今，获得相关的《实用新型专利证书》或《软件著作权登记证书》的每得1个得1分。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注：本项累计最高得6分。须提供有效期内相关证书复印件，未符合以上条件或未按要求提供相关证明文件不得分。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同类业绩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投标人提供自2020年1月1日至今完成物联网计费设备的类似业绩，每提供一个满足要求的合同得1分，本项合计最高得5分。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注：提供合同关键页复印件，未符合以上条件或未按要求提供相关证明文件不得分。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技术部分（35分）</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总体实施方案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实施方案对技术标准和要求完全响应，设计方法、技术路线合理、可操作性强，内容全面、方案完善、具体科学合理，完全满足本项目需求和询价人要求。得12-18分。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实施方案对技术标准和要求完全响应，设计方法、技术路线基本合理，内容比较全面，服务方案基本完善，基本满足本项目需求和询价人要求。得7-11分。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实施方案对技术标准和要求响应有偏离，设计方法、技术路线欠合理，内容基本全面，服务方案一般，基本满足本项目需求和询价人要求。得0-6分。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项目重难点分析</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提供对项目的难点的分析，构思方案以及实际可行的针对措施及建议等。第一名得7分，第二名得5分，第三名得3分，第四名得1分，第五名及以后不得分。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售后服务方案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提供售后服务方案，售后服务内容、服务方式、响应时间、联系方式等详细完整。第一名得10分，第二名得7分，第三名4分，第四名得1分，第五名及以后不得分。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价格部分（40分）</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取所有有效投标人的投标总报价的平均价的作为评标基准价。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以评标基准价作为计算各有效投标总报价得分的基础，当有效投标总报价等于评标基准价时得40分；有效投标总报价与评标基准价之差，每上偏1%扣1分，每向下偏离1%扣0.5分，扣完为止。</w:t>
            </w:r>
          </w:p>
        </w:tc>
      </w:tr>
    </w:tbl>
    <w:p>
      <w:pPr>
        <w:widowControl/>
        <w:jc w:val="left"/>
        <w:rPr>
          <w:rFonts w:ascii="宋体" w:hAnsi="宋体" w:cs="Arial"/>
          <w:color w:val="000000"/>
          <w:sz w:val="30"/>
          <w:szCs w:val="30"/>
          <w:highlight w:val="none"/>
        </w:rPr>
      </w:pPr>
    </w:p>
    <w:p>
      <w:pPr>
        <w:spacing w:line="460" w:lineRule="exact"/>
        <w:ind w:firstLine="240" w:firstLineChars="100"/>
        <w:rPr>
          <w:rFonts w:hint="eastAsia" w:ascii="仿宋_GB2312" w:hAnsi="仿宋" w:eastAsia="仿宋_GB2312"/>
          <w:sz w:val="24"/>
          <w:szCs w:val="24"/>
          <w:highlight w:val="none"/>
        </w:rPr>
      </w:pPr>
      <w:r>
        <w:rPr>
          <w:rFonts w:hint="eastAsia" w:ascii="仿宋_GB2312" w:hAnsi="仿宋" w:eastAsia="仿宋_GB2312"/>
          <w:sz w:val="24"/>
          <w:szCs w:val="24"/>
          <w:highlight w:val="none"/>
        </w:rPr>
        <w:t>注：1、评委对各投标文件进行比较后，根据计分方法进行相应地打分。</w:t>
      </w:r>
    </w:p>
    <w:p>
      <w:pPr>
        <w:numPr>
          <w:ilvl w:val="0"/>
          <w:numId w:val="5"/>
        </w:numPr>
        <w:spacing w:line="460" w:lineRule="exact"/>
        <w:ind w:firstLine="720" w:firstLineChars="300"/>
        <w:rPr>
          <w:rFonts w:hint="eastAsia" w:ascii="仿宋_GB2312" w:hAnsi="仿宋" w:eastAsia="仿宋_GB2312"/>
          <w:sz w:val="24"/>
          <w:szCs w:val="24"/>
          <w:highlight w:val="none"/>
        </w:rPr>
      </w:pPr>
      <w:r>
        <w:rPr>
          <w:rFonts w:hint="eastAsia" w:ascii="仿宋_GB2312" w:hAnsi="仿宋" w:eastAsia="仿宋_GB2312"/>
          <w:sz w:val="24"/>
          <w:szCs w:val="24"/>
          <w:highlight w:val="none"/>
        </w:rPr>
        <w:t>未提供各项评审的相关内容证明文件或证明文件模糊不清（有有效期的，须在有效期内），以致评委无法做出准确评判时，该项得分为0分。</w:t>
      </w:r>
    </w:p>
    <w:p>
      <w:pPr>
        <w:widowControl/>
        <w:jc w:val="left"/>
        <w:rPr>
          <w:rFonts w:ascii="宋体" w:hAnsi="宋体" w:cs="Arial"/>
          <w:color w:val="000000"/>
          <w:sz w:val="30"/>
          <w:szCs w:val="30"/>
          <w:highlight w:val="none"/>
        </w:rPr>
      </w:pPr>
      <w:r>
        <w:rPr>
          <w:rFonts w:ascii="宋体" w:hAnsi="宋体" w:cs="Arial"/>
          <w:color w:val="000000"/>
          <w:sz w:val="30"/>
          <w:szCs w:val="30"/>
          <w:highlight w:val="none"/>
        </w:rPr>
        <w:br w:type="page"/>
      </w:r>
    </w:p>
    <w:p>
      <w:pPr>
        <w:widowControl/>
        <w:jc w:val="left"/>
        <w:rPr>
          <w:rFonts w:ascii="宋体" w:hAnsi="宋体" w:cs="Arial"/>
          <w:color w:val="000000"/>
          <w:sz w:val="30"/>
          <w:szCs w:val="30"/>
          <w:highlight w:val="none"/>
        </w:rPr>
      </w:pPr>
    </w:p>
    <w:p>
      <w:pPr>
        <w:spacing w:before="72" w:beforeLines="30" w:line="360" w:lineRule="auto"/>
        <w:rPr>
          <w:rFonts w:hint="eastAsia" w:ascii="宋体" w:hAnsi="宋体" w:cs="Arial"/>
          <w:color w:val="000000"/>
          <w:sz w:val="30"/>
          <w:szCs w:val="30"/>
          <w:highlight w:val="none"/>
          <w:lang w:val="en-US" w:eastAsia="zh-CN"/>
        </w:rPr>
      </w:pPr>
      <w:r>
        <w:rPr>
          <w:rFonts w:hint="eastAsia" w:ascii="宋体" w:hAnsi="宋体" w:cs="Arial"/>
          <w:color w:val="000000"/>
          <w:sz w:val="30"/>
          <w:szCs w:val="30"/>
          <w:highlight w:val="none"/>
        </w:rPr>
        <w:t>附件</w:t>
      </w:r>
      <w:r>
        <w:rPr>
          <w:rFonts w:hint="eastAsia" w:ascii="宋体" w:hAnsi="宋体" w:cs="Arial"/>
          <w:color w:val="000000"/>
          <w:sz w:val="30"/>
          <w:szCs w:val="30"/>
          <w:highlight w:val="none"/>
          <w:lang w:val="en-US" w:eastAsia="zh-CN"/>
        </w:rPr>
        <w:t>8 采购需求书</w:t>
      </w:r>
    </w:p>
    <w:p>
      <w:pPr>
        <w:numPr>
          <w:ilvl w:val="0"/>
          <w:numId w:val="6"/>
        </w:num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新型物联网中央空调计时型温控器研发应用示范</w:t>
      </w:r>
    </w:p>
    <w:p>
      <w:pPr>
        <w:numPr>
          <w:ilvl w:val="-1"/>
          <w:numId w:val="0"/>
        </w:numPr>
        <w:jc w:val="center"/>
        <w:rPr>
          <w:rFonts w:ascii="宋体" w:hAnsi="宋体" w:eastAsia="宋体" w:cs="宋体"/>
          <w:b/>
          <w:sz w:val="32"/>
          <w:szCs w:val="32"/>
          <w:highlight w:val="none"/>
        </w:rPr>
      </w:pPr>
      <w:r>
        <w:rPr>
          <w:rFonts w:hint="eastAsia" w:ascii="宋体" w:hAnsi="宋体" w:eastAsia="宋体" w:cs="宋体"/>
          <w:b/>
          <w:sz w:val="32"/>
          <w:szCs w:val="32"/>
          <w:highlight w:val="none"/>
        </w:rPr>
        <w:t>采购需求</w:t>
      </w:r>
    </w:p>
    <w:p>
      <w:pPr>
        <w:numPr>
          <w:ilvl w:val="0"/>
          <w:numId w:val="7"/>
        </w:numPr>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项目名称</w:t>
      </w:r>
    </w:p>
    <w:p>
      <w:pPr>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新型物联网中央空调计时型温控器研发应用示范</w:t>
      </w:r>
    </w:p>
    <w:p>
      <w:pPr>
        <w:ind w:firstLine="482" w:firstLineChars="200"/>
        <w:rPr>
          <w:rFonts w:ascii="宋体" w:hAnsi="宋体" w:eastAsia="宋体" w:cs="宋体"/>
          <w:b/>
          <w:sz w:val="24"/>
          <w:szCs w:val="24"/>
          <w:highlight w:val="none"/>
        </w:rPr>
      </w:pPr>
    </w:p>
    <w:p>
      <w:pPr>
        <w:numPr>
          <w:ilvl w:val="0"/>
          <w:numId w:val="7"/>
        </w:numPr>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项目的可行性和必要性说明</w:t>
      </w:r>
    </w:p>
    <w:p>
      <w:pPr>
        <w:ind w:firstLine="480" w:firstLineChars="200"/>
        <w:rPr>
          <w:sz w:val="24"/>
          <w:szCs w:val="24"/>
          <w:highlight w:val="none"/>
        </w:rPr>
      </w:pPr>
      <w:r>
        <w:rPr>
          <w:rFonts w:hint="eastAsia"/>
          <w:sz w:val="24"/>
          <w:szCs w:val="24"/>
          <w:highlight w:val="none"/>
        </w:rPr>
        <w:t>计时型温控器在中央空调领域应用广泛，特别是联网型计时温控器具有远程控制、节能和计费功能，能实现降低能耗、统一管理和计时收费，适用于商务写字楼、公共机构、宿舍等中央空调供冷的区域，市场前景广阔。我司主营业务是中央空调区域供冷，对温控器的采购需求大。</w:t>
      </w:r>
    </w:p>
    <w:p>
      <w:pPr>
        <w:ind w:firstLine="480" w:firstLineChars="200"/>
        <w:rPr>
          <w:sz w:val="24"/>
          <w:szCs w:val="24"/>
          <w:highlight w:val="none"/>
        </w:rPr>
      </w:pPr>
      <w:r>
        <w:rPr>
          <w:rFonts w:hint="eastAsia"/>
          <w:sz w:val="24"/>
          <w:szCs w:val="24"/>
          <w:highlight w:val="none"/>
        </w:rPr>
        <w:t>目前市场上主流的物联网中央空调计时型温控器单价偏贵。我司在温控器领域有一定的研发成果，拥有两项发明专利和一项实用新型专利等相关知识产权，分别是发明专利《一种新型计费中央空调温控器及其显示方法》和《基于LORA通讯的中央空调温控器费用控制方法及其系统》，实用新型专利《一种智能温控器》。但由于我司缺乏进一步开发利用相关知识产权的专业研发人员和设备，无法更进一步把知识产权转化为科技成果。</w:t>
      </w:r>
    </w:p>
    <w:p>
      <w:pPr>
        <w:ind w:firstLine="480" w:firstLineChars="200"/>
        <w:rPr>
          <w:rFonts w:ascii="宋体" w:hAnsi="宋体" w:eastAsia="宋体" w:cs="宋体"/>
          <w:sz w:val="24"/>
          <w:szCs w:val="24"/>
          <w:highlight w:val="none"/>
        </w:rPr>
      </w:pPr>
      <w:r>
        <w:rPr>
          <w:rFonts w:hint="eastAsia"/>
          <w:sz w:val="24"/>
          <w:szCs w:val="24"/>
          <w:highlight w:val="none"/>
        </w:rPr>
        <w:t>为此，需寻求具有软件和硬件上系统集成开发实力的供应商共同研发，该供应商应擅长能源管理的硬件研发和制造，具有专业的研发实验室和专业研发团队，具备为研发新型物联网中央空调计时型温控器的实力等。</w:t>
      </w:r>
      <w:r>
        <w:rPr>
          <w:rFonts w:hint="eastAsia" w:ascii="宋体" w:hAnsi="宋体" w:eastAsia="宋体" w:cs="宋体"/>
          <w:sz w:val="24"/>
          <w:szCs w:val="24"/>
          <w:highlight w:val="none"/>
        </w:rPr>
        <w:t xml:space="preserve"> </w:t>
      </w:r>
    </w:p>
    <w:p>
      <w:pPr>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研发的内容是开发4G LTE CAT1通讯方式的计时型温控器，控制中心通过管理软件对现场每个温控器进行管理，并实施在线充值、报表管理、故障报警等功能。学生用户通过手机小程序对现场温控器进行充值服务。管理者也可以通过手机小程序对温控器进行监视和控制，对用户的日常运行和用户耗能行为方式实施有效的管理，通过科学可行的策略实现节能与智能管理，帮助管理人员了解历史和当前的使用状况，辅助管理人员作出正确的管理策略。</w:t>
      </w:r>
    </w:p>
    <w:p>
      <w:pPr>
        <w:ind w:firstLine="480" w:firstLineChars="200"/>
        <w:rPr>
          <w:rFonts w:ascii="宋体" w:hAnsi="宋体" w:eastAsia="宋体" w:cs="宋体"/>
          <w:sz w:val="24"/>
          <w:szCs w:val="24"/>
          <w:highlight w:val="none"/>
        </w:rPr>
      </w:pPr>
    </w:p>
    <w:p>
      <w:pPr>
        <w:numPr>
          <w:ilvl w:val="0"/>
          <w:numId w:val="7"/>
        </w:numPr>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项目采购内容</w:t>
      </w:r>
    </w:p>
    <w:p>
      <w:pPr>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1、采购内容</w:t>
      </w:r>
    </w:p>
    <w:p>
      <w:pPr>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向乙方采购新型物联网中央空调计时型温控器硬件开发资料、云平台软件对接和生产制造500台样机等相关服务，使系统能达到《新型物联网中央空调计时型温控器研发应用示范技术方案》中所述要求。采购内容和要求如下：</w:t>
      </w:r>
    </w:p>
    <w:p>
      <w:pPr>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新型物联网中央空调计时型温控器硬件开发。硬件完成开发后，中标方需提供硬件开发的所有资料，确保甲方能利用这些资料向主流制造商直接下单制造，在生产过程中中标方无偿提供技术支持。硬件开发资料包括但不限于PCB版电路图、开模数据、芯片选择、芯片的软件程序、加密资料、通讯模块资料等。温控器的技术指标和要求见“★”条款。</w:t>
      </w:r>
    </w:p>
    <w:p>
      <w:pPr>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（2）云平台软件对接。甲方云平台由第三方开发，中标方负责温控器与云平台软件对接，保证温控器能接入甲方云平台。软件功能见“附件：物联网温控器管理平台软件功能介绍”。</w:t>
      </w:r>
    </w:p>
    <w:p>
      <w:pPr>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新型物联网中央空调计时型温控器生产制造样机500台。温控器的软件和硬件开发测试完成后，由中标方生产制造500台符合要求的样机交付给甲方使用，甲方安装测试过程中由中标方无偿提供技术支持，如产品出现质量问题，在质保期内由中标方负责维修或者更换新的温控器。温控器技术指标和要求见“★”条款</w:t>
      </w:r>
    </w:p>
    <w:p>
      <w:pPr>
        <w:ind w:firstLine="480" w:firstLineChars="200"/>
        <w:rPr>
          <w:rFonts w:ascii="宋体" w:hAnsi="宋体" w:eastAsia="宋体" w:cs="宋体"/>
          <w:sz w:val="24"/>
          <w:szCs w:val="24"/>
          <w:highlight w:val="none"/>
        </w:rPr>
      </w:pPr>
    </w:p>
    <w:p>
      <w:pPr>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2、技术指标需求如下：</w:t>
      </w:r>
    </w:p>
    <w:p>
      <w:pPr>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本用户需求书及技术方案所涉及技术参数为最低要求，并未对一切细节作出规定，未充分引述有关标准和规范的条文，投标方应保证提供符合本用户需求书及技术方案和相关最新工业标准的产品。在签订合同前，招标人保留对本技术规格及要求提出补充要求和修改的权力，投标方应承诺予以无条件配合。本用户需求书及技术方案所使用标准如与投标方所执行标准发生矛盾时，按较高标准执行。</w:t>
      </w:r>
    </w:p>
    <w:p>
      <w:pPr>
        <w:ind w:firstLine="480" w:firstLineChars="200"/>
        <w:rPr>
          <w:rFonts w:ascii="宋体" w:hAnsi="宋体" w:eastAsia="宋体" w:cs="宋体"/>
          <w:sz w:val="22"/>
          <w:szCs w:val="22"/>
          <w:highlight w:val="none"/>
        </w:rPr>
      </w:pPr>
      <w:r>
        <w:rPr>
          <w:rFonts w:hint="eastAsia" w:ascii="宋体" w:hAnsi="宋体" w:eastAsia="宋体" w:cs="宋体"/>
          <w:sz w:val="24"/>
          <w:szCs w:val="24"/>
          <w:highlight w:val="none"/>
        </w:rPr>
        <w:t xml:space="preserve">   技术指标需求见《</w:t>
      </w:r>
      <w:r>
        <w:rPr>
          <w:rFonts w:hint="eastAsia" w:ascii="宋体" w:hAnsi="宋体" w:eastAsia="宋体" w:cs="宋体"/>
          <w:bCs/>
          <w:sz w:val="24"/>
          <w:szCs w:val="24"/>
          <w:highlight w:val="none"/>
        </w:rPr>
        <w:t>新型物联网中央空调计时型温控器研发应用示范方案</w:t>
      </w:r>
      <w:r>
        <w:rPr>
          <w:rFonts w:hint="eastAsia" w:ascii="宋体" w:hAnsi="宋体" w:eastAsia="宋体" w:cs="宋体"/>
          <w:sz w:val="24"/>
          <w:szCs w:val="24"/>
          <w:highlight w:val="none"/>
        </w:rPr>
        <w:t>》中“三、</w:t>
      </w:r>
      <w:r>
        <w:rPr>
          <w:rFonts w:hint="eastAsia" w:ascii="宋体" w:hAnsi="宋体" w:eastAsia="宋体" w:cs="宋体"/>
          <w:b/>
          <w:sz w:val="24"/>
          <w:szCs w:val="24"/>
          <w:highlight w:val="none"/>
        </w:rPr>
        <w:t>主要设备技术指标（带</w:t>
      </w:r>
      <w:r>
        <w:rPr>
          <w:rFonts w:hint="eastAsia" w:ascii="宋体" w:hAnsi="宋体" w:eastAsia="宋体" w:cs="宋体"/>
          <w:b/>
          <w:color w:val="000000"/>
          <w:sz w:val="24"/>
          <w:szCs w:val="24"/>
          <w:highlight w:val="none"/>
        </w:rPr>
        <w:t>★号为必要条件</w:t>
      </w:r>
      <w:r>
        <w:rPr>
          <w:rFonts w:hint="eastAsia" w:ascii="宋体" w:hAnsi="宋体" w:eastAsia="宋体" w:cs="宋体"/>
          <w:b/>
          <w:sz w:val="24"/>
          <w:szCs w:val="24"/>
          <w:highlight w:val="none"/>
        </w:rPr>
        <w:t>）</w:t>
      </w:r>
      <w:r>
        <w:rPr>
          <w:rFonts w:hint="eastAsia" w:ascii="宋体" w:hAnsi="宋体" w:eastAsia="宋体" w:cs="宋体"/>
          <w:sz w:val="24"/>
          <w:szCs w:val="24"/>
          <w:highlight w:val="none"/>
        </w:rPr>
        <w:t>”:</w:t>
      </w:r>
    </w:p>
    <w:p>
      <w:pPr>
        <w:widowControl/>
        <w:spacing w:line="360" w:lineRule="auto"/>
        <w:ind w:left="142"/>
        <w:jc w:val="left"/>
        <w:rPr>
          <w:rFonts w:ascii="宋体" w:hAnsi="宋体" w:eastAsia="宋体" w:cs="宋体"/>
          <w:bCs/>
          <w:color w:val="000000"/>
          <w:sz w:val="24"/>
          <w:szCs w:val="24"/>
          <w:highlight w:val="none"/>
        </w:rPr>
      </w:pPr>
      <w:r>
        <w:rPr>
          <w:rFonts w:hint="eastAsia" w:ascii="宋体" w:hAnsi="宋体" w:eastAsia="宋体" w:cs="宋体"/>
          <w:b/>
          <w:color w:val="000000"/>
          <w:sz w:val="22"/>
          <w:szCs w:val="22"/>
          <w:highlight w:val="none"/>
        </w:rPr>
        <w:t>★（2）</w:t>
      </w:r>
      <w:r>
        <w:rPr>
          <w:rFonts w:hint="eastAsia" w:ascii="宋体" w:hAnsi="宋体" w:eastAsia="宋体" w:cs="宋体"/>
          <w:bCs/>
          <w:color w:val="000000"/>
          <w:sz w:val="24"/>
          <w:szCs w:val="24"/>
          <w:highlight w:val="none"/>
        </w:rPr>
        <w:t xml:space="preserve">中央空调联网计时型温控器需求： </w:t>
      </w:r>
    </w:p>
    <w:p>
      <w:pPr>
        <w:widowControl/>
        <w:spacing w:line="360" w:lineRule="auto"/>
        <w:ind w:left="284"/>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A、基本功能：</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1）电子式液晶中央空调温控器</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2）内置感温元件：NTC；</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3）可设定温度范围：5℃~35℃；</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4）控温精度：±1℃；</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5）有高、中、低、自动风速设定；</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6）自耗功率：&lt;1W；</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7）工作电压：200-240VAC，50/60HZ；</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8）负载电流：≤3A；</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9）外壳材料：PC+ABS（阻燃）；</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10）外形尺寸：86X86X13mm（标准86盒）；</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11）高中低风速三挡应具有自复位的过电流短路保护装置。</w:t>
      </w:r>
    </w:p>
    <w:p>
      <w:pPr>
        <w:widowControl/>
        <w:spacing w:line="360" w:lineRule="auto"/>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B、定制功能：</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1）通讯方式：温控器内置4G无线通信模块； </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2）前置面板激光刻印大学城能源公司商标LOGO和“客服热线400-8876-540”；</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3）具有记忆功能，能设定在开机状态下断电重启后选择是关机状态还是开机状态；</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4）具有远程调温功能和远程限温功能，系统下发可调温度区间命令后，则用户只能在温控器限定的温度区间进行调温，例如限定用户只能在22℃~28℃区间内调温，区间外的调温不能操作。</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5）具有远程调风速档功能和远程限风速档功能，例如系统下发限中档命令后，则用户不能操作其他档位，风速限定在中档；</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6）具有远程开关温控器功能；</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7）具有远程锁定功能，下发远程锁定命令后，除开关外其余功能全部锁定，例如禁止调温，禁止调档，用户只能开和关；</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8）具有远程禁用功能，下发远程禁用命令后，全部功能禁用，用户在温控器面板不能任何操作包括开关操作，取消禁用操作后温控器处于关机待机状态；</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9）液晶面板能切换显示六位数累计时间和六位数剩余时间，显示单位是小时，远程读取的单位精确到分钟；</w:t>
      </w:r>
    </w:p>
    <w:p>
      <w:pPr>
        <w:widowControl/>
        <w:spacing w:line="360" w:lineRule="auto"/>
        <w:ind w:left="426"/>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10）温控器兼容两种计时方式，风机计时和二通阀当量时间计时，可通过本地按键操作切换计时方式。风机计时方式为开机即开风机进行计时，关机即关风机结束计时，二通阀当量时间计时方式为采集二通阀通断的累计时间；</w:t>
      </w:r>
    </w:p>
    <w:p>
      <w:pPr>
        <w:widowControl/>
        <w:spacing w:line="360" w:lineRule="auto"/>
        <w:ind w:left="426"/>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11）累计时间和剩余时间都具有储存和远程读写功能，即使网络断线也不影响就地使用，累计时间为递增，剩余时间为递减，当递减为0时能自动关闭并禁用温控器；</w:t>
      </w:r>
    </w:p>
    <w:p>
      <w:pPr>
        <w:widowControl/>
        <w:spacing w:line="360" w:lineRule="auto"/>
        <w:ind w:left="426"/>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12）温控器本地能储存三挡风速系数和22℃~28℃的温度系数，能远程读写。风机计时方式的累计时间和剩余时间由高中低三挡风机运行采集时间乘以温度系数和风速系数得出，二通阀当量时间计时方式的累计时间和剩余时间由高中低三挡二通阀运行采集时间乘以风速系数得出，即得出的累计时间和剩余时间是折算成26℃低档标准节能工况下的时间； </w:t>
      </w:r>
    </w:p>
    <w:p>
      <w:pPr>
        <w:widowControl/>
        <w:spacing w:line="360" w:lineRule="auto"/>
        <w:ind w:left="426"/>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13）加密芯片功能：电源部分无法通过简单电平信号控制，需要面板进行加密数据通信，才可正常进行风机和阀门控制。</w:t>
      </w:r>
    </w:p>
    <w:p>
      <w:pPr>
        <w:widowControl/>
        <w:spacing w:line="360" w:lineRule="auto"/>
        <w:ind w:left="426"/>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14）防盗装置：温控器应具有防拆功能，内三角防盗螺丝封装或设置防盗铅封装置（专用标记及编码由中标人提供）。</w:t>
      </w:r>
    </w:p>
    <w:p>
      <w:pPr>
        <w:widowControl/>
        <w:spacing w:line="360" w:lineRule="auto"/>
        <w:ind w:left="426"/>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15）状态主动上报功能：温控器需具备定时主动上报状态的功能，方便后台查询温控器的实时状态。</w:t>
      </w:r>
    </w:p>
    <w:p>
      <w:pPr>
        <w:widowControl/>
        <w:spacing w:line="360" w:lineRule="auto"/>
        <w:ind w:left="426"/>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16）通信运营服务：本定制温控器使用的4G卡必须由当地通讯运营商提供。同时提供3年或以上物联网温控器数据通信服务（每台温控器的流量不低于500M/年）。</w:t>
      </w:r>
    </w:p>
    <w:p>
      <w:pPr>
        <w:widowControl/>
        <w:spacing w:line="360" w:lineRule="auto"/>
        <w:ind w:left="426"/>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17）备用温控器流转：购方负责拆下并邮寄到中标方进行更换或维修，来回运费由中标方负责，修复或更换的新温控器需10日内寄回采购方，时间戳点以收货时间为准。中标方免费提供2%总量温控器备表存放在采购方作维修更换流转使用，故障表由采购方寄回给中标方。</w:t>
      </w:r>
    </w:p>
    <w:p>
      <w:pPr>
        <w:widowControl/>
        <w:spacing w:line="360" w:lineRule="auto"/>
        <w:ind w:left="426"/>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18）中标方需要在合同约定时间内对接完成，满足物联网温控器管理平台软件功能要求（</w:t>
      </w:r>
      <w:r>
        <w:rPr>
          <w:rFonts w:hint="eastAsia" w:ascii="宋体" w:hAnsi="宋体" w:eastAsia="宋体" w:cs="宋体"/>
          <w:sz w:val="24"/>
          <w:szCs w:val="24"/>
          <w:highlight w:val="none"/>
        </w:rPr>
        <w:t>附件：物联网温控器管理平台软件功能介绍</w:t>
      </w:r>
      <w:r>
        <w:rPr>
          <w:rFonts w:hint="eastAsia" w:ascii="宋体" w:hAnsi="宋体" w:eastAsia="宋体" w:cs="宋体"/>
          <w:bCs/>
          <w:color w:val="000000"/>
          <w:sz w:val="24"/>
          <w:szCs w:val="24"/>
          <w:highlight w:val="none"/>
        </w:rPr>
        <w:t>）。</w:t>
      </w:r>
    </w:p>
    <w:p>
      <w:pPr>
        <w:spacing w:line="360" w:lineRule="auto"/>
        <w:rPr>
          <w:rFonts w:ascii="宋体" w:hAnsi="宋体" w:eastAsia="宋体" w:cs="宋体"/>
          <w:b/>
          <w:bCs/>
          <w:color w:val="000000"/>
          <w:sz w:val="24"/>
          <w:szCs w:val="24"/>
          <w:highlight w:val="none"/>
        </w:rPr>
      </w:pPr>
    </w:p>
    <w:p>
      <w:pPr>
        <w:rPr>
          <w:rFonts w:ascii="宋体" w:hAnsi="宋体" w:eastAsia="宋体" w:cs="宋体"/>
          <w:sz w:val="24"/>
          <w:szCs w:val="24"/>
          <w:highlight w:val="none"/>
        </w:rPr>
      </w:pPr>
      <w:r>
        <w:rPr>
          <w:rFonts w:hint="eastAsia" w:ascii="宋体" w:hAnsi="宋体" w:eastAsia="宋体" w:cs="宋体"/>
          <w:sz w:val="24"/>
          <w:szCs w:val="24"/>
          <w:highlight w:val="none"/>
        </w:rPr>
        <w:t>4、温控器质量要求</w:t>
      </w:r>
    </w:p>
    <w:p>
      <w:pPr>
        <w:widowControl/>
        <w:spacing w:line="360" w:lineRule="auto"/>
        <w:ind w:left="426" w:firstLine="480" w:firstLineChars="200"/>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本项目定制温控器要求质保期不少于（含）3年。温控器应使用寿命长、故障率低，性能稳定，质保期内发生故障，除人为破坏外，温控器故障台数占总在用温控器数量的1%/年以下。</w:t>
      </w:r>
    </w:p>
    <w:p>
      <w:pPr>
        <w:widowControl/>
        <w:spacing w:line="360" w:lineRule="auto"/>
        <w:ind w:left="426"/>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故障率考核计算公式为：</w:t>
      </w:r>
    </w:p>
    <w:p>
      <w:pPr>
        <w:widowControl/>
        <w:spacing w:line="360" w:lineRule="auto"/>
        <w:ind w:left="426"/>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当年由于产品质量导致温控器故障数量/本项目共投入使用温控器的总数≤1%；</w:t>
      </w:r>
    </w:p>
    <w:p>
      <w:pPr>
        <w:spacing w:line="360" w:lineRule="auto"/>
        <w:rPr>
          <w:rFonts w:ascii="宋体" w:hAnsi="宋体" w:eastAsia="宋体" w:cs="宋体"/>
          <w:b/>
          <w:sz w:val="22"/>
          <w:szCs w:val="22"/>
          <w:highlight w:val="none"/>
        </w:rPr>
      </w:pPr>
    </w:p>
    <w:p>
      <w:pPr>
        <w:spacing w:line="360" w:lineRule="auto"/>
        <w:ind w:left="360"/>
        <w:rPr>
          <w:rFonts w:ascii="宋体" w:hAnsi="宋体" w:eastAsia="宋体" w:cs="宋体"/>
          <w:b/>
          <w:sz w:val="24"/>
          <w:szCs w:val="24"/>
          <w:highlight w:val="none"/>
        </w:rPr>
      </w:pPr>
      <w:r>
        <w:rPr>
          <w:rFonts w:hint="eastAsia" w:ascii="宋体" w:hAnsi="宋体" w:eastAsia="宋体" w:cs="宋体"/>
          <w:b/>
          <w:sz w:val="24"/>
          <w:szCs w:val="24"/>
          <w:highlight w:val="none"/>
        </w:rPr>
        <w:t>四、对服务单位资质、技术的特殊要求。</w:t>
      </w:r>
    </w:p>
    <w:p>
      <w:pPr>
        <w:spacing w:line="360" w:lineRule="auto"/>
        <w:rPr>
          <w:rFonts w:ascii="宋体" w:hAnsi="宋体" w:eastAsia="宋体" w:cs="宋体"/>
          <w:color w:val="C00000"/>
          <w:sz w:val="22"/>
          <w:szCs w:val="22"/>
          <w:highlight w:val="none"/>
        </w:rPr>
      </w:pPr>
      <w:r>
        <w:rPr>
          <w:rFonts w:hint="eastAsia" w:ascii="宋体" w:hAnsi="宋体" w:eastAsia="宋体" w:cs="宋体"/>
          <w:sz w:val="22"/>
          <w:szCs w:val="22"/>
          <w:highlight w:val="none"/>
        </w:rPr>
        <w:t xml:space="preserve"> </w:t>
      </w:r>
      <w:r>
        <w:rPr>
          <w:rFonts w:hint="eastAsia" w:ascii="宋体" w:hAnsi="宋体" w:eastAsia="宋体" w:cs="宋体"/>
          <w:sz w:val="24"/>
          <w:szCs w:val="24"/>
          <w:highlight w:val="none"/>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sz w:val="24"/>
          <w:szCs w:val="24"/>
          <w:highlight w:val="none"/>
        </w:rPr>
        <w:t>应擅长能源管理的硬件研发和制造，具有专业的研发实验室和专业研发团队，具备为研发新型物联网中央空调计时型温控器的实力。</w:t>
      </w:r>
    </w:p>
    <w:p>
      <w:pPr>
        <w:spacing w:line="360" w:lineRule="auto"/>
        <w:rPr>
          <w:rFonts w:ascii="宋体" w:hAnsi="宋体" w:eastAsia="宋体" w:cs="宋体"/>
          <w:sz w:val="22"/>
          <w:szCs w:val="22"/>
          <w:highlight w:val="none"/>
        </w:rPr>
      </w:pPr>
    </w:p>
    <w:p>
      <w:pPr>
        <w:numPr>
          <w:ilvl w:val="-1"/>
          <w:numId w:val="0"/>
        </w:numPr>
        <w:spacing w:line="360" w:lineRule="auto"/>
        <w:ind w:left="0" w:firstLine="0"/>
        <w:rPr>
          <w:rFonts w:ascii="宋体" w:hAnsi="宋体" w:eastAsia="宋体" w:cs="宋体"/>
          <w:b/>
          <w:sz w:val="24"/>
          <w:szCs w:val="24"/>
          <w:highlight w:val="none"/>
        </w:rPr>
      </w:pPr>
      <w:r>
        <w:rPr>
          <w:rFonts w:hint="eastAsia" w:ascii="宋体" w:hAnsi="宋体" w:eastAsia="宋体" w:cs="宋体"/>
          <w:b/>
          <w:sz w:val="24"/>
          <w:szCs w:val="24"/>
          <w:highlight w:val="none"/>
          <w:lang w:val="en-US" w:eastAsia="zh-CN"/>
        </w:rPr>
        <w:t>五、</w:t>
      </w:r>
      <w:r>
        <w:rPr>
          <w:rFonts w:hint="eastAsia" w:ascii="宋体" w:hAnsi="宋体" w:eastAsia="宋体" w:cs="宋体"/>
          <w:b/>
          <w:sz w:val="24"/>
          <w:szCs w:val="24"/>
          <w:highlight w:val="none"/>
        </w:rPr>
        <w:t>采购内容及估算费用</w:t>
      </w:r>
    </w:p>
    <w:tbl>
      <w:tblPr>
        <w:tblStyle w:val="16"/>
        <w:tblW w:w="10560" w:type="dxa"/>
        <w:tblInd w:w="-977" w:type="dxa"/>
        <w:tblLayout w:type="fixed"/>
        <w:tblCellMar>
          <w:top w:w="0" w:type="dxa"/>
          <w:left w:w="108" w:type="dxa"/>
          <w:bottom w:w="0" w:type="dxa"/>
          <w:right w:w="108" w:type="dxa"/>
        </w:tblCellMar>
      </w:tblPr>
      <w:tblGrid>
        <w:gridCol w:w="444"/>
        <w:gridCol w:w="1146"/>
        <w:gridCol w:w="1640"/>
        <w:gridCol w:w="696"/>
        <w:gridCol w:w="632"/>
        <w:gridCol w:w="975"/>
        <w:gridCol w:w="1104"/>
        <w:gridCol w:w="3923"/>
      </w:tblGrid>
      <w:tr>
        <w:tblPrEx>
          <w:tblCellMar>
            <w:top w:w="0" w:type="dxa"/>
            <w:left w:w="108" w:type="dxa"/>
            <w:bottom w:w="0" w:type="dxa"/>
            <w:right w:w="108" w:type="dxa"/>
          </w:tblCellMar>
        </w:tblPrEx>
        <w:trPr>
          <w:trHeight w:val="270" w:hRule="atLeast"/>
        </w:trPr>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序号</w:t>
            </w:r>
          </w:p>
        </w:tc>
        <w:tc>
          <w:tcPr>
            <w:tcW w:w="11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产品名称</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产品说明</w:t>
            </w:r>
          </w:p>
        </w:tc>
        <w:tc>
          <w:tcPr>
            <w:tcW w:w="6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数量</w:t>
            </w:r>
          </w:p>
        </w:tc>
        <w:tc>
          <w:tcPr>
            <w:tcW w:w="632"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单位</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预估单价（元）</w:t>
            </w:r>
          </w:p>
        </w:tc>
        <w:tc>
          <w:tcPr>
            <w:tcW w:w="11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预估总价（元）</w:t>
            </w:r>
          </w:p>
        </w:tc>
        <w:tc>
          <w:tcPr>
            <w:tcW w:w="39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highlight w:val="none"/>
              </w:rPr>
            </w:pPr>
            <w:r>
              <w:rPr>
                <w:rFonts w:hint="eastAsia" w:ascii="宋体" w:hAnsi="宋体" w:eastAsia="宋体" w:cs="宋体"/>
                <w:b/>
                <w:bCs/>
                <w:color w:val="000000"/>
                <w:kern w:val="0"/>
                <w:sz w:val="22"/>
                <w:szCs w:val="22"/>
                <w:highlight w:val="none"/>
              </w:rPr>
              <w:t>备注</w:t>
            </w:r>
          </w:p>
        </w:tc>
      </w:tr>
      <w:tr>
        <w:tblPrEx>
          <w:tblCellMar>
            <w:top w:w="0" w:type="dxa"/>
            <w:left w:w="108" w:type="dxa"/>
            <w:bottom w:w="0" w:type="dxa"/>
            <w:right w:w="108" w:type="dxa"/>
          </w:tblCellMar>
        </w:tblPrEx>
        <w:trPr>
          <w:trHeight w:val="480"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新型物联网中央空调计时型温控器硬件开发</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技术指标和要求见“</w:t>
            </w:r>
            <w:r>
              <w:rPr>
                <w:rFonts w:hint="eastAsia" w:ascii="宋体" w:hAnsi="宋体" w:eastAsia="宋体" w:cs="宋体"/>
                <w:b/>
                <w:color w:val="000000"/>
                <w:sz w:val="22"/>
                <w:szCs w:val="22"/>
                <w:highlight w:val="none"/>
              </w:rPr>
              <w:t>★”</w:t>
            </w:r>
            <w:r>
              <w:rPr>
                <w:rFonts w:hint="eastAsia" w:ascii="宋体" w:hAnsi="宋体" w:eastAsia="宋体" w:cs="宋体"/>
                <w:bCs/>
                <w:color w:val="000000"/>
                <w:sz w:val="22"/>
                <w:szCs w:val="22"/>
                <w:highlight w:val="none"/>
              </w:rPr>
              <w:t>条款</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632"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w:t>
            </w:r>
          </w:p>
        </w:tc>
        <w:tc>
          <w:tcPr>
            <w:tcW w:w="9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140000</w:t>
            </w:r>
          </w:p>
        </w:tc>
        <w:tc>
          <w:tcPr>
            <w:tcW w:w="1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140000</w:t>
            </w:r>
          </w:p>
        </w:tc>
        <w:tc>
          <w:tcPr>
            <w:tcW w:w="39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硬件完成开发后，中标方需提供硬件开发的所有资料，确保甲方能利用这些资料向主流制造商直接下单制造，在生产过程中中标方无偿提供技术支持。硬件开发资料包括但不限于PCB版电路图、开模数据、芯片选择、芯片的软件程序、加密资料、通讯模块资料等。</w:t>
            </w:r>
          </w:p>
        </w:tc>
      </w:tr>
      <w:tr>
        <w:tblPrEx>
          <w:tblCellMar>
            <w:top w:w="0" w:type="dxa"/>
            <w:left w:w="108" w:type="dxa"/>
            <w:bottom w:w="0" w:type="dxa"/>
            <w:right w:w="108" w:type="dxa"/>
          </w:tblCellMar>
        </w:tblPrEx>
        <w:trPr>
          <w:trHeight w:val="480"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软件平台对接</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Cs/>
                <w:color w:val="333333"/>
                <w:sz w:val="22"/>
                <w:szCs w:val="22"/>
                <w:highlight w:val="none"/>
              </w:rPr>
            </w:pPr>
            <w:r>
              <w:rPr>
                <w:rFonts w:hint="eastAsia" w:ascii="宋体" w:hAnsi="宋体" w:eastAsia="宋体" w:cs="宋体"/>
                <w:color w:val="000000"/>
                <w:kern w:val="0"/>
                <w:sz w:val="22"/>
                <w:szCs w:val="22"/>
                <w:highlight w:val="none"/>
              </w:rPr>
              <w:t>软件功能见“附件：物联网温控器管理平台软件功能介绍”</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w:t>
            </w:r>
          </w:p>
        </w:tc>
        <w:tc>
          <w:tcPr>
            <w:tcW w:w="632"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项</w:t>
            </w:r>
          </w:p>
        </w:tc>
        <w:tc>
          <w:tcPr>
            <w:tcW w:w="9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50000</w:t>
            </w:r>
          </w:p>
        </w:tc>
        <w:tc>
          <w:tcPr>
            <w:tcW w:w="1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50000</w:t>
            </w:r>
          </w:p>
        </w:tc>
        <w:tc>
          <w:tcPr>
            <w:tcW w:w="39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甲方云平台由第三方开发，中标方负责温控器与云平台软件对接，保证温控器能接入甲方云平台。</w:t>
            </w:r>
          </w:p>
        </w:tc>
      </w:tr>
      <w:tr>
        <w:tblPrEx>
          <w:tblCellMar>
            <w:top w:w="0" w:type="dxa"/>
            <w:left w:w="108" w:type="dxa"/>
            <w:bottom w:w="0" w:type="dxa"/>
            <w:right w:w="108" w:type="dxa"/>
          </w:tblCellMar>
        </w:tblPrEx>
        <w:trPr>
          <w:trHeight w:val="480"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新型物联网中央空调计时型温控器样机</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技术指标和要求见“</w:t>
            </w:r>
            <w:r>
              <w:rPr>
                <w:rFonts w:hint="eastAsia" w:ascii="宋体" w:hAnsi="宋体" w:eastAsia="宋体" w:cs="宋体"/>
                <w:b/>
                <w:color w:val="000000"/>
                <w:sz w:val="22"/>
                <w:szCs w:val="22"/>
                <w:highlight w:val="none"/>
              </w:rPr>
              <w:t>★”</w:t>
            </w:r>
            <w:r>
              <w:rPr>
                <w:rFonts w:hint="eastAsia" w:ascii="宋体" w:hAnsi="宋体" w:eastAsia="宋体" w:cs="宋体"/>
                <w:bCs/>
                <w:color w:val="000000"/>
                <w:sz w:val="22"/>
                <w:szCs w:val="22"/>
                <w:highlight w:val="none"/>
              </w:rPr>
              <w:t>条款</w:t>
            </w:r>
          </w:p>
        </w:tc>
        <w:tc>
          <w:tcPr>
            <w:tcW w:w="6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highlight w:val="none"/>
              </w:rPr>
            </w:pPr>
            <w:r>
              <w:rPr>
                <w:rFonts w:hint="eastAsia" w:ascii="宋体" w:hAnsi="宋体" w:eastAsia="宋体" w:cs="宋体"/>
                <w:spacing w:val="20"/>
                <w:sz w:val="22"/>
                <w:szCs w:val="22"/>
                <w:highlight w:val="none"/>
              </w:rPr>
              <w:t>500</w:t>
            </w:r>
          </w:p>
        </w:tc>
        <w:tc>
          <w:tcPr>
            <w:tcW w:w="632"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台</w:t>
            </w:r>
          </w:p>
        </w:tc>
        <w:tc>
          <w:tcPr>
            <w:tcW w:w="9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280</w:t>
            </w:r>
          </w:p>
        </w:tc>
        <w:tc>
          <w:tcPr>
            <w:tcW w:w="1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140000</w:t>
            </w:r>
          </w:p>
        </w:tc>
        <w:tc>
          <w:tcPr>
            <w:tcW w:w="39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2"/>
                <w:szCs w:val="22"/>
                <w:highlight w:val="none"/>
              </w:rPr>
            </w:pPr>
            <w:r>
              <w:rPr>
                <w:rFonts w:ascii="宋体" w:hAnsi="宋体" w:eastAsia="宋体" w:cs="宋体"/>
                <w:color w:val="000000"/>
                <w:kern w:val="0"/>
                <w:sz w:val="22"/>
                <w:szCs w:val="22"/>
                <w:highlight w:val="none"/>
              </w:rPr>
              <w:t>温控器的软件和硬件开发测试完成后，由中标方生产制造500台符合要求的样机交付给甲方使用，甲方安装测试过程中由中标方无偿提供技术支持，如产品出现质量问题，在质保期内由中标方负责维修或者更换新的温控器。</w:t>
            </w:r>
          </w:p>
        </w:tc>
      </w:tr>
      <w:tr>
        <w:tblPrEx>
          <w:tblCellMar>
            <w:top w:w="0" w:type="dxa"/>
            <w:left w:w="108" w:type="dxa"/>
            <w:bottom w:w="0" w:type="dxa"/>
            <w:right w:w="108" w:type="dxa"/>
          </w:tblCellMar>
        </w:tblPrEx>
        <w:trPr>
          <w:trHeight w:val="501" w:hRule="atLeast"/>
        </w:trPr>
        <w:tc>
          <w:tcPr>
            <w:tcW w:w="553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highlight w:val="none"/>
              </w:rPr>
            </w:pPr>
            <w:r>
              <w:rPr>
                <w:rFonts w:hint="eastAsia" w:ascii="宋体" w:hAnsi="宋体" w:eastAsia="宋体" w:cs="宋体"/>
                <w:b/>
                <w:bCs/>
                <w:color w:val="000000"/>
                <w:kern w:val="0"/>
                <w:sz w:val="22"/>
                <w:szCs w:val="22"/>
                <w:highlight w:val="none"/>
              </w:rPr>
              <w:t>预估费用合计</w:t>
            </w:r>
          </w:p>
        </w:tc>
        <w:tc>
          <w:tcPr>
            <w:tcW w:w="5027"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330000元</w:t>
            </w:r>
          </w:p>
        </w:tc>
      </w:tr>
    </w:tbl>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color w:val="000000"/>
          <w:kern w:val="0"/>
          <w:sz w:val="24"/>
          <w:szCs w:val="24"/>
          <w:highlight w:val="none"/>
        </w:rPr>
        <w:t>该项目开发所产生的软件源代码、硬件资料和知识产权等属于甲方所有。</w:t>
      </w:r>
      <w:r>
        <w:rPr>
          <w:rFonts w:hint="eastAsia" w:ascii="宋体" w:hAnsi="宋体" w:eastAsia="宋体" w:cs="宋体"/>
          <w:sz w:val="24"/>
          <w:szCs w:val="24"/>
          <w:highlight w:val="none"/>
        </w:rPr>
        <w:t>质保三年，质保期内故障温控器由采购方负责拆下并邮寄到中标方进行更换或维修，来回运费由中标方负责，修复或更换的新温控器需10日内寄回采购方，时间戳点以收货时间为准。</w:t>
      </w:r>
    </w:p>
    <w:p>
      <w:pPr>
        <w:spacing w:line="360" w:lineRule="auto"/>
        <w:rPr>
          <w:rFonts w:ascii="宋体" w:hAnsi="宋体" w:eastAsia="宋体" w:cs="宋体"/>
          <w:sz w:val="24"/>
          <w:szCs w:val="24"/>
          <w:highlight w:val="none"/>
        </w:rPr>
      </w:pPr>
    </w:p>
    <w:p>
      <w:pPr>
        <w:spacing w:line="360" w:lineRule="auto"/>
        <w:ind w:left="420"/>
        <w:rPr>
          <w:rFonts w:ascii="宋体" w:hAnsi="宋体" w:eastAsia="宋体" w:cs="宋体"/>
          <w:b/>
          <w:sz w:val="24"/>
          <w:szCs w:val="24"/>
          <w:highlight w:val="none"/>
        </w:rPr>
      </w:pPr>
      <w:r>
        <w:rPr>
          <w:rFonts w:hint="eastAsia" w:ascii="宋体" w:hAnsi="宋体" w:eastAsia="宋体" w:cs="宋体"/>
          <w:b/>
          <w:sz w:val="24"/>
          <w:szCs w:val="24"/>
          <w:highlight w:val="none"/>
        </w:rPr>
        <w:t>六、交货期及工期要求</w:t>
      </w:r>
    </w:p>
    <w:p>
      <w:pPr>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 xml:space="preserve">   合同签订后60个自然天内交货，系统能达到《</w:t>
      </w:r>
      <w:r>
        <w:rPr>
          <w:rFonts w:hint="eastAsia" w:ascii="宋体" w:hAnsi="宋体" w:eastAsia="宋体" w:cs="宋体"/>
          <w:bCs/>
          <w:sz w:val="24"/>
          <w:szCs w:val="24"/>
          <w:highlight w:val="none"/>
        </w:rPr>
        <w:t>新型物联网中央空调计时型温控器研发应用示范技术</w:t>
      </w:r>
      <w:r>
        <w:rPr>
          <w:rFonts w:hint="eastAsia" w:ascii="宋体" w:hAnsi="宋体" w:eastAsia="宋体" w:cs="宋体"/>
          <w:sz w:val="24"/>
          <w:szCs w:val="24"/>
          <w:highlight w:val="none"/>
        </w:rPr>
        <w:t>方案》中所述要求。</w:t>
      </w:r>
    </w:p>
    <w:p>
      <w:pPr>
        <w:spacing w:line="360" w:lineRule="auto"/>
        <w:rPr>
          <w:rFonts w:ascii="宋体" w:hAnsi="宋体" w:eastAsia="宋体" w:cs="宋体"/>
          <w:b/>
          <w:sz w:val="22"/>
          <w:szCs w:val="22"/>
          <w:highlight w:val="none"/>
        </w:rPr>
      </w:pPr>
    </w:p>
    <w:p>
      <w:pPr>
        <w:spacing w:line="360" w:lineRule="auto"/>
        <w:ind w:left="420"/>
        <w:rPr>
          <w:rFonts w:ascii="宋体" w:hAnsi="宋体" w:eastAsia="宋体" w:cs="宋体"/>
          <w:b/>
          <w:sz w:val="24"/>
          <w:szCs w:val="24"/>
          <w:highlight w:val="none"/>
        </w:rPr>
      </w:pPr>
      <w:r>
        <w:rPr>
          <w:rFonts w:hint="eastAsia" w:ascii="宋体" w:hAnsi="宋体" w:eastAsia="宋体" w:cs="宋体"/>
          <w:b/>
          <w:sz w:val="24"/>
          <w:szCs w:val="24"/>
          <w:highlight w:val="none"/>
        </w:rPr>
        <w:t>七、项目质量要求、验收标准及质保期限</w:t>
      </w:r>
    </w:p>
    <w:p>
      <w:pPr>
        <w:spacing w:line="360" w:lineRule="auto"/>
        <w:ind w:left="360"/>
        <w:rPr>
          <w:rFonts w:ascii="宋体" w:hAnsi="宋体" w:eastAsia="宋体" w:cs="宋体"/>
          <w:sz w:val="24"/>
          <w:szCs w:val="24"/>
          <w:highlight w:val="none"/>
        </w:rPr>
      </w:pPr>
      <w:r>
        <w:rPr>
          <w:rFonts w:hint="eastAsia" w:ascii="宋体" w:hAnsi="宋体" w:eastAsia="宋体" w:cs="宋体"/>
          <w:sz w:val="24"/>
          <w:szCs w:val="24"/>
          <w:highlight w:val="none"/>
        </w:rPr>
        <w:t>1、工程质量要求和验收的参考标准。</w:t>
      </w:r>
    </w:p>
    <w:p>
      <w:pPr>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以《</w:t>
      </w:r>
      <w:r>
        <w:rPr>
          <w:rFonts w:hint="eastAsia" w:ascii="宋体" w:hAnsi="宋体" w:eastAsia="宋体" w:cs="宋体"/>
          <w:bCs/>
          <w:sz w:val="24"/>
          <w:szCs w:val="24"/>
          <w:highlight w:val="none"/>
        </w:rPr>
        <w:t>新型物联网中央空调计时型温控器研发应用示范技术</w:t>
      </w:r>
      <w:r>
        <w:rPr>
          <w:rFonts w:hint="eastAsia" w:ascii="宋体" w:hAnsi="宋体" w:eastAsia="宋体" w:cs="宋体"/>
          <w:sz w:val="24"/>
          <w:szCs w:val="24"/>
          <w:highlight w:val="none"/>
        </w:rPr>
        <w:t>方案》中内容为验收标准。</w:t>
      </w:r>
    </w:p>
    <w:p>
      <w:pPr>
        <w:spacing w:line="360" w:lineRule="auto"/>
        <w:ind w:left="360"/>
        <w:rPr>
          <w:rFonts w:ascii="宋体" w:hAnsi="宋体" w:eastAsia="宋体" w:cs="宋体"/>
          <w:sz w:val="24"/>
          <w:szCs w:val="24"/>
          <w:highlight w:val="none"/>
        </w:rPr>
      </w:pPr>
      <w:r>
        <w:rPr>
          <w:rFonts w:hint="eastAsia" w:ascii="宋体" w:hAnsi="宋体" w:eastAsia="宋体" w:cs="宋体"/>
          <w:sz w:val="24"/>
          <w:szCs w:val="24"/>
          <w:highlight w:val="none"/>
        </w:rPr>
        <w:t>2、工程验收的方式。</w:t>
      </w:r>
    </w:p>
    <w:p>
      <w:pPr>
        <w:spacing w:line="360" w:lineRule="auto"/>
        <w:ind w:left="360"/>
        <w:rPr>
          <w:rFonts w:ascii="宋体" w:hAnsi="宋体" w:eastAsia="宋体" w:cs="宋体"/>
          <w:sz w:val="24"/>
          <w:szCs w:val="24"/>
          <w:highlight w:val="none"/>
        </w:rPr>
      </w:pPr>
      <w:r>
        <w:rPr>
          <w:rFonts w:hint="eastAsia" w:ascii="宋体" w:hAnsi="宋体" w:eastAsia="宋体" w:cs="宋体"/>
          <w:sz w:val="24"/>
          <w:szCs w:val="24"/>
          <w:highlight w:val="none"/>
        </w:rPr>
        <w:t>现场测试验收</w:t>
      </w:r>
    </w:p>
    <w:p>
      <w:pPr>
        <w:spacing w:line="360" w:lineRule="auto"/>
        <w:ind w:left="360"/>
        <w:rPr>
          <w:rFonts w:ascii="宋体" w:hAnsi="宋体" w:eastAsia="宋体" w:cs="宋体"/>
          <w:sz w:val="24"/>
          <w:szCs w:val="24"/>
          <w:highlight w:val="none"/>
        </w:rPr>
      </w:pPr>
      <w:r>
        <w:rPr>
          <w:rFonts w:hint="eastAsia" w:ascii="宋体" w:hAnsi="宋体" w:eastAsia="宋体" w:cs="宋体"/>
          <w:sz w:val="24"/>
          <w:szCs w:val="24"/>
          <w:highlight w:val="none"/>
        </w:rPr>
        <w:t>3、质保期及质保期内需履行的特殊义务。</w:t>
      </w:r>
    </w:p>
    <w:p>
      <w:pPr>
        <w:spacing w:line="360" w:lineRule="auto"/>
        <w:ind w:left="-199" w:leftChars="-95" w:right="-512" w:rightChars="-244"/>
        <w:rPr>
          <w:rFonts w:ascii="宋体" w:hAnsi="宋体" w:eastAsia="宋体" w:cs="宋体"/>
          <w:sz w:val="20"/>
          <w:szCs w:val="22"/>
          <w:highlight w:val="none"/>
        </w:rPr>
      </w:pPr>
      <w:r>
        <w:rPr>
          <w:rFonts w:hint="eastAsia" w:ascii="宋体" w:hAnsi="宋体" w:eastAsia="宋体" w:cs="宋体"/>
          <w:sz w:val="24"/>
          <w:szCs w:val="24"/>
          <w:highlight w:val="none"/>
        </w:rPr>
        <w:t xml:space="preserve">   质保期3年，期限为验收合格之日起计。质保期内故障表由采购方负责拆下并邮寄到中标方进行更换或维修，来回运费由中标方负责，修复或更换的新温控器需10日内寄回采购方，时间戳点以收货时间为准。系统验收投入正式运行后，当出现一般错误性故障，供方工程师提供相应的电话指导，在电话指导下需方技术人员仍无法解决的问题时，供方技术人员必须按照需方要求24小时内免费提供现场服务排除故障；若供方在24小时内仍未解决，供方保证在48小时内提供相应的备份方案/设备，否则需方有权另请他人解决，费用由供方负担。</w:t>
      </w:r>
    </w:p>
    <w:p>
      <w:pPr>
        <w:rPr>
          <w:rFonts w:ascii="宋体" w:hAnsi="宋体" w:eastAsia="宋体" w:cs="宋体"/>
          <w:sz w:val="20"/>
          <w:szCs w:val="22"/>
          <w:highlight w:val="none"/>
        </w:rPr>
      </w:pPr>
    </w:p>
    <w:p>
      <w:pPr>
        <w:pStyle w:val="28"/>
        <w:snapToGrid w:val="0"/>
        <w:spacing w:line="580" w:lineRule="exact"/>
        <w:ind w:left="420" w:leftChars="200" w:firstLine="0" w:firstLineChars="0"/>
        <w:rPr>
          <w:rFonts w:ascii="宋体" w:hAnsi="宋体" w:eastAsia="宋体" w:cs="仿宋"/>
          <w:bCs/>
          <w:kern w:val="0"/>
          <w:sz w:val="22"/>
          <w:szCs w:val="22"/>
          <w:highlight w:val="none"/>
        </w:rPr>
      </w:pPr>
    </w:p>
    <w:p>
      <w:pPr>
        <w:pStyle w:val="28"/>
        <w:snapToGrid w:val="0"/>
        <w:spacing w:line="580" w:lineRule="exact"/>
        <w:ind w:left="420" w:leftChars="200" w:firstLine="0" w:firstLineChars="0"/>
        <w:rPr>
          <w:rFonts w:ascii="宋体" w:hAnsi="宋体" w:eastAsia="宋体" w:cs="仿宋"/>
          <w:bCs/>
          <w:kern w:val="0"/>
          <w:sz w:val="22"/>
          <w:szCs w:val="22"/>
          <w:highlight w:val="none"/>
        </w:rPr>
      </w:pPr>
      <w:bookmarkStart w:id="68" w:name="_GoBack"/>
      <w:bookmarkEnd w:id="68"/>
    </w:p>
    <w:p>
      <w:pPr>
        <w:pStyle w:val="28"/>
        <w:snapToGrid w:val="0"/>
        <w:spacing w:line="580" w:lineRule="exact"/>
        <w:ind w:left="420" w:leftChars="200" w:firstLine="0" w:firstLineChars="0"/>
        <w:rPr>
          <w:rFonts w:ascii="宋体" w:hAnsi="宋体" w:eastAsia="宋体" w:cs="仿宋"/>
          <w:bCs/>
          <w:kern w:val="0"/>
          <w:sz w:val="22"/>
          <w:szCs w:val="22"/>
          <w:highlight w:val="none"/>
        </w:rPr>
      </w:pPr>
    </w:p>
    <w:p>
      <w:pPr>
        <w:pStyle w:val="28"/>
        <w:snapToGrid w:val="0"/>
        <w:spacing w:line="580" w:lineRule="exact"/>
        <w:ind w:left="420" w:leftChars="200" w:firstLine="0" w:firstLineChars="0"/>
        <w:rPr>
          <w:rFonts w:ascii="宋体" w:hAnsi="宋体" w:eastAsia="宋体" w:cs="仿宋"/>
          <w:bCs/>
          <w:kern w:val="0"/>
          <w:sz w:val="22"/>
          <w:szCs w:val="22"/>
          <w:highlight w:val="none"/>
        </w:rPr>
      </w:pPr>
    </w:p>
    <w:p>
      <w:pPr>
        <w:pStyle w:val="28"/>
        <w:snapToGrid w:val="0"/>
        <w:spacing w:line="580" w:lineRule="exact"/>
        <w:ind w:left="420" w:leftChars="200" w:firstLine="0" w:firstLineChars="0"/>
        <w:rPr>
          <w:rFonts w:ascii="宋体" w:hAnsi="宋体" w:eastAsia="宋体" w:cs="仿宋"/>
          <w:bCs/>
          <w:kern w:val="0"/>
          <w:sz w:val="22"/>
          <w:szCs w:val="22"/>
          <w:highlight w:val="none"/>
        </w:rPr>
      </w:pPr>
    </w:p>
    <w:p>
      <w:pPr>
        <w:pStyle w:val="28"/>
        <w:snapToGrid w:val="0"/>
        <w:spacing w:line="580" w:lineRule="exact"/>
        <w:ind w:left="420" w:leftChars="200" w:firstLine="0" w:firstLineChars="0"/>
        <w:rPr>
          <w:rFonts w:ascii="宋体" w:hAnsi="宋体" w:eastAsia="宋体" w:cs="仿宋"/>
          <w:bCs/>
          <w:kern w:val="0"/>
          <w:sz w:val="22"/>
          <w:szCs w:val="22"/>
          <w:highlight w:val="none"/>
        </w:rPr>
      </w:pPr>
    </w:p>
    <w:p>
      <w:pPr>
        <w:pStyle w:val="28"/>
        <w:snapToGrid w:val="0"/>
        <w:spacing w:line="580" w:lineRule="exact"/>
        <w:ind w:left="420" w:leftChars="200" w:firstLine="0" w:firstLineChars="0"/>
        <w:rPr>
          <w:rFonts w:ascii="宋体" w:hAnsi="宋体" w:eastAsia="宋体" w:cs="仿宋"/>
          <w:bCs/>
          <w:kern w:val="0"/>
          <w:sz w:val="22"/>
          <w:szCs w:val="22"/>
          <w:highlight w:val="none"/>
        </w:rPr>
      </w:pPr>
    </w:p>
    <w:p>
      <w:pPr>
        <w:pStyle w:val="28"/>
        <w:snapToGrid w:val="0"/>
        <w:spacing w:line="580" w:lineRule="exact"/>
        <w:ind w:left="420" w:leftChars="200" w:firstLine="0" w:firstLineChars="0"/>
        <w:rPr>
          <w:rFonts w:ascii="宋体" w:hAnsi="宋体" w:eastAsia="宋体" w:cs="仿宋"/>
          <w:bCs/>
          <w:kern w:val="0"/>
          <w:sz w:val="22"/>
          <w:szCs w:val="22"/>
          <w:highlight w:val="none"/>
        </w:rPr>
      </w:pPr>
    </w:p>
    <w:p>
      <w:pPr>
        <w:pStyle w:val="28"/>
        <w:snapToGrid w:val="0"/>
        <w:spacing w:line="580" w:lineRule="exact"/>
        <w:ind w:left="420" w:leftChars="200" w:firstLine="0" w:firstLineChars="0"/>
        <w:rPr>
          <w:rFonts w:ascii="宋体" w:hAnsi="宋体" w:eastAsia="宋体" w:cs="仿宋"/>
          <w:bCs/>
          <w:kern w:val="0"/>
          <w:sz w:val="22"/>
          <w:szCs w:val="22"/>
          <w:highlight w:val="none"/>
        </w:rPr>
      </w:pPr>
    </w:p>
    <w:p>
      <w:pPr>
        <w:pStyle w:val="28"/>
        <w:snapToGrid w:val="0"/>
        <w:spacing w:line="580" w:lineRule="exact"/>
        <w:ind w:left="420" w:leftChars="200" w:firstLine="0" w:firstLineChars="0"/>
        <w:rPr>
          <w:rFonts w:ascii="宋体" w:hAnsi="宋体" w:eastAsia="宋体" w:cs="仿宋"/>
          <w:bCs/>
          <w:kern w:val="0"/>
          <w:sz w:val="22"/>
          <w:szCs w:val="22"/>
          <w:highlight w:val="none"/>
        </w:rPr>
      </w:pPr>
    </w:p>
    <w:p>
      <w:pPr>
        <w:pStyle w:val="28"/>
        <w:snapToGrid w:val="0"/>
        <w:spacing w:line="580" w:lineRule="exact"/>
        <w:ind w:left="420" w:leftChars="200" w:firstLine="0" w:firstLineChars="0"/>
        <w:rPr>
          <w:rFonts w:ascii="宋体" w:hAnsi="宋体" w:eastAsia="宋体" w:cs="仿宋"/>
          <w:bCs/>
          <w:kern w:val="0"/>
          <w:sz w:val="22"/>
          <w:szCs w:val="22"/>
          <w:highlight w:val="none"/>
        </w:rPr>
      </w:pPr>
    </w:p>
    <w:p>
      <w:pPr>
        <w:pStyle w:val="28"/>
        <w:snapToGrid w:val="0"/>
        <w:spacing w:line="580" w:lineRule="exact"/>
        <w:ind w:left="420" w:leftChars="200" w:firstLine="0" w:firstLineChars="0"/>
        <w:rPr>
          <w:rFonts w:ascii="宋体" w:hAnsi="宋体" w:eastAsia="宋体" w:cs="仿宋"/>
          <w:bCs/>
          <w:kern w:val="0"/>
          <w:sz w:val="22"/>
          <w:szCs w:val="22"/>
          <w:highlight w:val="none"/>
        </w:rPr>
      </w:pPr>
    </w:p>
    <w:p>
      <w:pPr>
        <w:pStyle w:val="28"/>
        <w:snapToGrid w:val="0"/>
        <w:spacing w:line="580" w:lineRule="exact"/>
        <w:ind w:left="420" w:leftChars="200" w:firstLine="0" w:firstLineChars="0"/>
        <w:rPr>
          <w:rFonts w:ascii="宋体" w:hAnsi="宋体" w:eastAsia="宋体" w:cs="仿宋"/>
          <w:bCs/>
          <w:kern w:val="0"/>
          <w:sz w:val="22"/>
          <w:szCs w:val="22"/>
          <w:highlight w:val="none"/>
        </w:rPr>
      </w:pPr>
    </w:p>
    <w:p>
      <w:pPr>
        <w:pStyle w:val="28"/>
        <w:snapToGrid w:val="0"/>
        <w:spacing w:line="580" w:lineRule="exact"/>
        <w:ind w:left="420" w:leftChars="200" w:firstLine="0" w:firstLineChars="0"/>
        <w:rPr>
          <w:rFonts w:ascii="宋体" w:hAnsi="宋体" w:eastAsia="宋体" w:cs="仿宋"/>
          <w:bCs/>
          <w:kern w:val="0"/>
          <w:sz w:val="22"/>
          <w:szCs w:val="22"/>
          <w:highlight w:val="none"/>
        </w:rPr>
      </w:pPr>
    </w:p>
    <w:p>
      <w:pPr>
        <w:pStyle w:val="28"/>
        <w:snapToGrid w:val="0"/>
        <w:spacing w:line="580" w:lineRule="exact"/>
        <w:ind w:left="0" w:leftChars="0" w:firstLine="0" w:firstLineChars="0"/>
        <w:rPr>
          <w:rFonts w:ascii="宋体" w:hAnsi="宋体" w:eastAsia="宋体" w:cs="仿宋"/>
          <w:bCs/>
          <w:kern w:val="0"/>
          <w:sz w:val="22"/>
          <w:szCs w:val="22"/>
          <w:highlight w:val="none"/>
        </w:rPr>
      </w:pPr>
    </w:p>
    <w:p>
      <w:pPr>
        <w:pStyle w:val="28"/>
        <w:snapToGrid w:val="0"/>
        <w:spacing w:line="580" w:lineRule="exact"/>
        <w:ind w:left="0" w:leftChars="0" w:firstLine="0" w:firstLineChars="0"/>
        <w:rPr>
          <w:rFonts w:ascii="宋体" w:hAnsi="宋体" w:eastAsia="宋体" w:cs="仿宋"/>
          <w:bCs/>
          <w:kern w:val="0"/>
          <w:sz w:val="22"/>
          <w:szCs w:val="22"/>
          <w:highlight w:val="none"/>
        </w:rPr>
      </w:pPr>
    </w:p>
    <w:p>
      <w:pPr>
        <w:pStyle w:val="28"/>
        <w:snapToGrid w:val="0"/>
        <w:spacing w:line="580" w:lineRule="exact"/>
        <w:ind w:left="420" w:leftChars="200" w:firstLine="0" w:firstLineChars="0"/>
        <w:rPr>
          <w:rFonts w:ascii="宋体" w:hAnsi="宋体" w:eastAsia="宋体" w:cs="仿宋"/>
          <w:bCs/>
          <w:kern w:val="0"/>
          <w:sz w:val="22"/>
          <w:szCs w:val="22"/>
          <w:highlight w:val="none"/>
        </w:rPr>
      </w:pPr>
    </w:p>
    <w:p>
      <w:pPr>
        <w:pStyle w:val="28"/>
        <w:snapToGrid w:val="0"/>
        <w:spacing w:line="580" w:lineRule="exact"/>
        <w:ind w:left="420" w:leftChars="200" w:firstLine="0" w:firstLineChars="0"/>
        <w:rPr>
          <w:rFonts w:ascii="宋体" w:hAnsi="宋体" w:eastAsia="宋体" w:cs="仿宋"/>
          <w:bCs/>
          <w:kern w:val="0"/>
          <w:sz w:val="22"/>
          <w:szCs w:val="22"/>
          <w:highlight w:val="none"/>
        </w:rPr>
      </w:pPr>
    </w:p>
    <w:p>
      <w:pPr>
        <w:numPr>
          <w:ilvl w:val="0"/>
          <w:numId w:val="6"/>
        </w:num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新型物联网中央空调计时型温控器研发应用示范</w:t>
      </w:r>
    </w:p>
    <w:p>
      <w:pPr>
        <w:numPr>
          <w:ilvl w:val="-1"/>
          <w:numId w:val="0"/>
        </w:num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技术方案</w:t>
      </w:r>
    </w:p>
    <w:p>
      <w:pPr>
        <w:numPr>
          <w:ilvl w:val="-1"/>
          <w:numId w:val="0"/>
        </w:numPr>
        <w:jc w:val="both"/>
        <w:rPr>
          <w:rFonts w:hint="eastAsia" w:ascii="宋体" w:hAnsi="宋体" w:eastAsia="宋体" w:cs="宋体"/>
          <w:b/>
          <w:sz w:val="32"/>
          <w:szCs w:val="32"/>
          <w:highlight w:val="none"/>
        </w:rPr>
      </w:pPr>
    </w:p>
    <w:p>
      <w:pPr>
        <w:rPr>
          <w:rFonts w:ascii="宋体" w:hAnsi="宋体" w:eastAsia="宋体" w:cs="宋体"/>
          <w:b/>
          <w:sz w:val="24"/>
          <w:szCs w:val="24"/>
          <w:highlight w:val="none"/>
        </w:rPr>
      </w:pPr>
      <w:r>
        <w:rPr>
          <w:rFonts w:hint="eastAsia" w:ascii="宋体" w:hAnsi="宋体" w:eastAsia="宋体" w:cs="宋体"/>
          <w:b/>
          <w:sz w:val="24"/>
          <w:szCs w:val="24"/>
          <w:highlight w:val="none"/>
        </w:rPr>
        <w:t>一、背景及必要性</w:t>
      </w:r>
    </w:p>
    <w:p>
      <w:pPr>
        <w:ind w:firstLine="480" w:firstLineChars="200"/>
        <w:rPr>
          <w:rFonts w:hint="eastAsia" w:ascii="宋体" w:hAnsi="宋体" w:cs="宋体"/>
          <w:sz w:val="24"/>
          <w:szCs w:val="24"/>
          <w:highlight w:val="none"/>
        </w:rPr>
      </w:pPr>
      <w:r>
        <w:rPr>
          <w:rFonts w:hint="eastAsia" w:ascii="宋体" w:hAnsi="宋体" w:cs="宋体"/>
          <w:sz w:val="24"/>
          <w:szCs w:val="24"/>
          <w:highlight w:val="none"/>
        </w:rPr>
        <w:t>计时型温控器在中央空调领域应用广泛，特别是联网型计时温控器具有远程控制、节能和计费功能，能实现降低能耗、统一管理和计时收费，适用于商务写字楼、公共机构、宿舍等中央空调供冷的区域，市场前景广阔。我司主营业务是中央空调区域供冷，对温控器的采购需求大。</w:t>
      </w:r>
    </w:p>
    <w:p>
      <w:pPr>
        <w:ind w:firstLine="480" w:firstLineChars="200"/>
        <w:rPr>
          <w:rFonts w:hint="eastAsia" w:ascii="宋体" w:hAnsi="宋体" w:cs="宋体"/>
          <w:sz w:val="24"/>
          <w:szCs w:val="24"/>
          <w:highlight w:val="none"/>
        </w:rPr>
      </w:pPr>
      <w:r>
        <w:rPr>
          <w:rFonts w:hint="eastAsia" w:ascii="宋体" w:hAnsi="宋体" w:cs="宋体"/>
          <w:sz w:val="24"/>
          <w:szCs w:val="24"/>
          <w:highlight w:val="none"/>
        </w:rPr>
        <w:t>目前市场上主流的物联网中央空调计时型温控器单价偏贵。我司在温控器领域有一定的研发成果，拥有两项发明专利和一项实用新型专利等相关知识产权，分别是发明专利《一种新型计费中央空调温控器及其显示方法》和《基于LORA通讯的中央空调温控器费用控制方法及其系统》，实用新型专利《一种智能温控器》。但由于我司缺乏进一步开发利用相关知识产权的专业研发人员和设备，无法更进一步把知识产权转化为科技成果。</w:t>
      </w:r>
    </w:p>
    <w:p>
      <w:pPr>
        <w:ind w:firstLine="480" w:firstLineChars="200"/>
        <w:rPr>
          <w:rFonts w:ascii="宋体" w:hAnsi="宋体" w:eastAsia="宋体" w:cs="宋体"/>
          <w:sz w:val="24"/>
          <w:szCs w:val="24"/>
          <w:highlight w:val="none"/>
        </w:rPr>
      </w:pPr>
      <w:r>
        <w:rPr>
          <w:rFonts w:hint="eastAsia" w:ascii="宋体" w:hAnsi="宋体" w:cs="宋体"/>
          <w:sz w:val="24"/>
          <w:szCs w:val="24"/>
          <w:highlight w:val="none"/>
        </w:rPr>
        <w:t>为此，需寻求具有软件和硬件上系统集成开发实力的供应商共同研发，该供应商应擅长能源管理的硬件研发和制造，具有专业的研发实验室和专业研发团队，具备为研发新型物联网中央空调计时型温控器的实力等。</w:t>
      </w:r>
      <w:r>
        <w:rPr>
          <w:rFonts w:hint="eastAsia" w:ascii="宋体" w:hAnsi="宋体" w:eastAsia="宋体" w:cs="宋体"/>
          <w:sz w:val="24"/>
          <w:szCs w:val="24"/>
          <w:highlight w:val="none"/>
        </w:rPr>
        <w:t xml:space="preserve"> </w:t>
      </w:r>
    </w:p>
    <w:p>
      <w:pPr>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研发的内容是开发4G LTE CAT1通讯方式的计时型温控器，控制中心通过管理软件对现场每个温控器进行管理，并实施在线充值、报表管理、故障报警等功能。学生用户通过手机小程序对现场温控器进行充值服务。管理者也可以通过手机小程序对温控器进行监视和控制，对用户的日常运行和用户耗能行为方式实施有效的管理，通过科学可行的策略实现节能与智能管理，帮助管理人员了解历史和当前的使用状况，辅助管理人员作出正确的管理策略。</w:t>
      </w:r>
    </w:p>
    <w:p>
      <w:pPr>
        <w:rPr>
          <w:rFonts w:ascii="宋体" w:hAnsi="宋体" w:eastAsia="宋体" w:cs="宋体"/>
          <w:b/>
          <w:sz w:val="24"/>
          <w:szCs w:val="24"/>
          <w:highlight w:val="none"/>
        </w:rPr>
      </w:pPr>
    </w:p>
    <w:p>
      <w:pPr>
        <w:rPr>
          <w:rFonts w:ascii="宋体" w:hAnsi="宋体" w:eastAsia="宋体" w:cs="宋体"/>
          <w:b/>
          <w:sz w:val="24"/>
          <w:szCs w:val="24"/>
          <w:highlight w:val="none"/>
        </w:rPr>
      </w:pPr>
      <w:r>
        <w:rPr>
          <w:rFonts w:hint="eastAsia" w:ascii="宋体" w:hAnsi="宋体" w:eastAsia="宋体" w:cs="宋体"/>
          <w:b/>
          <w:sz w:val="24"/>
          <w:szCs w:val="24"/>
          <w:highlight w:val="none"/>
        </w:rPr>
        <w:t>二、技术改造方案</w:t>
      </w:r>
    </w:p>
    <w:p>
      <w:pPr>
        <w:rPr>
          <w:rFonts w:ascii="宋体" w:hAnsi="宋体" w:eastAsia="宋体" w:cs="宋体"/>
          <w:sz w:val="24"/>
          <w:szCs w:val="24"/>
          <w:highlight w:val="none"/>
        </w:rPr>
      </w:pPr>
      <w:r>
        <w:rPr>
          <w:rFonts w:hint="eastAsia" w:ascii="宋体" w:hAnsi="宋体" w:eastAsia="宋体" w:cs="宋体"/>
          <w:sz w:val="24"/>
          <w:szCs w:val="24"/>
          <w:highlight w:val="none"/>
        </w:rPr>
        <w:t>1、项目名称</w:t>
      </w:r>
    </w:p>
    <w:p>
      <w:pPr>
        <w:rPr>
          <w:rFonts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b/>
          <w:sz w:val="24"/>
          <w:szCs w:val="24"/>
          <w:highlight w:val="none"/>
        </w:rPr>
        <w:t>新型物联网中央空调计时型温控器研发应用示范</w:t>
      </w:r>
    </w:p>
    <w:p>
      <w:pPr>
        <w:rPr>
          <w:rFonts w:ascii="宋体" w:hAnsi="宋体" w:eastAsia="宋体" w:cs="宋体"/>
          <w:sz w:val="24"/>
          <w:szCs w:val="24"/>
          <w:highlight w:val="none"/>
        </w:rPr>
      </w:pPr>
    </w:p>
    <w:p>
      <w:pPr>
        <w:rPr>
          <w:rFonts w:ascii="宋体" w:hAnsi="宋体" w:eastAsia="宋体" w:cs="宋体"/>
          <w:sz w:val="24"/>
          <w:szCs w:val="24"/>
          <w:highlight w:val="none"/>
        </w:rPr>
      </w:pPr>
      <w:r>
        <w:rPr>
          <w:rFonts w:hint="eastAsia" w:ascii="宋体" w:hAnsi="宋体" w:eastAsia="宋体" w:cs="宋体"/>
          <w:sz w:val="24"/>
          <w:szCs w:val="24"/>
          <w:highlight w:val="none"/>
        </w:rPr>
        <w:t>2、方案原理。</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温控器控制系统由：软、硬件两部分组成，其中：</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硬件：主要是由安装在室内的联网计时型温控器、数据中心服务器、以及其他一些网络设备所构成。</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软件：系统主要是由防火墙、数据库、数据采集、实时监测、数据报表等模块所组成。</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软件功能结构如图1所示，硬件架构如图2所示。</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mc:AlternateContent>
          <mc:Choice Requires="wpg">
            <w:drawing>
              <wp:inline distT="0" distB="0" distL="114300" distR="114300">
                <wp:extent cx="4479925" cy="3898265"/>
                <wp:effectExtent l="6350" t="6350" r="0" b="19685"/>
                <wp:docPr id="33" name="组合 1"/>
                <wp:cNvGraphicFramePr/>
                <a:graphic xmlns:a="http://schemas.openxmlformats.org/drawingml/2006/main">
                  <a:graphicData uri="http://schemas.microsoft.com/office/word/2010/wordprocessingGroup">
                    <wpg:wgp>
                      <wpg:cNvGrpSpPr/>
                      <wpg:grpSpPr>
                        <a:xfrm>
                          <a:off x="0" y="0"/>
                          <a:ext cx="4479925" cy="3898265"/>
                          <a:chOff x="2097" y="4575"/>
                          <a:chExt cx="7957" cy="6642"/>
                        </a:xfrm>
                      </wpg:grpSpPr>
                      <wps:wsp>
                        <wps:cNvPr id="2" name="AutoShape 3"/>
                        <wps:cNvSpPr/>
                        <wps:spPr>
                          <a:xfrm>
                            <a:off x="2097" y="8832"/>
                            <a:ext cx="6426" cy="2385"/>
                          </a:xfrm>
                          <a:prstGeom prst="roundRect">
                            <a:avLst>
                              <a:gd name="adj" fmla="val 16667"/>
                            </a:avLst>
                          </a:prstGeom>
                          <a:solidFill>
                            <a:srgbClr val="FFFFFF"/>
                          </a:solidFill>
                          <a:ln w="12700" cap="flat" cmpd="sng">
                            <a:solidFill>
                              <a:srgbClr val="000000"/>
                            </a:solidFill>
                            <a:prstDash val="dash"/>
                            <a:headEnd type="none" w="med" len="med"/>
                            <a:tailEnd type="none" w="med" len="med"/>
                          </a:ln>
                        </wps:spPr>
                        <wps:bodyPr upright="1"/>
                      </wps:wsp>
                      <wps:wsp>
                        <wps:cNvPr id="3" name="AutoShape 4"/>
                        <wps:cNvSpPr/>
                        <wps:spPr>
                          <a:xfrm>
                            <a:off x="2097" y="6311"/>
                            <a:ext cx="6426" cy="1796"/>
                          </a:xfrm>
                          <a:prstGeom prst="roundRect">
                            <a:avLst>
                              <a:gd name="adj" fmla="val 16667"/>
                            </a:avLst>
                          </a:prstGeom>
                          <a:solidFill>
                            <a:srgbClr val="FFFFFF"/>
                          </a:solidFill>
                          <a:ln w="12700" cap="flat" cmpd="sng">
                            <a:solidFill>
                              <a:srgbClr val="000000"/>
                            </a:solidFill>
                            <a:prstDash val="dash"/>
                            <a:headEnd type="none" w="med" len="med"/>
                            <a:tailEnd type="none" w="med" len="med"/>
                          </a:ln>
                        </wps:spPr>
                        <wps:bodyPr upright="1"/>
                      </wps:wsp>
                      <wps:wsp>
                        <wps:cNvPr id="9" name="AutoShape 5"/>
                        <wps:cNvSpPr/>
                        <wps:spPr>
                          <a:xfrm>
                            <a:off x="2097" y="4575"/>
                            <a:ext cx="6426" cy="1617"/>
                          </a:xfrm>
                          <a:prstGeom prst="roundRect">
                            <a:avLst>
                              <a:gd name="adj" fmla="val 16667"/>
                            </a:avLst>
                          </a:prstGeom>
                          <a:solidFill>
                            <a:srgbClr val="FFFFFF"/>
                          </a:solidFill>
                          <a:ln w="12700" cap="flat" cmpd="sng">
                            <a:solidFill>
                              <a:srgbClr val="000000"/>
                            </a:solidFill>
                            <a:prstDash val="dash"/>
                            <a:headEnd type="none" w="med" len="med"/>
                            <a:tailEnd type="none" w="med" len="med"/>
                          </a:ln>
                        </wps:spPr>
                        <wps:bodyPr upright="1"/>
                      </wps:wsp>
                      <wps:wsp>
                        <wps:cNvPr id="10" name="Rectangle 6"/>
                        <wps:cNvSpPr/>
                        <wps:spPr>
                          <a:xfrm>
                            <a:off x="2343" y="4658"/>
                            <a:ext cx="5922" cy="448"/>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b/>
                                  <w:szCs w:val="21"/>
                                </w:rPr>
                              </w:pPr>
                              <w:r>
                                <w:rPr>
                                  <w:rFonts w:hint="eastAsia"/>
                                  <w:b/>
                                  <w:szCs w:val="21"/>
                                </w:rPr>
                                <w:t>空调监管控制平台</w:t>
                              </w:r>
                            </w:p>
                          </w:txbxContent>
                        </wps:txbx>
                        <wps:bodyPr upright="1"/>
                      </wps:wsp>
                      <wps:wsp>
                        <wps:cNvPr id="11" name="Rectangle 7"/>
                        <wps:cNvSpPr/>
                        <wps:spPr>
                          <a:xfrm>
                            <a:off x="2345" y="5584"/>
                            <a:ext cx="5906" cy="448"/>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b/>
                                  <w:szCs w:val="21"/>
                                </w:rPr>
                              </w:pPr>
                              <w:r>
                                <w:rPr>
                                  <w:rFonts w:hint="eastAsia"/>
                                  <w:b/>
                                  <w:szCs w:val="21"/>
                                </w:rPr>
                                <w:t>空调监管后台处理子系统</w:t>
                              </w:r>
                            </w:p>
                          </w:txbxContent>
                        </wps:txbx>
                        <wps:bodyPr upright="1"/>
                      </wps:wsp>
                      <wps:wsp>
                        <wps:cNvPr id="12" name="Rectangle 8"/>
                        <wps:cNvSpPr/>
                        <wps:spPr>
                          <a:xfrm>
                            <a:off x="4521" y="6535"/>
                            <a:ext cx="1717" cy="448"/>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b/>
                                  <w:szCs w:val="21"/>
                                </w:rPr>
                              </w:pPr>
                              <w:r>
                                <w:rPr>
                                  <w:rFonts w:hint="eastAsia"/>
                                  <w:b/>
                                  <w:szCs w:val="21"/>
                                </w:rPr>
                                <w:t>数据处理子系统</w:t>
                              </w:r>
                            </w:p>
                          </w:txbxContent>
                        </wps:txbx>
                        <wps:bodyPr upright="1"/>
                      </wps:wsp>
                      <wps:wsp>
                        <wps:cNvPr id="13" name="Rectangle 9"/>
                        <wps:cNvSpPr/>
                        <wps:spPr>
                          <a:xfrm>
                            <a:off x="2359" y="6522"/>
                            <a:ext cx="1794" cy="448"/>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b/>
                                  <w:szCs w:val="21"/>
                                </w:rPr>
                              </w:pPr>
                              <w:r>
                                <w:rPr>
                                  <w:rFonts w:hint="eastAsia"/>
                                  <w:b/>
                                  <w:szCs w:val="21"/>
                                </w:rPr>
                                <w:t>数据存储子系统</w:t>
                              </w:r>
                            </w:p>
                          </w:txbxContent>
                        </wps:txbx>
                        <wps:bodyPr upright="1"/>
                      </wps:wsp>
                      <wps:wsp>
                        <wps:cNvPr id="14" name="Rectangle 10"/>
                        <wps:cNvSpPr/>
                        <wps:spPr>
                          <a:xfrm>
                            <a:off x="2359" y="7483"/>
                            <a:ext cx="3879" cy="448"/>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b/>
                                  <w:szCs w:val="21"/>
                                </w:rPr>
                              </w:pPr>
                              <w:r>
                                <w:rPr>
                                  <w:rFonts w:hint="eastAsia"/>
                                  <w:b/>
                                  <w:szCs w:val="21"/>
                                </w:rPr>
                                <w:t>数据采集子系统</w:t>
                              </w:r>
                            </w:p>
                          </w:txbxContent>
                        </wps:txbx>
                        <wps:bodyPr upright="1"/>
                      </wps:wsp>
                      <wps:wsp>
                        <wps:cNvPr id="15" name="Rectangle 11"/>
                        <wps:cNvSpPr/>
                        <wps:spPr>
                          <a:xfrm>
                            <a:off x="2329" y="9029"/>
                            <a:ext cx="5922" cy="448"/>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b/>
                                  <w:szCs w:val="21"/>
                                </w:rPr>
                              </w:pPr>
                              <w:r>
                                <w:rPr>
                                  <w:rFonts w:hint="eastAsia"/>
                                  <w:b/>
                                  <w:szCs w:val="21"/>
                                </w:rPr>
                                <w:t>数据集中器系统</w:t>
                              </w:r>
                            </w:p>
                          </w:txbxContent>
                        </wps:txbx>
                        <wps:bodyPr upright="1"/>
                      </wps:wsp>
                      <wps:wsp>
                        <wps:cNvPr id="16" name="AutoShape 14"/>
                        <wps:cNvCnPr>
                          <a:stCxn id="10" idx="2"/>
                          <a:endCxn id="11" idx="0"/>
                        </wps:cNvCnPr>
                        <wps:spPr>
                          <a:xfrm flipH="1">
                            <a:off x="5298" y="5106"/>
                            <a:ext cx="6" cy="478"/>
                          </a:xfrm>
                          <a:prstGeom prst="straightConnector1">
                            <a:avLst/>
                          </a:prstGeom>
                          <a:ln w="9525" cap="flat" cmpd="sng">
                            <a:solidFill>
                              <a:srgbClr val="000000"/>
                            </a:solidFill>
                            <a:prstDash val="solid"/>
                            <a:headEnd type="triangle" w="med" len="med"/>
                            <a:tailEnd type="triangle" w="med" len="med"/>
                          </a:ln>
                        </wps:spPr>
                        <wps:bodyPr/>
                      </wps:wsp>
                      <wps:wsp>
                        <wps:cNvPr id="17" name="AutoShape 15"/>
                        <wps:cNvCnPr/>
                        <wps:spPr>
                          <a:xfrm flipH="1">
                            <a:off x="3676" y="6032"/>
                            <a:ext cx="6" cy="478"/>
                          </a:xfrm>
                          <a:prstGeom prst="straightConnector1">
                            <a:avLst/>
                          </a:prstGeom>
                          <a:ln w="9525" cap="flat" cmpd="sng">
                            <a:solidFill>
                              <a:srgbClr val="000000"/>
                            </a:solidFill>
                            <a:prstDash val="solid"/>
                            <a:headEnd type="triangle" w="med" len="med"/>
                            <a:tailEnd type="triangle" w="med" len="med"/>
                          </a:ln>
                        </wps:spPr>
                        <wps:bodyPr/>
                      </wps:wsp>
                      <wps:wsp>
                        <wps:cNvPr id="18" name="Rectangle 11"/>
                        <wps:cNvSpPr/>
                        <wps:spPr>
                          <a:xfrm>
                            <a:off x="2343" y="8246"/>
                            <a:ext cx="5922" cy="448"/>
                          </a:xfrm>
                          <a:prstGeom prst="rect">
                            <a:avLst/>
                          </a:prstGeom>
                          <a:solidFill>
                            <a:srgbClr val="FFFFFF"/>
                          </a:solidFill>
                          <a:ln w="9525" cap="flat" cmpd="sng">
                            <a:solidFill>
                              <a:srgbClr val="000000"/>
                            </a:solidFill>
                            <a:prstDash val="lgDash"/>
                            <a:miter/>
                            <a:headEnd type="none" w="med" len="med"/>
                            <a:tailEnd type="none" w="med" len="med"/>
                          </a:ln>
                        </wps:spPr>
                        <wps:txbx>
                          <w:txbxContent>
                            <w:p>
                              <w:pPr>
                                <w:jc w:val="center"/>
                                <w:rPr>
                                  <w:szCs w:val="21"/>
                                </w:rPr>
                              </w:pPr>
                              <w:r>
                                <w:rPr>
                                  <w:rFonts w:hint="eastAsia"/>
                                  <w:szCs w:val="21"/>
                                </w:rPr>
                                <w:t>专网或专有VPN网络</w:t>
                              </w:r>
                            </w:p>
                          </w:txbxContent>
                        </wps:txbx>
                        <wps:bodyPr upright="1"/>
                      </wps:wsp>
                      <wps:wsp>
                        <wps:cNvPr id="19" name="AutoShape 16"/>
                        <wps:cNvCnPr/>
                        <wps:spPr>
                          <a:xfrm>
                            <a:off x="3165" y="6970"/>
                            <a:ext cx="0" cy="513"/>
                          </a:xfrm>
                          <a:prstGeom prst="straightConnector1">
                            <a:avLst/>
                          </a:prstGeom>
                          <a:ln w="9525" cap="flat" cmpd="sng">
                            <a:solidFill>
                              <a:srgbClr val="000000"/>
                            </a:solidFill>
                            <a:prstDash val="solid"/>
                            <a:headEnd type="triangle" w="med" len="med"/>
                            <a:tailEnd type="triangle" w="med" len="med"/>
                          </a:ln>
                        </wps:spPr>
                        <wps:bodyPr/>
                      </wps:wsp>
                      <wps:wsp>
                        <wps:cNvPr id="20" name="AutoShape 17"/>
                        <wps:cNvCnPr/>
                        <wps:spPr>
                          <a:xfrm flipH="1">
                            <a:off x="5482" y="6983"/>
                            <a:ext cx="6" cy="513"/>
                          </a:xfrm>
                          <a:prstGeom prst="straightConnector1">
                            <a:avLst/>
                          </a:prstGeom>
                          <a:ln w="9525" cap="flat" cmpd="sng">
                            <a:solidFill>
                              <a:srgbClr val="000000"/>
                            </a:solidFill>
                            <a:prstDash val="solid"/>
                            <a:headEnd type="triangle" w="med" len="med"/>
                            <a:tailEnd type="triangle" w="med" len="med"/>
                          </a:ln>
                        </wps:spPr>
                        <wps:bodyPr/>
                      </wps:wsp>
                      <wps:wsp>
                        <wps:cNvPr id="21" name="AutoShape 18"/>
                        <wps:cNvCnPr/>
                        <wps:spPr>
                          <a:xfrm flipH="1">
                            <a:off x="4153" y="7931"/>
                            <a:ext cx="0" cy="1176"/>
                          </a:xfrm>
                          <a:prstGeom prst="straightConnector1">
                            <a:avLst/>
                          </a:prstGeom>
                          <a:ln w="9525" cap="flat" cmpd="sng">
                            <a:solidFill>
                              <a:srgbClr val="000000"/>
                            </a:solidFill>
                            <a:prstDash val="solid"/>
                            <a:headEnd type="triangle" w="med" len="med"/>
                            <a:tailEnd type="triangle" w="med" len="med"/>
                          </a:ln>
                        </wps:spPr>
                        <wps:bodyPr/>
                      </wps:wsp>
                      <wps:wsp>
                        <wps:cNvPr id="22" name="AutoShape 21"/>
                        <wps:cNvCnPr>
                          <a:endCxn id="13" idx="3"/>
                        </wps:cNvCnPr>
                        <wps:spPr>
                          <a:xfrm flipH="1">
                            <a:off x="4153" y="6746"/>
                            <a:ext cx="368" cy="0"/>
                          </a:xfrm>
                          <a:prstGeom prst="straightConnector1">
                            <a:avLst/>
                          </a:prstGeom>
                          <a:ln w="9525" cap="flat" cmpd="sng">
                            <a:solidFill>
                              <a:srgbClr val="000000"/>
                            </a:solidFill>
                            <a:prstDash val="solid"/>
                            <a:headEnd type="triangle" w="med" len="med"/>
                            <a:tailEnd type="triangle" w="med" len="med"/>
                          </a:ln>
                        </wps:spPr>
                        <wps:bodyPr/>
                      </wps:wsp>
                      <wps:wsp>
                        <wps:cNvPr id="23" name="Rectangle 22"/>
                        <wps:cNvSpPr/>
                        <wps:spPr>
                          <a:xfrm>
                            <a:off x="8534" y="4941"/>
                            <a:ext cx="1520" cy="733"/>
                          </a:xfrm>
                          <a:prstGeom prst="rect">
                            <a:avLst/>
                          </a:prstGeom>
                          <a:solidFill>
                            <a:srgbClr val="FFFFFF">
                              <a:alpha val="0"/>
                            </a:srgbClr>
                          </a:solidFill>
                          <a:ln>
                            <a:noFill/>
                          </a:ln>
                        </wps:spPr>
                        <wps:txbx>
                          <w:txbxContent>
                            <w:p>
                              <w:pPr>
                                <w:jc w:val="center"/>
                                <w:rPr>
                                  <w:b/>
                                  <w:szCs w:val="21"/>
                                </w:rPr>
                              </w:pPr>
                              <w:r>
                                <w:rPr>
                                  <w:rFonts w:hint="eastAsia"/>
                                  <w:sz w:val="24"/>
                                </w:rPr>
                                <w:t>应用服务器层</w:t>
                              </w:r>
                            </w:p>
                          </w:txbxContent>
                        </wps:txbx>
                        <wps:bodyPr upright="1"/>
                      </wps:wsp>
                      <wps:wsp>
                        <wps:cNvPr id="24" name="Rectangle 23"/>
                        <wps:cNvSpPr/>
                        <wps:spPr>
                          <a:xfrm>
                            <a:off x="8534" y="6750"/>
                            <a:ext cx="1520" cy="1100"/>
                          </a:xfrm>
                          <a:prstGeom prst="rect">
                            <a:avLst/>
                          </a:prstGeom>
                          <a:solidFill>
                            <a:srgbClr val="FFFFFF">
                              <a:alpha val="0"/>
                            </a:srgbClr>
                          </a:solidFill>
                          <a:ln>
                            <a:noFill/>
                          </a:ln>
                        </wps:spPr>
                        <wps:txbx>
                          <w:txbxContent>
                            <w:p>
                              <w:pPr>
                                <w:jc w:val="center"/>
                                <w:rPr>
                                  <w:b/>
                                  <w:szCs w:val="21"/>
                                </w:rPr>
                              </w:pPr>
                              <w:r>
                                <w:rPr>
                                  <w:rFonts w:hint="eastAsia"/>
                                  <w:sz w:val="24"/>
                                </w:rPr>
                                <w:t>采集服务器层</w:t>
                              </w:r>
                            </w:p>
                          </w:txbxContent>
                        </wps:txbx>
                        <wps:bodyPr upright="1"/>
                      </wps:wsp>
                      <wps:wsp>
                        <wps:cNvPr id="25" name="Rectangle 24"/>
                        <wps:cNvSpPr/>
                        <wps:spPr>
                          <a:xfrm>
                            <a:off x="8534" y="9477"/>
                            <a:ext cx="1520" cy="823"/>
                          </a:xfrm>
                          <a:prstGeom prst="rect">
                            <a:avLst/>
                          </a:prstGeom>
                          <a:solidFill>
                            <a:srgbClr val="FFFFFF">
                              <a:alpha val="0"/>
                            </a:srgbClr>
                          </a:solidFill>
                          <a:ln>
                            <a:noFill/>
                          </a:ln>
                        </wps:spPr>
                        <wps:txbx>
                          <w:txbxContent>
                            <w:p>
                              <w:pPr>
                                <w:jc w:val="center"/>
                                <w:rPr>
                                  <w:b/>
                                  <w:szCs w:val="21"/>
                                </w:rPr>
                              </w:pPr>
                              <w:r>
                                <w:rPr>
                                  <w:rFonts w:hint="eastAsia"/>
                                  <w:sz w:val="24"/>
                                </w:rPr>
                                <w:t>末端硬件系统</w:t>
                              </w:r>
                            </w:p>
                          </w:txbxContent>
                        </wps:txbx>
                        <wps:bodyPr upright="1"/>
                      </wps:wsp>
                      <wps:wsp>
                        <wps:cNvPr id="26" name="AutoShape 29"/>
                        <wps:cNvCnPr/>
                        <wps:spPr>
                          <a:xfrm>
                            <a:off x="5278" y="9477"/>
                            <a:ext cx="0" cy="386"/>
                          </a:xfrm>
                          <a:prstGeom prst="straightConnector1">
                            <a:avLst/>
                          </a:prstGeom>
                          <a:ln w="9525" cap="flat" cmpd="sng">
                            <a:solidFill>
                              <a:srgbClr val="000000"/>
                            </a:solidFill>
                            <a:prstDash val="solid"/>
                            <a:headEnd type="triangle" w="med" len="med"/>
                            <a:tailEnd type="triangle" w="med" len="med"/>
                          </a:ln>
                        </wps:spPr>
                        <wps:bodyPr/>
                      </wps:wsp>
                      <wps:wsp>
                        <wps:cNvPr id="27" name="Rectangle 8"/>
                        <wps:cNvSpPr/>
                        <wps:spPr>
                          <a:xfrm>
                            <a:off x="6382" y="6608"/>
                            <a:ext cx="1554" cy="1242"/>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b/>
                                  <w:szCs w:val="21"/>
                                </w:rPr>
                              </w:pPr>
                              <w:r>
                                <w:rPr>
                                  <w:rFonts w:hint="eastAsia"/>
                                  <w:b/>
                                  <w:szCs w:val="21"/>
                                </w:rPr>
                                <w:t>用冷计费控制子系统</w:t>
                              </w:r>
                            </w:p>
                          </w:txbxContent>
                        </wps:txbx>
                        <wps:bodyPr upright="1"/>
                      </wps:wsp>
                      <wps:wsp>
                        <wps:cNvPr id="28" name="AutoShape 18"/>
                        <wps:cNvCnPr/>
                        <wps:spPr>
                          <a:xfrm flipH="1">
                            <a:off x="7220" y="7876"/>
                            <a:ext cx="6" cy="1153"/>
                          </a:xfrm>
                          <a:prstGeom prst="straightConnector1">
                            <a:avLst/>
                          </a:prstGeom>
                          <a:ln w="9525" cap="flat" cmpd="sng">
                            <a:solidFill>
                              <a:srgbClr val="000000"/>
                            </a:solidFill>
                            <a:prstDash val="solid"/>
                            <a:headEnd type="triangle" w="med" len="med"/>
                            <a:tailEnd type="triangle" w="med" len="med"/>
                          </a:ln>
                        </wps:spPr>
                        <wps:bodyPr/>
                      </wps:wsp>
                      <wps:wsp>
                        <wps:cNvPr id="29" name="AutoShape 18"/>
                        <wps:cNvCnPr/>
                        <wps:spPr>
                          <a:xfrm>
                            <a:off x="7159" y="6044"/>
                            <a:ext cx="0" cy="564"/>
                          </a:xfrm>
                          <a:prstGeom prst="straightConnector1">
                            <a:avLst/>
                          </a:prstGeom>
                          <a:ln w="9525" cap="flat" cmpd="sng">
                            <a:solidFill>
                              <a:srgbClr val="000000"/>
                            </a:solidFill>
                            <a:prstDash val="solid"/>
                            <a:headEnd type="triangle" w="med" len="med"/>
                            <a:tailEnd type="triangle" w="med" len="med"/>
                          </a:ln>
                        </wps:spPr>
                        <wps:bodyPr/>
                      </wps:wsp>
                      <wps:wsp>
                        <wps:cNvPr id="30" name="Rectangle 11"/>
                        <wps:cNvSpPr/>
                        <wps:spPr>
                          <a:xfrm>
                            <a:off x="2329" y="9862"/>
                            <a:ext cx="5922" cy="375"/>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b/>
                                  <w:szCs w:val="21"/>
                                </w:rPr>
                              </w:pPr>
                              <w:r>
                                <w:rPr>
                                  <w:b/>
                                  <w:szCs w:val="21"/>
                                </w:rPr>
                                <w:t>串口服务器</w:t>
                              </w:r>
                            </w:p>
                          </w:txbxContent>
                        </wps:txbx>
                        <wps:bodyPr upright="1"/>
                      </wps:wsp>
                      <wps:wsp>
                        <wps:cNvPr id="31" name="Rectangle 11"/>
                        <wps:cNvSpPr/>
                        <wps:spPr>
                          <a:xfrm>
                            <a:off x="2294" y="10621"/>
                            <a:ext cx="5922" cy="389"/>
                          </a:xfrm>
                          <a:prstGeom prst="rect">
                            <a:avLst/>
                          </a:prstGeom>
                          <a:solidFill>
                            <a:srgbClr val="CCFFFF"/>
                          </a:solidFill>
                          <a:ln w="9525" cap="flat" cmpd="sng">
                            <a:solidFill>
                              <a:srgbClr val="000000"/>
                            </a:solidFill>
                            <a:prstDash val="solid"/>
                            <a:miter/>
                            <a:headEnd type="none" w="med" len="med"/>
                            <a:tailEnd type="none" w="med" len="med"/>
                          </a:ln>
                        </wps:spPr>
                        <wps:txbx>
                          <w:txbxContent>
                            <w:p>
                              <w:pPr>
                                <w:jc w:val="center"/>
                                <w:rPr>
                                  <w:b/>
                                  <w:szCs w:val="21"/>
                                </w:rPr>
                              </w:pPr>
                              <w:r>
                                <w:rPr>
                                  <w:rFonts w:hint="eastAsia"/>
                                  <w:b/>
                                  <w:szCs w:val="21"/>
                                </w:rPr>
                                <w:t>空调计量采集器</w:t>
                              </w:r>
                            </w:p>
                          </w:txbxContent>
                        </wps:txbx>
                        <wps:bodyPr upright="1"/>
                      </wps:wsp>
                      <wps:wsp>
                        <wps:cNvPr id="32" name="AutoShape 29"/>
                        <wps:cNvCnPr/>
                        <wps:spPr>
                          <a:xfrm>
                            <a:off x="5296" y="10237"/>
                            <a:ext cx="0" cy="386"/>
                          </a:xfrm>
                          <a:prstGeom prst="straightConnector1">
                            <a:avLst/>
                          </a:prstGeom>
                          <a:ln w="9525" cap="flat" cmpd="sng">
                            <a:solidFill>
                              <a:srgbClr val="000000"/>
                            </a:solidFill>
                            <a:prstDash val="solid"/>
                            <a:headEnd type="triangle" w="med" len="med"/>
                            <a:tailEnd type="triangle" w="med" len="med"/>
                          </a:ln>
                        </wps:spPr>
                        <wps:bodyPr/>
                      </wps:wsp>
                    </wpg:wgp>
                  </a:graphicData>
                </a:graphic>
              </wp:inline>
            </w:drawing>
          </mc:Choice>
          <mc:Fallback>
            <w:pict>
              <v:group id="组合 1" o:spid="_x0000_s1026" o:spt="203" style="height:306.95pt;width:352.75pt;" coordorigin="2097,4575" coordsize="7957,6642" o:gfxdata="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">
                <o:lock v:ext="edit" aspectratio="f"/>
                <v:roundrect id="AutoShape 3" o:spid="_x0000_s1026" o:spt="2" style="position:absolute;left:2097;top:8832;height:2385;width:6426;" fillcolor="#FFFFFF" filled="t" stroked="t" coordsize="21600,21600" arcsize="0.166666666666667" o:gfxdata="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4UVYy8AAAA&#10;2gAAAA8AAAAAAAAAAQAgAAAAIgAAAGRycy9kb3ducmV2LnhtbFBLAQIUABQAAAAIAIdO4kAzLwWe&#10;OwAAADkAAAAQAAAAAAAAAAEAIAAAAAsBAABkcnMvc2hhcGV4bWwueG1sUEsFBgAAAAAGAAYAWwEA&#10;ALUDAAAAAA==&#10;">
                  <v:fill on="t" focussize="0,0"/>
                  <v:stroke weight="1pt" color="#000000" joinstyle="round" dashstyle="dash"/>
                  <v:imagedata o:title=""/>
                  <o:lock v:ext="edit" aspectratio="f"/>
                </v:roundrect>
                <v:roundrect id="AutoShape 4" o:spid="_x0000_s1026" o:spt="2" style="position:absolute;left:2097;top:6311;height:1796;width:6426;" fillcolor="#FFFFFF" filled="t" stroked="t" coordsize="21600,21600" arcsize="0.166666666666667" o:gfxdata="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WPAXvQAA&#10;ANoAAAAPAAAAAAAAAAEAIAAAACIAAABkcnMvZG93bnJldi54bWxQSwECFAAUAAAACACHTuJAMy8F&#10;njsAAAA5AAAAEAAAAAAAAAABACAAAAAMAQAAZHJzL3NoYXBleG1sLnhtbFBLBQYAAAAABgAGAFsB&#10;AAC2AwAAAAA=&#10;">
                  <v:fill on="t" focussize="0,0"/>
                  <v:stroke weight="1pt" color="#000000" joinstyle="round" dashstyle="dash"/>
                  <v:imagedata o:title=""/>
                  <o:lock v:ext="edit" aspectratio="f"/>
                </v:roundrect>
                <v:roundrect id="AutoShape 5" o:spid="_x0000_s1026" o:spt="2" style="position:absolute;left:2097;top:4575;height:1617;width:6426;" fillcolor="#FFFFFF" filled="t" stroked="t" coordsize="21600,21600" arcsize="0.166666666666667" o:gfxdata="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LDH/bsAAADa&#10;AAAADwAAAAAAAAABACAAAAAiAAAAZHJzL2Rvd25yZXYueG1sUEsBAhQAFAAAAAgAh07iQDMvBZ47&#10;AAAAOQAAABAAAAAAAAAAAQAgAAAACgEAAGRycy9zaGFwZXhtbC54bWxQSwUGAAAAAAYABgBbAQAA&#10;tAMAAAAA&#10;">
                  <v:fill on="t" focussize="0,0"/>
                  <v:stroke weight="1pt" color="#000000" joinstyle="round" dashstyle="dash"/>
                  <v:imagedata o:title=""/>
                  <o:lock v:ext="edit" aspectratio="f"/>
                </v:roundrect>
                <v:rect id="Rectangle 6" o:spid="_x0000_s1026" o:spt="1" style="position:absolute;left:2343;top:4658;height:448;width:5922;" fillcolor="#CCFFFF" filled="t" stroked="t" coordsize="21600,21600" o:gfxdata="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VYO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b/>
                            <w:szCs w:val="21"/>
                          </w:rPr>
                        </w:pPr>
                        <w:r>
                          <w:rPr>
                            <w:rFonts w:hint="eastAsia"/>
                            <w:b/>
                            <w:szCs w:val="21"/>
                          </w:rPr>
                          <w:t>空调监管控制平台</w:t>
                        </w:r>
                      </w:p>
                    </w:txbxContent>
                  </v:textbox>
                </v:rect>
                <v:rect id="Rectangle 7" o:spid="_x0000_s1026" o:spt="1" style="position:absolute;left:2345;top:5584;height:448;width:5906;" fillcolor="#CCFFFF" filled="t" stroked="t" coordsize="21600,21600" o:gfxdata="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GJ/a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b/>
                            <w:szCs w:val="21"/>
                          </w:rPr>
                        </w:pPr>
                        <w:r>
                          <w:rPr>
                            <w:rFonts w:hint="eastAsia"/>
                            <w:b/>
                            <w:szCs w:val="21"/>
                          </w:rPr>
                          <w:t>空调监管后台处理子系统</w:t>
                        </w:r>
                      </w:p>
                    </w:txbxContent>
                  </v:textbox>
                </v:rect>
                <v:rect id="Rectangle 8" o:spid="_x0000_s1026" o:spt="1" style="position:absolute;left:4521;top:6535;height:448;width:1717;" fillcolor="#CCFFFF" filled="t" stroked="t" coordsize="21600,21600" o:gfxdata="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W2PX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b/>
                            <w:szCs w:val="21"/>
                          </w:rPr>
                        </w:pPr>
                        <w:r>
                          <w:rPr>
                            <w:rFonts w:hint="eastAsia"/>
                            <w:b/>
                            <w:szCs w:val="21"/>
                          </w:rPr>
                          <w:t>数据处理子系统</w:t>
                        </w:r>
                      </w:p>
                    </w:txbxContent>
                  </v:textbox>
                </v:rect>
                <v:rect id="Rectangle 9" o:spid="_x0000_s1026" o:spt="1" style="position:absolute;left:2359;top:6522;height:448;width:1794;" fillcolor="#CCFFFF" filled="t" stroked="t" coordsize="21600,21600" o:gfxdata="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hfGT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b/>
                            <w:szCs w:val="21"/>
                          </w:rPr>
                        </w:pPr>
                        <w:r>
                          <w:rPr>
                            <w:rFonts w:hint="eastAsia"/>
                            <w:b/>
                            <w:szCs w:val="21"/>
                          </w:rPr>
                          <w:t>数据存储子系统</w:t>
                        </w:r>
                      </w:p>
                    </w:txbxContent>
                  </v:textbox>
                </v:rect>
                <v:rect id="Rectangle 10" o:spid="_x0000_s1026" o:spt="1" style="position:absolute;left:2359;top:7483;height:448;width:3879;" fillcolor="#CCFFFF" filled="t" stroked="t" coordsize="21600,21600" o:gfxdata="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f5eO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b/>
                            <w:szCs w:val="21"/>
                          </w:rPr>
                        </w:pPr>
                        <w:r>
                          <w:rPr>
                            <w:rFonts w:hint="eastAsia"/>
                            <w:b/>
                            <w:szCs w:val="21"/>
                          </w:rPr>
                          <w:t>数据采集子系统</w:t>
                        </w:r>
                      </w:p>
                    </w:txbxContent>
                  </v:textbox>
                </v:rect>
                <v:rect id="Rectangle 11" o:spid="_x0000_s1026" o:spt="1" style="position:absolute;left:2329;top:9029;height:448;width:5922;" fillcolor="#CCFFFF" filled="t" stroked="t" coordsize="21600,21600" o:gfxdata="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rL7o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b/>
                            <w:szCs w:val="21"/>
                          </w:rPr>
                        </w:pPr>
                        <w:r>
                          <w:rPr>
                            <w:rFonts w:hint="eastAsia"/>
                            <w:b/>
                            <w:szCs w:val="21"/>
                          </w:rPr>
                          <w:t>数据集中器系统</w:t>
                        </w:r>
                      </w:p>
                    </w:txbxContent>
                  </v:textbox>
                </v:rect>
                <v:shape id="AutoShape 14" o:spid="_x0000_s1026" o:spt="32" type="#_x0000_t32" style="position:absolute;left:5298;top:5106;flip:x;height:478;width:6;" filled="f" stroked="t" coordsize="21600,21600" o:gfxdata="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OK+vugAAANsA&#10;AAAPAAAAAAAAAAEAIAAAACIAAABkcnMvZG93bnJldi54bWxQSwECFAAUAAAACACHTuJAMy8FnjsA&#10;AAA5AAAAEAAAAAAAAAABACAAAAAJAQAAZHJzL3NoYXBleG1sLnhtbFBLBQYAAAAABgAGAFsBAACz&#10;AwAAAAA=&#10;">
                  <v:fill on="f" focussize="0,0"/>
                  <v:stroke color="#000000" joinstyle="round" startarrow="block" endarrow="block"/>
                  <v:imagedata o:title=""/>
                  <o:lock v:ext="edit" aspectratio="f"/>
                </v:shape>
                <v:shape id="AutoShape 15" o:spid="_x0000_s1026" o:spt="32" type="#_x0000_t32" style="position:absolute;left:3676;top:6032;flip:x;height:478;width:6;" filled="f" stroked="t" coordsize="21600,21600" o:gfxdata="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dAo0ugAAANsA&#10;AAAPAAAAAAAAAAEAIAAAACIAAABkcnMvZG93bnJldi54bWxQSwECFAAUAAAACACHTuJAMy8FnjsA&#10;AAA5AAAAEAAAAAAAAAABACAAAAAJAQAAZHJzL3NoYXBleG1sLnhtbFBLBQYAAAAABgAGAFsBAACz&#10;AwAAAAA=&#10;">
                  <v:fill on="f" focussize="0,0"/>
                  <v:stroke color="#000000" joinstyle="round" startarrow="block" endarrow="block"/>
                  <v:imagedata o:title=""/>
                  <o:lock v:ext="edit" aspectratio="f"/>
                </v:shape>
                <v:rect id="Rectangle 11" o:spid="_x0000_s1026" o:spt="1" style="position:absolute;left:2343;top:8246;height:448;width:5922;" fillcolor="#FFFFFF" filled="t" stroked="t" coordsize="21600,21600" o:gfxdata="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Ouby/&#10;AAAA2wAAAA8AAAAAAAAAAQAgAAAAIgAAAGRycy9kb3ducmV2LnhtbFBLAQIUABQAAAAIAIdO4kAz&#10;LwWeOwAAADkAAAAQAAAAAAAAAAEAIAAAAA4BAABkcnMvc2hhcGV4bWwueG1sUEsFBgAAAAAGAAYA&#10;WwEAALgDAAAAAA==&#10;">
                  <v:fill on="t" focussize="0,0"/>
                  <v:stroke color="#000000" joinstyle="miter" dashstyle="longDash"/>
                  <v:imagedata o:title=""/>
                  <o:lock v:ext="edit" aspectratio="f"/>
                  <v:textbox>
                    <w:txbxContent>
                      <w:p>
                        <w:pPr>
                          <w:jc w:val="center"/>
                          <w:rPr>
                            <w:szCs w:val="21"/>
                          </w:rPr>
                        </w:pPr>
                        <w:r>
                          <w:rPr>
                            <w:rFonts w:hint="eastAsia"/>
                            <w:szCs w:val="21"/>
                          </w:rPr>
                          <w:t>专网或专有VPN网络</w:t>
                        </w:r>
                      </w:p>
                    </w:txbxContent>
                  </v:textbox>
                </v:rect>
                <v:shape id="AutoShape 16" o:spid="_x0000_s1026" o:spt="32" type="#_x0000_t32" style="position:absolute;left:3165;top:6970;height:513;width:0;" filled="f" stroked="t" coordsize="21600,21600" o:gfxdata="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DM8wL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shape>
                <v:shape id="AutoShape 17" o:spid="_x0000_s1026" o:spt="32" type="#_x0000_t32" style="position:absolute;left:5482;top:6983;flip:x;height:513;width:6;" filled="f" stroked="t" coordsize="21600,21600" o:gfxdata="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vFY/bUAAADbAAAADwAA&#10;AAAAAAABACAAAAAiAAAAZHJzL2Rvd25yZXYueG1sUEsBAhQAFAAAAAgAh07iQDMvBZ47AAAAOQAA&#10;ABAAAAAAAAAAAQAgAAAABAEAAGRycy9zaGFwZXhtbC54bWxQSwUGAAAAAAYABgBbAQAArgMAAAAA&#10;">
                  <v:fill on="f" focussize="0,0"/>
                  <v:stroke color="#000000" joinstyle="round" startarrow="block" endarrow="block"/>
                  <v:imagedata o:title=""/>
                  <o:lock v:ext="edit" aspectratio="f"/>
                </v:shape>
                <v:shape id="AutoShape 18" o:spid="_x0000_s1026" o:spt="32" type="#_x0000_t32" style="position:absolute;left:4153;top:7931;flip:x;height:1176;width:0;" filled="f" stroked="t" coordsize="21600,21600" o:gfxdata="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vf1mugAAANsA&#10;AAAPAAAAAAAAAAEAIAAAACIAAABkcnMvZG93bnJldi54bWxQSwECFAAUAAAACACHTuJAMy8FnjsA&#10;AAA5AAAAEAAAAAAAAAABACAAAAAJAQAAZHJzL3NoYXBleG1sLnhtbFBLBQYAAAAABgAGAFsBAACz&#10;AwAAAAA=&#10;">
                  <v:fill on="f" focussize="0,0"/>
                  <v:stroke color="#000000" joinstyle="round" startarrow="block" endarrow="block"/>
                  <v:imagedata o:title=""/>
                  <o:lock v:ext="edit" aspectratio="f"/>
                </v:shape>
                <v:shape id="AutoShape 21" o:spid="_x0000_s1026" o:spt="32" type="#_x0000_t32" style="position:absolute;left:4153;top:6746;flip:x;height:0;width:368;" filled="f" stroked="t" coordsize="21600,21600" o:gfxdata="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9jEb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shape>
                <v:rect id="Rectangle 22" o:spid="_x0000_s1026" o:spt="1" style="position:absolute;left:8534;top:4941;height:733;width:1520;" fillcolor="#FFFFFF" filled="t" stroked="f" coordsize="21600,21600" o:gfxdata="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OShe8AAAA&#10;2wAAAA8AAAAAAAAAAQAgAAAAIgAAAGRycy9kb3ducmV2LnhtbFBLAQIUABQAAAAIAIdO4kAzLwWe&#10;OwAAADkAAAAQAAAAAAAAAAEAIAAAAAsBAABkcnMvc2hhcGV4bWwueG1sUEsFBgAAAAAGAAYAWwEA&#10;ALUDAAAAAA==&#10;">
                  <v:fill on="t" opacity="0f" focussize="0,0"/>
                  <v:stroke on="f"/>
                  <v:imagedata o:title=""/>
                  <o:lock v:ext="edit" aspectratio="f"/>
                  <v:textbox>
                    <w:txbxContent>
                      <w:p>
                        <w:pPr>
                          <w:jc w:val="center"/>
                          <w:rPr>
                            <w:b/>
                            <w:szCs w:val="21"/>
                          </w:rPr>
                        </w:pPr>
                        <w:r>
                          <w:rPr>
                            <w:rFonts w:hint="eastAsia"/>
                            <w:sz w:val="24"/>
                          </w:rPr>
                          <w:t>应用服务器层</w:t>
                        </w:r>
                      </w:p>
                    </w:txbxContent>
                  </v:textbox>
                </v:rect>
                <v:rect id="Rectangle 23" o:spid="_x0000_s1026" o:spt="1" style="position:absolute;left:8534;top:6750;height:1100;width:1520;" fillcolor="#FFFFFF" filled="t" stroked="f" coordsize="21600,21600" o:gfxdata="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KfSY74A&#10;AADbAAAADwAAAAAAAAABACAAAAAiAAAAZHJzL2Rvd25yZXYueG1sUEsBAhQAFAAAAAgAh07iQDMv&#10;BZ47AAAAOQAAABAAAAAAAAAAAQAgAAAADQEAAGRycy9zaGFwZXhtbC54bWxQSwUGAAAAAAYABgBb&#10;AQAAtwMAAAAA&#10;">
                  <v:fill on="t" opacity="0f" focussize="0,0"/>
                  <v:stroke on="f"/>
                  <v:imagedata o:title=""/>
                  <o:lock v:ext="edit" aspectratio="f"/>
                  <v:textbox>
                    <w:txbxContent>
                      <w:p>
                        <w:pPr>
                          <w:jc w:val="center"/>
                          <w:rPr>
                            <w:b/>
                            <w:szCs w:val="21"/>
                          </w:rPr>
                        </w:pPr>
                        <w:r>
                          <w:rPr>
                            <w:rFonts w:hint="eastAsia"/>
                            <w:sz w:val="24"/>
                          </w:rPr>
                          <w:t>采集服务器层</w:t>
                        </w:r>
                      </w:p>
                    </w:txbxContent>
                  </v:textbox>
                </v:rect>
                <v:rect id="Rectangle 24" o:spid="_x0000_s1026" o:spt="1" style="position:absolute;left:8534;top:9477;height:823;width:1520;" fillcolor="#FFFFFF" filled="t" stroked="f" coordsize="21600,21600" o:gfxdata="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3+L4A&#10;AADbAAAADwAAAAAAAAABACAAAAAiAAAAZHJzL2Rvd25yZXYueG1sUEsBAhQAFAAAAAgAh07iQDMv&#10;BZ47AAAAOQAAABAAAAAAAAAAAQAgAAAADQEAAGRycy9zaGFwZXhtbC54bWxQSwUGAAAAAAYABgBb&#10;AQAAtwMAAAAA&#10;">
                  <v:fill on="t" opacity="0f" focussize="0,0"/>
                  <v:stroke on="f"/>
                  <v:imagedata o:title=""/>
                  <o:lock v:ext="edit" aspectratio="f"/>
                  <v:textbox>
                    <w:txbxContent>
                      <w:p>
                        <w:pPr>
                          <w:jc w:val="center"/>
                          <w:rPr>
                            <w:b/>
                            <w:szCs w:val="21"/>
                          </w:rPr>
                        </w:pPr>
                        <w:r>
                          <w:rPr>
                            <w:rFonts w:hint="eastAsia"/>
                            <w:sz w:val="24"/>
                          </w:rPr>
                          <w:t>末端硬件系统</w:t>
                        </w:r>
                      </w:p>
                    </w:txbxContent>
                  </v:textbox>
                </v:rect>
                <v:shape id="AutoShape 29" o:spid="_x0000_s1026" o:spt="32" type="#_x0000_t32" style="position:absolute;left:5278;top:9477;height:386;width:0;" filled="f" stroked="t" coordsize="21600,21600" o:gfxdata="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wGIPvQAA&#10;ANsAAAAPAAAAAAAAAAEAIAAAACIAAABkcnMvZG93bnJldi54bWxQSwECFAAUAAAACACHTuJAMy8F&#10;njsAAAA5AAAAEAAAAAAAAAABACAAAAAMAQAAZHJzL3NoYXBleG1sLnhtbFBLBQYAAAAABgAGAFsB&#10;AAC2AwAAAAA=&#10;">
                  <v:fill on="f" focussize="0,0"/>
                  <v:stroke color="#000000" joinstyle="round" startarrow="block" endarrow="block"/>
                  <v:imagedata o:title=""/>
                  <o:lock v:ext="edit" aspectratio="f"/>
                </v:shape>
                <v:rect id="Rectangle 8" o:spid="_x0000_s1026" o:spt="1" style="position:absolute;left:6382;top:6608;height:1242;width:1554;" fillcolor="#CCFFFF" filled="t" stroked="t" coordsize="21600,21600" o:gfxdata="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9ACvK/&#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b/>
                            <w:szCs w:val="21"/>
                          </w:rPr>
                        </w:pPr>
                        <w:r>
                          <w:rPr>
                            <w:rFonts w:hint="eastAsia"/>
                            <w:b/>
                            <w:szCs w:val="21"/>
                          </w:rPr>
                          <w:t>用冷计费控制子系统</w:t>
                        </w:r>
                      </w:p>
                    </w:txbxContent>
                  </v:textbox>
                </v:rect>
                <v:shape id="AutoShape 18" o:spid="_x0000_s1026" o:spt="32" type="#_x0000_t32" style="position:absolute;left:7220;top:7876;flip:x;height:1153;width:6;" filled="f" stroked="t" coordsize="21600,21600" o:gfxdata="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5IdU+7UAAADbAAAADwAA&#10;AAAAAAABACAAAAAiAAAAZHJzL2Rvd25yZXYueG1sUEsBAhQAFAAAAAgAh07iQDMvBZ47AAAAOQAA&#10;ABAAAAAAAAAAAQAgAAAABAEAAGRycy9zaGFwZXhtbC54bWxQSwUGAAAAAAYABgBbAQAArgMAAAAA&#10;">
                  <v:fill on="f" focussize="0,0"/>
                  <v:stroke color="#000000" joinstyle="round" startarrow="block" endarrow="block"/>
                  <v:imagedata o:title=""/>
                  <o:lock v:ext="edit" aspectratio="f"/>
                </v:shape>
                <v:shape id="AutoShape 18" o:spid="_x0000_s1026" o:spt="32" type="#_x0000_t32" style="position:absolute;left:7159;top:6044;height:564;width:0;" filled="f" stroked="t" coordsize="21600,21600" o:gfxdata="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5f9n28AAAA&#10;2wAAAA8AAAAAAAAAAQAgAAAAIgAAAGRycy9kb3ducmV2LnhtbFBLAQIUABQAAAAIAIdO4kAzLwWe&#10;OwAAADkAAAAQAAAAAAAAAAEAIAAAAAsBAABkcnMvc2hhcGV4bWwueG1sUEsFBgAAAAAGAAYAWwEA&#10;ALUDAAAAAA==&#10;">
                  <v:fill on="f" focussize="0,0"/>
                  <v:stroke color="#000000" joinstyle="round" startarrow="block" endarrow="block"/>
                  <v:imagedata o:title=""/>
                  <o:lock v:ext="edit" aspectratio="f"/>
                </v:shape>
                <v:rect id="Rectangle 11" o:spid="_x0000_s1026" o:spt="1" style="position:absolute;left:2329;top:9862;height:375;width:5922;" fillcolor="#CCFFFF" filled="t" stroked="t" coordsize="21600,21600" o:gfxdata="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wBF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b/>
                            <w:szCs w:val="21"/>
                          </w:rPr>
                        </w:pPr>
                        <w:r>
                          <w:rPr>
                            <w:b/>
                            <w:szCs w:val="21"/>
                          </w:rPr>
                          <w:t>串口服务器</w:t>
                        </w:r>
                      </w:p>
                    </w:txbxContent>
                  </v:textbox>
                </v:rect>
                <v:rect id="Rectangle 11" o:spid="_x0000_s1026" o:spt="1" style="position:absolute;left:2294;top:10621;height:389;width:5922;" fillcolor="#CCFFFF" filled="t" stroked="t" coordsize="21600,21600" o:gfxdata="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8oc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b/>
                            <w:szCs w:val="21"/>
                          </w:rPr>
                        </w:pPr>
                        <w:r>
                          <w:rPr>
                            <w:rFonts w:hint="eastAsia"/>
                            <w:b/>
                            <w:szCs w:val="21"/>
                          </w:rPr>
                          <w:t>空调计量采集器</w:t>
                        </w:r>
                      </w:p>
                    </w:txbxContent>
                  </v:textbox>
                </v:rect>
                <v:shape id="AutoShape 29" o:spid="_x0000_s1026" o:spt="32" type="#_x0000_t32" style="position:absolute;left:5296;top:10237;height:386;width:0;" filled="f" stroked="t" coordsize="21600,21600" o:gfxdata="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i8tG8AAAA&#10;2wAAAA8AAAAAAAAAAQAgAAAAIgAAAGRycy9kb3ducmV2LnhtbFBLAQIUABQAAAAIAIdO4kAzLwWe&#10;OwAAADkAAAAQAAAAAAAAAAEAIAAAAAsBAABkcnMvc2hhcGV4bWwueG1sUEsFBgAAAAAGAAYAWwEA&#10;ALUDAAAAAA==&#10;">
                  <v:fill on="f" focussize="0,0"/>
                  <v:stroke color="#000000" joinstyle="round" startarrow="block" endarrow="block"/>
                  <v:imagedata o:title=""/>
                  <o:lock v:ext="edit" aspectratio="f"/>
                </v:shape>
                <w10:wrap type="none"/>
                <w10:anchorlock/>
              </v:group>
            </w:pict>
          </mc:Fallback>
        </mc:AlternateContent>
      </w:r>
    </w:p>
    <w:p>
      <w:pPr>
        <w:jc w:val="center"/>
        <w:rPr>
          <w:rFonts w:ascii="宋体" w:hAnsi="宋体" w:eastAsia="宋体" w:cs="宋体"/>
          <w:sz w:val="24"/>
          <w:szCs w:val="24"/>
          <w:highlight w:val="none"/>
        </w:rPr>
      </w:pPr>
      <w:r>
        <w:rPr>
          <w:rFonts w:hint="eastAsia" w:ascii="宋体" w:hAnsi="宋体" w:eastAsia="宋体" w:cs="宋体"/>
          <w:sz w:val="24"/>
          <w:szCs w:val="24"/>
          <w:highlight w:val="none"/>
        </w:rPr>
        <w:t>图1软件功能结构图</w:t>
      </w:r>
    </w:p>
    <w:p>
      <w:pPr>
        <w:jc w:val="center"/>
        <w:rPr>
          <w:rFonts w:ascii="宋体" w:hAnsi="宋体" w:eastAsia="宋体" w:cs="宋体"/>
          <w:sz w:val="24"/>
          <w:szCs w:val="24"/>
          <w:highlight w:val="none"/>
        </w:rPr>
      </w:pPr>
    </w:p>
    <w:p>
      <w:pPr>
        <w:jc w:val="center"/>
        <w:rPr>
          <w:rFonts w:ascii="宋体" w:hAnsi="宋体" w:eastAsia="宋体" w:cs="宋体"/>
          <w:sz w:val="24"/>
          <w:szCs w:val="24"/>
          <w:highlight w:val="none"/>
        </w:rPr>
      </w:pPr>
    </w:p>
    <w:p>
      <w:pPr>
        <w:jc w:val="center"/>
        <w:rPr>
          <w:rFonts w:ascii="宋体" w:hAnsi="宋体" w:eastAsia="宋体" w:cs="宋体"/>
          <w:sz w:val="24"/>
          <w:szCs w:val="24"/>
          <w:highlight w:val="none"/>
        </w:rPr>
      </w:pPr>
      <w:r>
        <w:rPr>
          <w:rFonts w:hint="eastAsia" w:ascii="宋体" w:hAnsi="宋体" w:eastAsia="宋体" w:cs="宋体"/>
          <w:sz w:val="24"/>
          <w:szCs w:val="24"/>
          <w:highlight w:val="none"/>
        </w:rPr>
        <w:drawing>
          <wp:inline distT="0" distB="0" distL="0" distR="0">
            <wp:extent cx="4661535" cy="3252470"/>
            <wp:effectExtent l="0" t="0" r="5715" b="5080"/>
            <wp:docPr id="4" name="图片 4" descr="C:\Users\Yoga 260\Desktop\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Yoga 260\Desktop\无标题.png"/>
                    <pic:cNvPicPr>
                      <a:picLocks noChangeAspect="1" noChangeArrowheads="1"/>
                    </pic:cNvPicPr>
                  </pic:nvPicPr>
                  <pic:blipFill>
                    <a:blip r:embed="rId6" cstate="print"/>
                    <a:srcRect/>
                    <a:stretch>
                      <a:fillRect/>
                    </a:stretch>
                  </pic:blipFill>
                  <pic:spPr>
                    <a:xfrm>
                      <a:off x="0" y="0"/>
                      <a:ext cx="4661535" cy="3252470"/>
                    </a:xfrm>
                    <a:prstGeom prst="rect">
                      <a:avLst/>
                    </a:prstGeom>
                    <a:noFill/>
                    <a:ln w="9525">
                      <a:noFill/>
                      <a:miter lim="800000"/>
                      <a:headEnd/>
                      <a:tailEnd/>
                    </a:ln>
                  </pic:spPr>
                </pic:pic>
              </a:graphicData>
            </a:graphic>
          </wp:inline>
        </w:drawing>
      </w:r>
    </w:p>
    <w:p>
      <w:pPr>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图2硬件架构图</w:t>
      </w:r>
    </w:p>
    <w:p>
      <w:pPr>
        <w:rPr>
          <w:rFonts w:ascii="宋体" w:hAnsi="宋体" w:eastAsia="宋体" w:cs="宋体"/>
          <w:sz w:val="24"/>
          <w:szCs w:val="24"/>
          <w:highlight w:val="none"/>
        </w:rPr>
        <w:sectPr>
          <w:footerReference r:id="rId3" w:type="default"/>
          <w:pgSz w:w="11906" w:h="16838"/>
          <w:pgMar w:top="1440" w:right="1800" w:bottom="1440" w:left="1800" w:header="851" w:footer="992" w:gutter="0"/>
          <w:cols w:space="425" w:num="1"/>
          <w:docGrid w:type="lines" w:linePitch="312" w:charSpace="0"/>
        </w:sectPr>
      </w:pPr>
    </w:p>
    <w:p>
      <w:pPr>
        <w:rPr>
          <w:rFonts w:ascii="宋体" w:hAnsi="宋体" w:eastAsia="宋体" w:cs="宋体"/>
          <w:sz w:val="24"/>
          <w:szCs w:val="24"/>
          <w:highlight w:val="none"/>
        </w:rPr>
      </w:pPr>
      <w:r>
        <w:rPr>
          <w:rFonts w:hint="eastAsia" w:ascii="宋体" w:hAnsi="宋体" w:eastAsia="宋体" w:cs="宋体"/>
          <w:sz w:val="24"/>
          <w:szCs w:val="24"/>
          <w:highlight w:val="none"/>
        </w:rPr>
        <w:t>3、实施的步骤。</w:t>
      </w:r>
    </w:p>
    <w:p>
      <w:pPr>
        <w:rPr>
          <w:rFonts w:ascii="宋体" w:hAnsi="宋体" w:eastAsia="宋体" w:cs="宋体"/>
          <w:bCs/>
          <w:color w:val="333333"/>
          <w:sz w:val="24"/>
          <w:szCs w:val="24"/>
          <w:highlight w:val="none"/>
        </w:rPr>
      </w:pPr>
      <w:r>
        <w:rPr>
          <w:rFonts w:hint="eastAsia" w:ascii="宋体" w:hAnsi="宋体" w:eastAsia="宋体" w:cs="宋体"/>
          <w:bCs/>
          <w:color w:val="333333"/>
          <w:sz w:val="24"/>
          <w:szCs w:val="24"/>
          <w:highlight w:val="none"/>
        </w:rPr>
        <w:t>1）主要工作内容</w:t>
      </w:r>
    </w:p>
    <w:p>
      <w:pPr>
        <w:rPr>
          <w:rFonts w:ascii="宋体" w:hAnsi="宋体" w:eastAsia="宋体" w:cs="宋体"/>
          <w:bCs/>
          <w:color w:val="333333"/>
          <w:sz w:val="24"/>
          <w:szCs w:val="24"/>
          <w:highlight w:val="none"/>
        </w:rPr>
      </w:pPr>
      <w:r>
        <w:rPr>
          <w:rFonts w:hint="eastAsia" w:ascii="宋体" w:hAnsi="宋体" w:eastAsia="宋体" w:cs="宋体"/>
          <w:bCs/>
          <w:color w:val="333333"/>
          <w:sz w:val="24"/>
          <w:szCs w:val="24"/>
          <w:highlight w:val="none"/>
        </w:rPr>
        <w:t>a）研发</w:t>
      </w:r>
      <w:r>
        <w:rPr>
          <w:rFonts w:hint="eastAsia" w:ascii="宋体" w:hAnsi="宋体" w:eastAsia="宋体" w:cs="宋体"/>
          <w:bCs/>
          <w:sz w:val="24"/>
          <w:szCs w:val="24"/>
          <w:highlight w:val="none"/>
        </w:rPr>
        <w:t>新型物联网中央空调计时型温控器终端硬件</w:t>
      </w:r>
      <w:r>
        <w:rPr>
          <w:rFonts w:hint="eastAsia" w:ascii="宋体" w:hAnsi="宋体" w:eastAsia="宋体" w:cs="宋体"/>
          <w:bCs/>
          <w:color w:val="333333"/>
          <w:sz w:val="24"/>
          <w:szCs w:val="24"/>
          <w:highlight w:val="none"/>
        </w:rPr>
        <w:t>；</w:t>
      </w:r>
    </w:p>
    <w:p>
      <w:pPr>
        <w:rPr>
          <w:rFonts w:ascii="宋体" w:hAnsi="宋体" w:eastAsia="宋体" w:cs="宋体"/>
          <w:bCs/>
          <w:color w:val="333333"/>
          <w:sz w:val="24"/>
          <w:szCs w:val="24"/>
          <w:highlight w:val="none"/>
        </w:rPr>
      </w:pPr>
      <w:r>
        <w:rPr>
          <w:rFonts w:hint="eastAsia" w:ascii="宋体" w:hAnsi="宋体" w:eastAsia="宋体" w:cs="宋体"/>
          <w:bCs/>
          <w:color w:val="333333"/>
          <w:sz w:val="24"/>
          <w:szCs w:val="24"/>
          <w:highlight w:val="none"/>
        </w:rPr>
        <w:t>b)</w:t>
      </w:r>
      <w:r>
        <w:rPr>
          <w:rFonts w:hint="eastAsia" w:ascii="宋体" w:hAnsi="宋体" w:eastAsia="宋体" w:cs="宋体"/>
          <w:bCs/>
          <w:color w:val="333333"/>
          <w:sz w:val="24"/>
          <w:szCs w:val="24"/>
          <w:highlight w:val="none"/>
        </w:rPr>
        <w:tab/>
      </w:r>
      <w:r>
        <w:rPr>
          <w:rFonts w:hint="eastAsia" w:ascii="宋体" w:hAnsi="宋体" w:eastAsia="宋体" w:cs="宋体"/>
          <w:bCs/>
          <w:color w:val="333333"/>
          <w:sz w:val="24"/>
          <w:szCs w:val="24"/>
          <w:highlight w:val="none"/>
        </w:rPr>
        <w:t>研发云平台软件系统的对接；</w:t>
      </w:r>
    </w:p>
    <w:p>
      <w:pPr>
        <w:rPr>
          <w:rFonts w:ascii="宋体" w:hAnsi="宋体" w:eastAsia="宋体" w:cs="宋体"/>
          <w:bCs/>
          <w:color w:val="333333"/>
          <w:sz w:val="24"/>
          <w:szCs w:val="24"/>
          <w:highlight w:val="none"/>
        </w:rPr>
      </w:pPr>
      <w:r>
        <w:rPr>
          <w:rFonts w:hint="eastAsia" w:ascii="宋体" w:hAnsi="宋体" w:eastAsia="宋体" w:cs="宋体"/>
          <w:bCs/>
          <w:color w:val="333333"/>
          <w:sz w:val="24"/>
          <w:szCs w:val="24"/>
          <w:highlight w:val="none"/>
        </w:rPr>
        <w:t>c）生产500个样机。</w:t>
      </w:r>
    </w:p>
    <w:p>
      <w:pPr>
        <w:rPr>
          <w:rFonts w:ascii="宋体" w:hAnsi="宋体" w:eastAsia="宋体" w:cs="宋体"/>
          <w:bCs/>
          <w:color w:val="333333"/>
          <w:sz w:val="24"/>
          <w:szCs w:val="24"/>
          <w:highlight w:val="none"/>
        </w:rPr>
      </w:pPr>
      <w:r>
        <w:rPr>
          <w:rFonts w:hint="eastAsia" w:ascii="宋体" w:hAnsi="宋体" w:eastAsia="宋体" w:cs="宋体"/>
          <w:bCs/>
          <w:color w:val="333333"/>
          <w:sz w:val="24"/>
          <w:szCs w:val="24"/>
          <w:highlight w:val="none"/>
        </w:rPr>
        <w:t>2）施工地点和数量</w:t>
      </w:r>
    </w:p>
    <w:p>
      <w:pPr>
        <w:rPr>
          <w:rFonts w:ascii="宋体" w:hAnsi="宋体" w:eastAsia="宋体" w:cs="宋体"/>
          <w:sz w:val="24"/>
          <w:szCs w:val="24"/>
          <w:highlight w:val="none"/>
        </w:rPr>
      </w:pPr>
      <w:r>
        <w:rPr>
          <w:rFonts w:hint="eastAsia" w:ascii="宋体" w:hAnsi="宋体" w:eastAsia="宋体" w:cs="宋体"/>
          <w:sz w:val="24"/>
          <w:szCs w:val="24"/>
          <w:highlight w:val="none"/>
        </w:rPr>
        <w:t>广州大学城信息枢纽楼500台新型物联网中央空调计费器的研发</w:t>
      </w:r>
    </w:p>
    <w:p>
      <w:pPr>
        <w:rPr>
          <w:rFonts w:ascii="宋体" w:hAnsi="宋体" w:eastAsia="宋体" w:cs="宋体"/>
          <w:sz w:val="24"/>
          <w:szCs w:val="24"/>
          <w:highlight w:val="none"/>
        </w:rPr>
      </w:pPr>
    </w:p>
    <w:p>
      <w:pPr>
        <w:rPr>
          <w:rFonts w:ascii="宋体" w:hAnsi="宋体" w:eastAsia="宋体" w:cs="宋体"/>
          <w:sz w:val="24"/>
          <w:szCs w:val="24"/>
          <w:highlight w:val="none"/>
        </w:rPr>
      </w:pPr>
      <w:r>
        <w:rPr>
          <w:rFonts w:hint="eastAsia" w:ascii="宋体" w:hAnsi="宋体" w:eastAsia="宋体" w:cs="宋体"/>
          <w:sz w:val="24"/>
          <w:szCs w:val="24"/>
          <w:highlight w:val="none"/>
        </w:rPr>
        <w:t>4、技术改造施工的工期。</w:t>
      </w:r>
    </w:p>
    <w:p>
      <w:pPr>
        <w:rPr>
          <w:rFonts w:ascii="宋体" w:hAnsi="宋体" w:eastAsia="宋体" w:cs="宋体"/>
          <w:bCs/>
          <w:color w:val="333333"/>
          <w:sz w:val="24"/>
          <w:szCs w:val="24"/>
          <w:highlight w:val="none"/>
        </w:rPr>
      </w:pPr>
      <w:r>
        <w:rPr>
          <w:rFonts w:hint="eastAsia" w:ascii="宋体" w:hAnsi="宋体" w:eastAsia="宋体" w:cs="宋体"/>
          <w:bCs/>
          <w:color w:val="333333"/>
          <w:sz w:val="24"/>
          <w:szCs w:val="24"/>
          <w:highlight w:val="none"/>
        </w:rPr>
        <w:t>工期为6</w:t>
      </w:r>
      <w:r>
        <w:rPr>
          <w:rFonts w:ascii="宋体" w:hAnsi="宋体" w:eastAsia="宋体" w:cs="宋体"/>
          <w:bCs/>
          <w:color w:val="333333"/>
          <w:sz w:val="24"/>
          <w:szCs w:val="24"/>
          <w:highlight w:val="none"/>
        </w:rPr>
        <w:t>0</w:t>
      </w:r>
      <w:r>
        <w:rPr>
          <w:rFonts w:hint="eastAsia" w:ascii="宋体" w:hAnsi="宋体" w:eastAsia="宋体" w:cs="宋体"/>
          <w:bCs/>
          <w:color w:val="333333"/>
          <w:sz w:val="24"/>
          <w:szCs w:val="24"/>
          <w:highlight w:val="none"/>
        </w:rPr>
        <w:t>个自然日。</w:t>
      </w:r>
    </w:p>
    <w:p>
      <w:pPr>
        <w:rPr>
          <w:rFonts w:ascii="宋体" w:hAnsi="宋体" w:eastAsia="宋体" w:cs="宋体"/>
          <w:bCs/>
          <w:color w:val="333333"/>
          <w:sz w:val="24"/>
          <w:szCs w:val="24"/>
          <w:highlight w:val="none"/>
        </w:rPr>
      </w:pPr>
    </w:p>
    <w:p>
      <w:pPr>
        <w:rPr>
          <w:rFonts w:ascii="宋体" w:hAnsi="宋体" w:eastAsia="宋体" w:cs="宋体"/>
          <w:sz w:val="24"/>
          <w:szCs w:val="24"/>
          <w:highlight w:val="none"/>
        </w:rPr>
      </w:pPr>
      <w:r>
        <w:rPr>
          <w:rFonts w:hint="eastAsia" w:ascii="宋体" w:hAnsi="宋体" w:eastAsia="宋体" w:cs="宋体"/>
          <w:sz w:val="24"/>
          <w:szCs w:val="24"/>
          <w:highlight w:val="none"/>
        </w:rPr>
        <w:t>5、技术改造施工对运行的影响及安全重点注意事项。</w:t>
      </w:r>
    </w:p>
    <w:p>
      <w:pPr>
        <w:rPr>
          <w:rFonts w:ascii="宋体" w:hAnsi="宋体" w:eastAsia="宋体" w:cs="宋体"/>
          <w:bCs/>
          <w:color w:val="333333"/>
          <w:sz w:val="24"/>
          <w:szCs w:val="24"/>
          <w:highlight w:val="none"/>
        </w:rPr>
      </w:pPr>
      <w:r>
        <w:rPr>
          <w:rFonts w:hint="eastAsia" w:ascii="宋体" w:hAnsi="宋体" w:eastAsia="宋体" w:cs="宋体"/>
          <w:bCs/>
          <w:color w:val="333333"/>
          <w:sz w:val="24"/>
          <w:szCs w:val="24"/>
          <w:highlight w:val="none"/>
        </w:rPr>
        <w:t>a)</w:t>
      </w:r>
      <w:r>
        <w:rPr>
          <w:rFonts w:hint="eastAsia" w:ascii="宋体" w:hAnsi="宋体" w:eastAsia="宋体" w:cs="宋体"/>
          <w:bCs/>
          <w:color w:val="333333"/>
          <w:sz w:val="24"/>
          <w:szCs w:val="24"/>
          <w:highlight w:val="none"/>
        </w:rPr>
        <w:tab/>
      </w:r>
      <w:r>
        <w:rPr>
          <w:rFonts w:hint="eastAsia" w:ascii="宋体" w:hAnsi="宋体" w:eastAsia="宋体" w:cs="宋体"/>
          <w:bCs/>
          <w:color w:val="333333"/>
          <w:sz w:val="24"/>
          <w:szCs w:val="24"/>
          <w:highlight w:val="none"/>
        </w:rPr>
        <w:t>中央空调面板与机组会停止运行，所以空调暂时无法使用；</w:t>
      </w:r>
    </w:p>
    <w:p>
      <w:pPr>
        <w:rPr>
          <w:rFonts w:ascii="宋体" w:hAnsi="宋体" w:eastAsia="宋体" w:cs="宋体"/>
          <w:bCs/>
          <w:color w:val="333333"/>
          <w:sz w:val="24"/>
          <w:szCs w:val="24"/>
          <w:highlight w:val="none"/>
        </w:rPr>
      </w:pPr>
      <w:r>
        <w:rPr>
          <w:rFonts w:hint="eastAsia" w:ascii="宋体" w:hAnsi="宋体" w:eastAsia="宋体" w:cs="宋体"/>
          <w:bCs/>
          <w:color w:val="333333"/>
          <w:sz w:val="24"/>
          <w:szCs w:val="24"/>
          <w:highlight w:val="none"/>
        </w:rPr>
        <w:t>b)</w:t>
      </w:r>
      <w:r>
        <w:rPr>
          <w:rFonts w:hint="eastAsia" w:ascii="宋体" w:hAnsi="宋体" w:eastAsia="宋体" w:cs="宋体"/>
          <w:bCs/>
          <w:color w:val="333333"/>
          <w:sz w:val="24"/>
          <w:szCs w:val="24"/>
          <w:highlight w:val="none"/>
        </w:rPr>
        <w:tab/>
      </w:r>
      <w:r>
        <w:rPr>
          <w:rFonts w:hint="eastAsia" w:ascii="宋体" w:hAnsi="宋体" w:eastAsia="宋体" w:cs="宋体"/>
          <w:bCs/>
          <w:color w:val="333333"/>
          <w:sz w:val="24"/>
          <w:szCs w:val="24"/>
          <w:highlight w:val="none"/>
        </w:rPr>
        <w:t>部分线路有可能发生不间断的断电上电，安装时需要确保开关在断开状态；</w:t>
      </w:r>
    </w:p>
    <w:p>
      <w:pPr>
        <w:rPr>
          <w:rFonts w:ascii="宋体" w:hAnsi="宋体" w:eastAsia="宋体" w:cs="宋体"/>
          <w:bCs/>
          <w:color w:val="333333"/>
          <w:sz w:val="24"/>
          <w:szCs w:val="24"/>
          <w:highlight w:val="none"/>
        </w:rPr>
      </w:pPr>
      <w:r>
        <w:rPr>
          <w:rFonts w:hint="eastAsia" w:ascii="宋体" w:hAnsi="宋体" w:eastAsia="宋体" w:cs="宋体"/>
          <w:bCs/>
          <w:color w:val="333333"/>
          <w:sz w:val="24"/>
          <w:szCs w:val="24"/>
          <w:highlight w:val="none"/>
        </w:rPr>
        <w:t>c)</w:t>
      </w:r>
      <w:r>
        <w:rPr>
          <w:rFonts w:hint="eastAsia" w:ascii="宋体" w:hAnsi="宋体" w:eastAsia="宋体" w:cs="宋体"/>
          <w:bCs/>
          <w:color w:val="333333"/>
          <w:sz w:val="24"/>
          <w:szCs w:val="24"/>
          <w:highlight w:val="none"/>
        </w:rPr>
        <w:tab/>
      </w:r>
      <w:r>
        <w:rPr>
          <w:rFonts w:hint="eastAsia" w:ascii="宋体" w:hAnsi="宋体" w:eastAsia="宋体" w:cs="宋体"/>
          <w:bCs/>
          <w:color w:val="333333"/>
          <w:sz w:val="24"/>
          <w:szCs w:val="24"/>
          <w:highlight w:val="none"/>
        </w:rPr>
        <w:t>施工人员需要工具配合钻孔，部分地点噪音大；</w:t>
      </w:r>
    </w:p>
    <w:p>
      <w:pPr>
        <w:widowControl/>
        <w:jc w:val="left"/>
        <w:rPr>
          <w:rFonts w:hint="eastAsia" w:ascii="宋体" w:hAnsi="宋体" w:eastAsia="宋体" w:cs="宋体"/>
          <w:bCs/>
          <w:color w:val="333333"/>
          <w:sz w:val="24"/>
          <w:szCs w:val="24"/>
          <w:highlight w:val="none"/>
        </w:rPr>
      </w:pPr>
      <w:r>
        <w:rPr>
          <w:rFonts w:hint="eastAsia" w:ascii="宋体" w:hAnsi="宋体" w:eastAsia="宋体" w:cs="宋体"/>
          <w:bCs/>
          <w:color w:val="333333"/>
          <w:sz w:val="24"/>
          <w:szCs w:val="24"/>
          <w:highlight w:val="none"/>
        </w:rPr>
        <w:t>d)</w:t>
      </w:r>
      <w:r>
        <w:rPr>
          <w:rFonts w:hint="eastAsia" w:ascii="宋体" w:hAnsi="宋体" w:eastAsia="宋体" w:cs="宋体"/>
          <w:bCs/>
          <w:color w:val="333333"/>
          <w:sz w:val="24"/>
          <w:szCs w:val="24"/>
          <w:highlight w:val="none"/>
        </w:rPr>
        <w:tab/>
      </w:r>
      <w:r>
        <w:rPr>
          <w:rFonts w:hint="eastAsia" w:ascii="宋体" w:hAnsi="宋体" w:eastAsia="宋体" w:cs="宋体"/>
          <w:bCs/>
          <w:color w:val="333333"/>
          <w:sz w:val="24"/>
          <w:szCs w:val="24"/>
          <w:highlight w:val="none"/>
        </w:rPr>
        <w:t>施工过程中，有几率发生线缆遗留，设备故障及失灵等情况；</w:t>
      </w:r>
    </w:p>
    <w:p>
      <w:pPr>
        <w:widowControl/>
        <w:jc w:val="left"/>
        <w:rPr>
          <w:rFonts w:hint="eastAsia" w:ascii="宋体" w:hAnsi="宋体" w:eastAsia="宋体" w:cs="宋体"/>
          <w:bCs/>
          <w:color w:val="333333"/>
          <w:sz w:val="24"/>
          <w:szCs w:val="24"/>
          <w:highlight w:val="none"/>
        </w:rPr>
      </w:pPr>
    </w:p>
    <w:p>
      <w:pPr>
        <w:widowControl/>
        <w:jc w:val="left"/>
        <w:rPr>
          <w:rFonts w:ascii="宋体" w:hAnsi="宋体" w:eastAsia="宋体" w:cs="宋体"/>
          <w:sz w:val="24"/>
          <w:szCs w:val="24"/>
          <w:highlight w:val="none"/>
        </w:rPr>
      </w:pPr>
      <w:r>
        <w:rPr>
          <w:rFonts w:hint="eastAsia" w:ascii="宋体" w:hAnsi="宋体" w:eastAsia="宋体" w:cs="宋体"/>
          <w:b/>
          <w:sz w:val="24"/>
          <w:szCs w:val="24"/>
          <w:highlight w:val="none"/>
        </w:rPr>
        <w:t>三、</w:t>
      </w:r>
      <w:bookmarkStart w:id="9" w:name="_Toc253755474"/>
      <w:bookmarkStart w:id="10" w:name="_Toc269801501"/>
      <w:r>
        <w:rPr>
          <w:rFonts w:hint="eastAsia" w:ascii="宋体" w:hAnsi="宋体" w:eastAsia="宋体" w:cs="宋体"/>
          <w:b/>
          <w:sz w:val="24"/>
          <w:szCs w:val="24"/>
          <w:highlight w:val="none"/>
        </w:rPr>
        <w:t>主要设备技术指标</w:t>
      </w:r>
      <w:bookmarkStart w:id="11" w:name="_Toc407611892"/>
      <w:r>
        <w:rPr>
          <w:rFonts w:hint="eastAsia" w:ascii="宋体" w:hAnsi="宋体" w:eastAsia="宋体" w:cs="宋体"/>
          <w:b/>
          <w:sz w:val="24"/>
          <w:szCs w:val="24"/>
          <w:highlight w:val="none"/>
        </w:rPr>
        <w:t>（带</w:t>
      </w:r>
      <w:r>
        <w:rPr>
          <w:rFonts w:hint="eastAsia" w:ascii="宋体" w:hAnsi="宋体" w:eastAsia="宋体" w:cs="宋体"/>
          <w:b/>
          <w:color w:val="000000"/>
          <w:sz w:val="24"/>
          <w:szCs w:val="24"/>
          <w:highlight w:val="none"/>
        </w:rPr>
        <w:t>★号为必要条件</w:t>
      </w:r>
      <w:r>
        <w:rPr>
          <w:rFonts w:hint="eastAsia" w:ascii="宋体" w:hAnsi="宋体" w:eastAsia="宋体" w:cs="宋体"/>
          <w:b/>
          <w:sz w:val="24"/>
          <w:szCs w:val="24"/>
          <w:highlight w:val="none"/>
        </w:rPr>
        <w:t>）</w:t>
      </w:r>
    </w:p>
    <w:bookmarkEnd w:id="9"/>
    <w:bookmarkEnd w:id="10"/>
    <w:bookmarkEnd w:id="11"/>
    <w:p>
      <w:pPr>
        <w:pStyle w:val="2"/>
        <w:rPr>
          <w:rFonts w:ascii="宋体" w:hAnsi="宋体" w:eastAsia="宋体" w:cs="宋体"/>
          <w:b w:val="0"/>
          <w:sz w:val="24"/>
          <w:szCs w:val="24"/>
          <w:highlight w:val="none"/>
        </w:rPr>
      </w:pPr>
      <w:r>
        <w:rPr>
          <w:rFonts w:hint="eastAsia" w:ascii="宋体" w:hAnsi="宋体" w:eastAsia="宋体" w:cs="宋体"/>
          <w:b w:val="0"/>
          <w:sz w:val="24"/>
          <w:szCs w:val="24"/>
          <w:highlight w:val="none"/>
        </w:rPr>
        <w:t>联网计时型温控器样机参考</w:t>
      </w:r>
    </w:p>
    <w:p>
      <w:pPr>
        <w:jc w:val="center"/>
        <w:rPr>
          <w:rFonts w:ascii="宋体" w:hAnsi="宋体" w:eastAsia="宋体" w:cs="宋体"/>
          <w:sz w:val="24"/>
          <w:szCs w:val="24"/>
          <w:highlight w:val="none"/>
        </w:rPr>
      </w:pPr>
      <w:r>
        <w:rPr>
          <w:rFonts w:hint="eastAsia" w:ascii="宋体" w:hAnsi="宋体" w:eastAsia="宋体" w:cs="宋体"/>
          <w:sz w:val="24"/>
          <w:szCs w:val="24"/>
          <w:highlight w:val="none"/>
        </w:rPr>
        <w:drawing>
          <wp:inline distT="0" distB="0" distL="0" distR="0">
            <wp:extent cx="3086100" cy="3004820"/>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srcRect/>
                    <a:stretch>
                      <a:fillRect/>
                    </a:stretch>
                  </pic:blipFill>
                  <pic:spPr>
                    <a:xfrm>
                      <a:off x="0" y="0"/>
                      <a:ext cx="3086100" cy="3004820"/>
                    </a:xfrm>
                    <a:prstGeom prst="rect">
                      <a:avLst/>
                    </a:prstGeom>
                    <a:noFill/>
                    <a:ln w="9525">
                      <a:noFill/>
                      <a:miter lim="800000"/>
                      <a:headEnd/>
                      <a:tailEnd/>
                    </a:ln>
                  </pic:spPr>
                </pic:pic>
              </a:graphicData>
            </a:graphic>
          </wp:inline>
        </w:drawing>
      </w:r>
    </w:p>
    <w:p>
      <w:pPr>
        <w:rPr>
          <w:rFonts w:ascii="宋体" w:hAnsi="宋体" w:eastAsia="宋体" w:cs="宋体"/>
          <w:sz w:val="24"/>
          <w:szCs w:val="24"/>
          <w:highlight w:val="none"/>
        </w:rPr>
      </w:pPr>
    </w:p>
    <w:p>
      <w:pPr>
        <w:rPr>
          <w:rFonts w:ascii="宋体" w:hAnsi="宋体" w:eastAsia="宋体" w:cs="宋体"/>
          <w:sz w:val="24"/>
          <w:szCs w:val="24"/>
          <w:highlight w:val="none"/>
        </w:rPr>
      </w:pPr>
      <w:r>
        <w:rPr>
          <w:rFonts w:hint="eastAsia" w:ascii="宋体" w:hAnsi="宋体" w:eastAsia="宋体" w:cs="宋体"/>
          <w:sz w:val="24"/>
          <w:szCs w:val="24"/>
          <w:highlight w:val="none"/>
        </w:rPr>
        <w:t>(1)工作原理</w:t>
      </w:r>
    </w:p>
    <w:p>
      <w:pPr>
        <w:spacing w:line="360" w:lineRule="auto"/>
        <w:ind w:firstLine="600" w:firstLineChars="250"/>
        <w:rPr>
          <w:rFonts w:ascii="宋体" w:hAnsi="宋体" w:eastAsia="宋体" w:cs="宋体"/>
          <w:sz w:val="24"/>
          <w:szCs w:val="24"/>
          <w:highlight w:val="none"/>
        </w:rPr>
      </w:pPr>
      <w:r>
        <w:rPr>
          <w:rFonts w:hint="eastAsia" w:ascii="宋体" w:hAnsi="宋体" w:eastAsia="宋体" w:cs="宋体"/>
          <w:sz w:val="24"/>
          <w:szCs w:val="24"/>
          <w:highlight w:val="none"/>
        </w:rPr>
        <w:t>中央空调联网计时型温控器采用了业界常用的《GBT 29580-2013 时间法集中空调分户计量装置》法则，在系统提供制冷（或制热）的前提下，通过采集计量风机盘管的电动二通阀的开启时间和测量风量的档次系数，并自动换算成负荷的使用量，经上位机数据处理，可实现远程抄表、数据分析、充值、低额报警、设备余额清零、费用结算、历史查询、报表打印、信息发布等功能。</w:t>
      </w:r>
    </w:p>
    <w:p>
      <w:pPr>
        <w:spacing w:line="360" w:lineRule="auto"/>
        <w:ind w:firstLine="600" w:firstLineChars="250"/>
        <w:rPr>
          <w:rFonts w:ascii="宋体" w:hAnsi="宋体" w:eastAsia="宋体" w:cs="宋体"/>
          <w:sz w:val="24"/>
          <w:szCs w:val="24"/>
          <w:highlight w:val="none"/>
        </w:rPr>
      </w:pPr>
      <w:r>
        <w:rPr>
          <w:rFonts w:hint="eastAsia" w:ascii="宋体" w:hAnsi="宋体" w:eastAsia="宋体" w:cs="宋体"/>
          <w:sz w:val="24"/>
          <w:szCs w:val="24"/>
          <w:highlight w:val="none"/>
        </w:rPr>
        <w:t>联网计时型温控器是在数字式温控器功能的基础上，结合时间计量的要求特点开发而成。因而能够在兼顾温控器功能的同时，又能实现计费的功能。联网计费型温控器的运用，为无法安装热量表的现场环境提供有效的解决方案。</w:t>
      </w:r>
    </w:p>
    <w:p>
      <w:pPr>
        <w:spacing w:line="360" w:lineRule="auto"/>
        <w:ind w:firstLine="480" w:firstLineChars="200"/>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把不同型号规格的风机档位产生的热量以一定的基数量化，并与档位风量运行的累计时间相乘，得出热能总量。依照如下公式计算热能量:</w:t>
      </w:r>
    </w:p>
    <w:p>
      <w:pPr>
        <w:spacing w:line="360" w:lineRule="auto"/>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           Q（风机盘管用户）=Σ（Pi×Ti）</w:t>
      </w:r>
    </w:p>
    <w:p>
      <w:pPr>
        <w:spacing w:line="360" w:lineRule="auto"/>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           Pi：风机盘管的档位制冷或制热功率（高、中、低档的档位制冷或制热功率）</w:t>
      </w:r>
    </w:p>
    <w:p>
      <w:pPr>
        <w:spacing w:line="360" w:lineRule="auto"/>
        <w:rPr>
          <w:rFonts w:ascii="宋体" w:hAnsi="宋体" w:eastAsia="宋体" w:cs="宋体"/>
          <w:b/>
          <w:bCs/>
          <w:color w:val="000000"/>
          <w:sz w:val="24"/>
          <w:szCs w:val="24"/>
          <w:highlight w:val="none"/>
        </w:rPr>
      </w:pPr>
      <w:r>
        <w:rPr>
          <w:rFonts w:hint="eastAsia" w:ascii="宋体" w:hAnsi="宋体" w:eastAsia="宋体" w:cs="宋体"/>
          <w:bCs/>
          <w:color w:val="000000"/>
          <w:sz w:val="24"/>
          <w:szCs w:val="24"/>
          <w:highlight w:val="none"/>
        </w:rPr>
        <w:t>Ti：风机盘管的档位运行时间（高、中、低档的档位运行时间）</w:t>
      </w:r>
    </w:p>
    <w:p>
      <w:pPr>
        <w:widowControl/>
        <w:spacing w:line="360" w:lineRule="auto"/>
        <w:ind w:left="142"/>
        <w:jc w:val="left"/>
        <w:rPr>
          <w:rFonts w:ascii="宋体" w:hAnsi="宋体" w:eastAsia="宋体" w:cs="宋体"/>
          <w:bCs/>
          <w:color w:val="000000"/>
          <w:sz w:val="24"/>
          <w:szCs w:val="24"/>
          <w:highlight w:val="none"/>
        </w:rPr>
      </w:pPr>
      <w:r>
        <w:rPr>
          <w:rFonts w:hint="eastAsia" w:ascii="宋体" w:hAnsi="宋体" w:eastAsia="宋体" w:cs="宋体"/>
          <w:b/>
          <w:color w:val="000000"/>
          <w:sz w:val="24"/>
          <w:szCs w:val="24"/>
          <w:highlight w:val="none"/>
        </w:rPr>
        <w:t>★（2）</w:t>
      </w:r>
      <w:r>
        <w:rPr>
          <w:rFonts w:hint="eastAsia" w:ascii="宋体" w:hAnsi="宋体" w:eastAsia="宋体" w:cs="宋体"/>
          <w:bCs/>
          <w:color w:val="000000"/>
          <w:sz w:val="24"/>
          <w:szCs w:val="24"/>
          <w:highlight w:val="none"/>
        </w:rPr>
        <w:t xml:space="preserve">中央空调联网计时型温控器需求： </w:t>
      </w:r>
    </w:p>
    <w:p>
      <w:pPr>
        <w:widowControl/>
        <w:spacing w:line="360" w:lineRule="auto"/>
        <w:ind w:left="284"/>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A、基本功能：</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1）电子式液晶中央空调温控器</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2）内置感温元件：NTC；</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3）可设定温度范围：5℃~35℃；</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4）控温精度：±1℃；</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5）有高、中、低、自动风速设定；</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6）自耗功率：&lt;1W；</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7）工作电压：200-240VAC，50/60HZ；</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8）负载电流：≤3A；</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9）外壳材料：PC+ABS（阻燃）；</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10）外形尺寸：86X86X13mm（标准86盒）；</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11）高中低风速三挡应具有自复位的过电流短路保护装置。</w:t>
      </w:r>
    </w:p>
    <w:p>
      <w:pPr>
        <w:widowControl/>
        <w:spacing w:line="360" w:lineRule="auto"/>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B、定制功能：</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1）通讯方式：温控器内置4G无线通信模块； </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2）前置面板激光刻印大学城能源公司商标LOGO和客服电话400-8876-540；</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3）具有记忆功能，能设定在开机状态下断电重启后选择是关机状态还是开机状态；</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4）具有远程调温功能和远程限温功能，系统下发可调温度区间命令后，则用户只能在温控器限定的温度区间进行调温，例如限定用户只能在22℃~28℃区间内调温，区间外的调温不能操作。</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5）具有远程调风速档功能和远程限风速档功能，例如系统下发限中档命令后，则用户不能操作其他档位，风速限定在中档；</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6）具有远程开关温控器功能；</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7）具有远程锁定功能，下发远程锁定命令后，除开关外其余功能全部锁定，例如禁止调温，禁止调档，用户只能开和关；</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8）具有远程禁用功能，下发远程禁用命令后，全部功能禁用，用户在温控器面板不能任何操作包括开关操作，取消禁用操作后温控器处于关机待机状态；</w:t>
      </w:r>
    </w:p>
    <w:p>
      <w:pPr>
        <w:widowControl/>
        <w:spacing w:line="360" w:lineRule="auto"/>
        <w:ind w:left="567"/>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9）液晶面板能切换显示六位数累计时间和六位数剩余时间，显示单位是小时，远程读取的单位精确到分钟；</w:t>
      </w:r>
    </w:p>
    <w:p>
      <w:pPr>
        <w:widowControl/>
        <w:spacing w:line="360" w:lineRule="auto"/>
        <w:ind w:left="426"/>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10）温控器兼容两种计时方式，风机计时和二通阀当量时间计时，可通过本地按键操作切换计时方式。风机计时方式为开机即开风机进行计时，关机即关风机结束计时，二通阀当量时间计时方式为采集二通阀通断的累计时间；</w:t>
      </w:r>
    </w:p>
    <w:p>
      <w:pPr>
        <w:widowControl/>
        <w:spacing w:line="360" w:lineRule="auto"/>
        <w:ind w:left="426"/>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11）累计时间和剩余时间都具有储存和远程读写功能，即使网络断线也不影响就地使用，累计时间为递增，剩余时间为递减，当递减为0时能自动关闭并禁用温控器；</w:t>
      </w:r>
    </w:p>
    <w:p>
      <w:pPr>
        <w:widowControl/>
        <w:spacing w:line="360" w:lineRule="auto"/>
        <w:ind w:left="426"/>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12）温控器本地能储存三挡风速系数和22℃~28℃的温度系数，能远程读写。风机计时方式的累计时间和剩余时间由高中低三挡风机运行采集时间乘以温度系数和风速系数得出，二通阀当量时间计时方式的累计时间和剩余时间由高中低三挡二通阀运行采集时间乘以风速系数得出，即得出的累计时间和剩余时间是折算成26℃低档标准节能工况下的时间； </w:t>
      </w:r>
    </w:p>
    <w:p>
      <w:pPr>
        <w:widowControl/>
        <w:spacing w:line="360" w:lineRule="auto"/>
        <w:ind w:left="426"/>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13）加密芯片功能：电源部分无法通过简单电平信号控制，需要面板进行加密数据通信，才可正常进行风机和阀门控制。</w:t>
      </w:r>
    </w:p>
    <w:p>
      <w:pPr>
        <w:widowControl/>
        <w:spacing w:line="360" w:lineRule="auto"/>
        <w:ind w:left="426"/>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14）防盗装置：温控器应具有防拆功能，内三角防盗螺丝封装或设置防盗铅封装置（专用标记及编码由中标人提供）。</w:t>
      </w:r>
    </w:p>
    <w:p>
      <w:pPr>
        <w:widowControl/>
        <w:spacing w:line="360" w:lineRule="auto"/>
        <w:ind w:left="426"/>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15）状态主动上报功能：温控器需具备定时主动上报状态的功能，方便后台查询温控器的实时状态。</w:t>
      </w:r>
    </w:p>
    <w:p>
      <w:pPr>
        <w:widowControl/>
        <w:spacing w:line="360" w:lineRule="auto"/>
        <w:ind w:left="426"/>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16）通信运营服务：本定制温控器使用的4G卡必须由当地通讯运营商提供。同时提供3年或以上物联网温控器数据通信服务（每台温控器的流量不低于500M/年）。</w:t>
      </w:r>
    </w:p>
    <w:p>
      <w:pPr>
        <w:widowControl/>
        <w:spacing w:line="360" w:lineRule="auto"/>
        <w:ind w:left="426"/>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17）备用温控器流转：购方负责拆下并邮寄到中标方进行更换或维修，来回运费由中标方负责，修复或更换的新温控器需10日内寄回采购方，时间戳点以收货时间为准。中标方免费提供2%总量温控器备表存放在采购方作维修更换流转使用，故障表由采购方寄回给中标方。</w:t>
      </w:r>
    </w:p>
    <w:p>
      <w:pPr>
        <w:widowControl/>
        <w:spacing w:line="360" w:lineRule="auto"/>
        <w:ind w:left="426"/>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18）中标方需要在合同约定时间内对接完成，满足物联网温控器管理平台软件功能要求（</w:t>
      </w:r>
      <w:r>
        <w:rPr>
          <w:rFonts w:hint="eastAsia" w:ascii="宋体" w:hAnsi="宋体" w:eastAsia="宋体" w:cs="宋体"/>
          <w:sz w:val="24"/>
          <w:szCs w:val="24"/>
          <w:highlight w:val="none"/>
        </w:rPr>
        <w:t>附件：物联网温控器管理平台软件功能介绍</w:t>
      </w:r>
      <w:r>
        <w:rPr>
          <w:rFonts w:hint="eastAsia" w:ascii="宋体" w:hAnsi="宋体" w:eastAsia="宋体" w:cs="宋体"/>
          <w:bCs/>
          <w:color w:val="000000"/>
          <w:sz w:val="24"/>
          <w:szCs w:val="24"/>
          <w:highlight w:val="none"/>
        </w:rPr>
        <w:t>）。</w:t>
      </w:r>
    </w:p>
    <w:p>
      <w:pPr>
        <w:widowControl/>
        <w:spacing w:line="360" w:lineRule="auto"/>
        <w:ind w:left="426"/>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（3）温控器质量要求</w:t>
      </w:r>
    </w:p>
    <w:p>
      <w:pPr>
        <w:widowControl/>
        <w:spacing w:line="360" w:lineRule="auto"/>
        <w:ind w:left="426"/>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本项目定制温控器要求质保期不少于（含）3年。温控器应使用寿命长、故障率低，性能稳定，质保期内发生故障，除人为破坏外，温控器故障台数占总在用温控器数量的1%/年以下。</w:t>
      </w:r>
    </w:p>
    <w:p>
      <w:pPr>
        <w:widowControl/>
        <w:spacing w:line="360" w:lineRule="auto"/>
        <w:ind w:left="426"/>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故障率考核计算公式为：</w:t>
      </w:r>
    </w:p>
    <w:p>
      <w:pPr>
        <w:widowControl/>
        <w:spacing w:line="360" w:lineRule="auto"/>
        <w:ind w:left="426"/>
        <w:jc w:val="left"/>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当年由于产品质量导致温控器故障数量/本项目共投入使用温控器的总数≤1%；</w:t>
      </w:r>
    </w:p>
    <w:p>
      <w:pPr>
        <w:spacing w:line="360" w:lineRule="auto"/>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 盘管风机接线图</w:t>
      </w:r>
    </w:p>
    <w:p>
      <w:pPr>
        <w:spacing w:before="100" w:beforeAutospacing="1" w:after="100" w:afterAutospacing="1"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drawing>
          <wp:inline distT="0" distB="0" distL="0" distR="0">
            <wp:extent cx="3070225" cy="2475230"/>
            <wp:effectExtent l="0" t="0" r="15875" b="127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noChangeArrowheads="1"/>
                    </pic:cNvPicPr>
                  </pic:nvPicPr>
                  <pic:blipFill>
                    <a:blip r:embed="rId8" cstate="print"/>
                    <a:srcRect/>
                    <a:stretch>
                      <a:fillRect/>
                    </a:stretch>
                  </pic:blipFill>
                  <pic:spPr>
                    <a:xfrm>
                      <a:off x="0" y="0"/>
                      <a:ext cx="3070225" cy="2475230"/>
                    </a:xfrm>
                    <a:prstGeom prst="rect">
                      <a:avLst/>
                    </a:prstGeom>
                    <a:noFill/>
                    <a:ln w="9525">
                      <a:noFill/>
                      <a:miter lim="800000"/>
                      <a:headEnd/>
                      <a:tailEnd/>
                    </a:ln>
                  </pic:spPr>
                </pic:pic>
              </a:graphicData>
            </a:graphic>
          </wp:inline>
        </w:drawing>
      </w:r>
      <w:bookmarkStart w:id="12" w:name="_Toc253755490"/>
      <w:bookmarkStart w:id="13" w:name="_Toc269801513"/>
      <w:bookmarkStart w:id="14" w:name="_Toc243415990"/>
      <w:bookmarkStart w:id="15" w:name="_Toc240771917"/>
    </w:p>
    <w:bookmarkEnd w:id="12"/>
    <w:bookmarkEnd w:id="13"/>
    <w:bookmarkEnd w:id="14"/>
    <w:bookmarkEnd w:id="15"/>
    <w:p>
      <w:pPr>
        <w:rPr>
          <w:rFonts w:ascii="宋体" w:hAnsi="宋体" w:eastAsia="宋体" w:cs="宋体"/>
          <w:b/>
          <w:sz w:val="24"/>
          <w:szCs w:val="24"/>
          <w:highlight w:val="none"/>
        </w:rPr>
      </w:pPr>
      <w:r>
        <w:rPr>
          <w:rFonts w:hint="eastAsia" w:ascii="宋体" w:hAnsi="宋体" w:eastAsia="宋体" w:cs="宋体"/>
          <w:b/>
          <w:sz w:val="24"/>
          <w:szCs w:val="24"/>
          <w:highlight w:val="none"/>
        </w:rPr>
        <w:t>四、技术改造费用估算</w:t>
      </w:r>
    </w:p>
    <w:tbl>
      <w:tblPr>
        <w:tblStyle w:val="16"/>
        <w:tblW w:w="10560" w:type="dxa"/>
        <w:tblInd w:w="-977" w:type="dxa"/>
        <w:tblLayout w:type="fixed"/>
        <w:tblCellMar>
          <w:top w:w="0" w:type="dxa"/>
          <w:left w:w="108" w:type="dxa"/>
          <w:bottom w:w="0" w:type="dxa"/>
          <w:right w:w="108" w:type="dxa"/>
        </w:tblCellMar>
      </w:tblPr>
      <w:tblGrid>
        <w:gridCol w:w="444"/>
        <w:gridCol w:w="1146"/>
        <w:gridCol w:w="1640"/>
        <w:gridCol w:w="621"/>
        <w:gridCol w:w="707"/>
        <w:gridCol w:w="975"/>
        <w:gridCol w:w="1104"/>
        <w:gridCol w:w="3923"/>
      </w:tblGrid>
      <w:tr>
        <w:tblPrEx>
          <w:tblCellMar>
            <w:top w:w="0" w:type="dxa"/>
            <w:left w:w="108" w:type="dxa"/>
            <w:bottom w:w="0" w:type="dxa"/>
            <w:right w:w="108" w:type="dxa"/>
          </w:tblCellMar>
        </w:tblPrEx>
        <w:trPr>
          <w:trHeight w:val="270" w:hRule="atLeast"/>
        </w:trPr>
        <w:tc>
          <w:tcPr>
            <w:tcW w:w="4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序号</w:t>
            </w:r>
          </w:p>
        </w:tc>
        <w:tc>
          <w:tcPr>
            <w:tcW w:w="11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产品名称</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产品说明</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数量</w:t>
            </w:r>
          </w:p>
        </w:tc>
        <w:tc>
          <w:tcPr>
            <w:tcW w:w="70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单位</w:t>
            </w:r>
          </w:p>
        </w:tc>
        <w:tc>
          <w:tcPr>
            <w:tcW w:w="97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预估单价（元）</w:t>
            </w:r>
          </w:p>
        </w:tc>
        <w:tc>
          <w:tcPr>
            <w:tcW w:w="11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预估总价（元）</w:t>
            </w:r>
          </w:p>
        </w:tc>
        <w:tc>
          <w:tcPr>
            <w:tcW w:w="39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备注</w:t>
            </w:r>
          </w:p>
        </w:tc>
      </w:tr>
      <w:tr>
        <w:tblPrEx>
          <w:tblCellMar>
            <w:top w:w="0" w:type="dxa"/>
            <w:left w:w="108" w:type="dxa"/>
            <w:bottom w:w="0" w:type="dxa"/>
            <w:right w:w="108" w:type="dxa"/>
          </w:tblCellMar>
        </w:tblPrEx>
        <w:trPr>
          <w:trHeight w:val="480"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新型物联网中央空调计时型温控器硬件开发</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技术指标和要求见“</w:t>
            </w:r>
            <w:r>
              <w:rPr>
                <w:rFonts w:hint="eastAsia" w:ascii="宋体" w:hAnsi="宋体" w:eastAsia="宋体" w:cs="宋体"/>
                <w:b/>
                <w:color w:val="000000"/>
                <w:sz w:val="24"/>
                <w:szCs w:val="24"/>
                <w:highlight w:val="none"/>
              </w:rPr>
              <w:t>★”</w:t>
            </w:r>
            <w:r>
              <w:rPr>
                <w:rFonts w:hint="eastAsia" w:ascii="宋体" w:hAnsi="宋体" w:eastAsia="宋体" w:cs="宋体"/>
                <w:bCs/>
                <w:color w:val="000000"/>
                <w:sz w:val="24"/>
                <w:szCs w:val="24"/>
                <w:highlight w:val="none"/>
              </w:rPr>
              <w:t>条款</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70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w:t>
            </w:r>
          </w:p>
        </w:tc>
        <w:tc>
          <w:tcPr>
            <w:tcW w:w="9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140000</w:t>
            </w:r>
          </w:p>
        </w:tc>
        <w:tc>
          <w:tcPr>
            <w:tcW w:w="1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140000</w:t>
            </w:r>
          </w:p>
        </w:tc>
        <w:tc>
          <w:tcPr>
            <w:tcW w:w="39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硬件完成开发后，中标方需提供硬件开发的所有资料，确保甲方能利用这些资料向主流制造商直接下单制造，在生产过程中中标方无偿提供技术支持。硬件开发资料包括但不限于PCB版电路图、开模数据、芯片选择、芯片的软件程序、加密资料、通讯模块资料等。</w:t>
            </w:r>
          </w:p>
        </w:tc>
      </w:tr>
      <w:tr>
        <w:tblPrEx>
          <w:tblCellMar>
            <w:top w:w="0" w:type="dxa"/>
            <w:left w:w="108" w:type="dxa"/>
            <w:bottom w:w="0" w:type="dxa"/>
            <w:right w:w="108" w:type="dxa"/>
          </w:tblCellMar>
        </w:tblPrEx>
        <w:trPr>
          <w:trHeight w:val="480"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软件平台对接</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Cs/>
                <w:color w:val="333333"/>
                <w:sz w:val="24"/>
                <w:szCs w:val="24"/>
                <w:highlight w:val="none"/>
              </w:rPr>
            </w:pPr>
            <w:r>
              <w:rPr>
                <w:rFonts w:hint="eastAsia" w:ascii="宋体" w:hAnsi="宋体" w:eastAsia="宋体" w:cs="宋体"/>
                <w:color w:val="000000"/>
                <w:kern w:val="0"/>
                <w:sz w:val="24"/>
                <w:szCs w:val="24"/>
                <w:highlight w:val="none"/>
              </w:rPr>
              <w:t>软件功能见“附件：物联网温控器管理平台软件功能介绍”</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70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w:t>
            </w:r>
          </w:p>
        </w:tc>
        <w:tc>
          <w:tcPr>
            <w:tcW w:w="9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50000</w:t>
            </w:r>
          </w:p>
        </w:tc>
        <w:tc>
          <w:tcPr>
            <w:tcW w:w="1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50000</w:t>
            </w:r>
          </w:p>
        </w:tc>
        <w:tc>
          <w:tcPr>
            <w:tcW w:w="39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甲方云平台由第三方开发，中标方负责温控器与云平台软件对接，保证温控器能接入甲方云平台。</w:t>
            </w:r>
          </w:p>
        </w:tc>
      </w:tr>
      <w:tr>
        <w:tblPrEx>
          <w:tblCellMar>
            <w:top w:w="0" w:type="dxa"/>
            <w:left w:w="108" w:type="dxa"/>
            <w:bottom w:w="0" w:type="dxa"/>
            <w:right w:w="108" w:type="dxa"/>
          </w:tblCellMar>
        </w:tblPrEx>
        <w:trPr>
          <w:trHeight w:val="480" w:hRule="atLeast"/>
        </w:trPr>
        <w:tc>
          <w:tcPr>
            <w:tcW w:w="4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11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新型物联网中央空调计时型温控器样机</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技术指标和要求见“</w:t>
            </w:r>
            <w:r>
              <w:rPr>
                <w:rFonts w:hint="eastAsia" w:ascii="宋体" w:hAnsi="宋体" w:eastAsia="宋体" w:cs="宋体"/>
                <w:b/>
                <w:color w:val="000000"/>
                <w:sz w:val="24"/>
                <w:szCs w:val="24"/>
                <w:highlight w:val="none"/>
              </w:rPr>
              <w:t>★”</w:t>
            </w:r>
            <w:r>
              <w:rPr>
                <w:rFonts w:hint="eastAsia" w:ascii="宋体" w:hAnsi="宋体" w:eastAsia="宋体" w:cs="宋体"/>
                <w:bCs/>
                <w:color w:val="000000"/>
                <w:sz w:val="24"/>
                <w:szCs w:val="24"/>
                <w:highlight w:val="none"/>
              </w:rPr>
              <w:t>条款</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spacing w:val="20"/>
                <w:sz w:val="24"/>
                <w:highlight w:val="none"/>
              </w:rPr>
              <w:t>500</w:t>
            </w:r>
          </w:p>
        </w:tc>
        <w:tc>
          <w:tcPr>
            <w:tcW w:w="70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c>
          <w:tcPr>
            <w:tcW w:w="9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280</w:t>
            </w:r>
          </w:p>
        </w:tc>
        <w:tc>
          <w:tcPr>
            <w:tcW w:w="1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140000</w:t>
            </w:r>
          </w:p>
        </w:tc>
        <w:tc>
          <w:tcPr>
            <w:tcW w:w="39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4"/>
                <w:szCs w:val="24"/>
                <w:highlight w:val="none"/>
              </w:rPr>
            </w:pPr>
            <w:r>
              <w:rPr>
                <w:rFonts w:ascii="宋体" w:hAnsi="宋体" w:eastAsia="宋体" w:cs="宋体"/>
                <w:color w:val="000000"/>
                <w:kern w:val="0"/>
                <w:sz w:val="24"/>
                <w:szCs w:val="24"/>
                <w:highlight w:val="none"/>
              </w:rPr>
              <w:t>温控器的软件和硬件开发测试完成后，由中标方生产制造500台符合要求的样机交付给甲方使用，甲方安装测试过程中由中标方无偿提供技术支持，如产品出现质量问题，在质保期内由中标方负责维修或者更换新的温控器。</w:t>
            </w:r>
          </w:p>
        </w:tc>
      </w:tr>
      <w:tr>
        <w:tblPrEx>
          <w:tblCellMar>
            <w:top w:w="0" w:type="dxa"/>
            <w:left w:w="108" w:type="dxa"/>
            <w:bottom w:w="0" w:type="dxa"/>
            <w:right w:w="108" w:type="dxa"/>
          </w:tblCellMar>
        </w:tblPrEx>
        <w:trPr>
          <w:trHeight w:val="501" w:hRule="atLeast"/>
        </w:trPr>
        <w:tc>
          <w:tcPr>
            <w:tcW w:w="553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预估费用合计</w:t>
            </w:r>
          </w:p>
        </w:tc>
        <w:tc>
          <w:tcPr>
            <w:tcW w:w="5027"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330000元</w:t>
            </w:r>
          </w:p>
        </w:tc>
      </w:tr>
    </w:tbl>
    <w:p>
      <w:pPr>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注：该项目开发所产生的软件源代码、硬件资料和知识产权等属于甲方所有。质保三年，质保期内故障温控器由采购方负责拆下并邮寄到中标方进行更换或维修，来回运费由中标方负责，修复或更换的新温控器需10日内寄回采购方，时间戳点以收货时间为准。</w:t>
      </w:r>
    </w:p>
    <w:p>
      <w:pPr>
        <w:widowControl/>
        <w:jc w:val="left"/>
        <w:rPr>
          <w:rFonts w:ascii="宋体" w:hAnsi="宋体" w:eastAsia="宋体" w:cs="宋体"/>
          <w:sz w:val="24"/>
          <w:szCs w:val="24"/>
          <w:highlight w:val="none"/>
        </w:rPr>
      </w:pPr>
      <w:bookmarkStart w:id="16" w:name="_Toc15821"/>
      <w:bookmarkStart w:id="17" w:name="_Toc167089657"/>
      <w:bookmarkStart w:id="18" w:name="_Toc208199218"/>
      <w:bookmarkStart w:id="19" w:name="_Toc225236008"/>
      <w:r>
        <w:rPr>
          <w:rFonts w:hint="eastAsia" w:ascii="宋体" w:hAnsi="宋体" w:eastAsia="宋体" w:cs="宋体"/>
          <w:sz w:val="24"/>
          <w:szCs w:val="24"/>
          <w:highlight w:val="none"/>
        </w:rPr>
        <w:t xml:space="preserve"> 附件：物联网温控器管理平台软件功能介绍</w:t>
      </w:r>
    </w:p>
    <w:p>
      <w:pPr>
        <w:pStyle w:val="13"/>
        <w:spacing w:line="480" w:lineRule="auto"/>
        <w:jc w:val="left"/>
        <w:rPr>
          <w:rFonts w:ascii="宋体" w:hAnsi="宋体" w:cs="宋体"/>
          <w:kern w:val="0"/>
          <w:sz w:val="24"/>
          <w:szCs w:val="24"/>
          <w:highlight w:val="none"/>
        </w:rPr>
      </w:pPr>
      <w:bookmarkStart w:id="20" w:name="_Toc407611914"/>
      <w:bookmarkStart w:id="21" w:name="_Toc27585"/>
      <w:r>
        <w:rPr>
          <w:rFonts w:hint="eastAsia" w:ascii="宋体" w:hAnsi="宋体" w:cs="宋体"/>
          <w:kern w:val="0"/>
          <w:sz w:val="24"/>
          <w:szCs w:val="24"/>
          <w:highlight w:val="none"/>
        </w:rPr>
        <w:t>1、管理软件</w:t>
      </w:r>
      <w:bookmarkEnd w:id="20"/>
      <w:bookmarkEnd w:id="21"/>
      <w:r>
        <w:rPr>
          <w:rFonts w:hint="eastAsia" w:ascii="宋体" w:hAnsi="宋体" w:cs="宋体"/>
          <w:kern w:val="0"/>
          <w:sz w:val="24"/>
          <w:szCs w:val="24"/>
          <w:highlight w:val="none"/>
        </w:rPr>
        <w:t>和手机微信小程序</w:t>
      </w:r>
    </w:p>
    <w:bookmarkEnd w:id="16"/>
    <w:bookmarkEnd w:id="17"/>
    <w:bookmarkEnd w:id="18"/>
    <w:bookmarkEnd w:id="19"/>
    <w:p>
      <w:pPr>
        <w:tabs>
          <w:tab w:val="left" w:pos="2211"/>
        </w:tabs>
        <w:snapToGrid w:val="0"/>
        <w:spacing w:line="430" w:lineRule="atLeast"/>
        <w:ind w:left="-97" w:leftChars="-46" w:firstLine="600" w:firstLineChars="250"/>
        <w:rPr>
          <w:rFonts w:ascii="宋体" w:hAnsi="宋体" w:eastAsia="宋体" w:cs="宋体"/>
          <w:bCs/>
          <w:kern w:val="0"/>
          <w:sz w:val="24"/>
          <w:szCs w:val="24"/>
          <w:highlight w:val="none"/>
        </w:rPr>
      </w:pPr>
      <w:bookmarkStart w:id="22" w:name="_Toc529438343"/>
      <w:r>
        <w:rPr>
          <w:rFonts w:hint="eastAsia" w:ascii="宋体" w:hAnsi="宋体" w:eastAsia="宋体" w:cs="宋体"/>
          <w:bCs/>
          <w:kern w:val="0"/>
          <w:sz w:val="24"/>
          <w:szCs w:val="24"/>
          <w:highlight w:val="none"/>
        </w:rPr>
        <w:t>（1）系统管理软件功能特点：</w:t>
      </w:r>
    </w:p>
    <w:p>
      <w:pPr>
        <w:numPr>
          <w:ilvl w:val="0"/>
          <w:numId w:val="8"/>
        </w:numPr>
        <w:tabs>
          <w:tab w:val="left" w:pos="720"/>
          <w:tab w:val="left" w:pos="2211"/>
        </w:tabs>
        <w:snapToGrid w:val="0"/>
        <w:spacing w:line="430" w:lineRule="atLeast"/>
        <w:ind w:left="-97" w:leftChars="-46" w:firstLine="600" w:firstLineChars="25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多功能应用平台，支持中央空调综合计费管理；支持空调冷/热量使用时间的数据采集、分析、管理、控制等；支持中央空调风机盘管的监控及盘管机的通断电等；</w:t>
      </w:r>
    </w:p>
    <w:p>
      <w:pPr>
        <w:numPr>
          <w:ilvl w:val="0"/>
          <w:numId w:val="8"/>
        </w:numPr>
        <w:tabs>
          <w:tab w:val="left" w:pos="720"/>
          <w:tab w:val="left" w:pos="2211"/>
        </w:tabs>
        <w:snapToGrid w:val="0"/>
        <w:spacing w:line="430" w:lineRule="atLeast"/>
        <w:ind w:left="-97" w:leftChars="-46" w:firstLine="600" w:firstLineChars="25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系统实时采集显示空调等各种数据，并根据要求自动存储于数据库；</w:t>
      </w:r>
    </w:p>
    <w:p>
      <w:pPr>
        <w:numPr>
          <w:ilvl w:val="0"/>
          <w:numId w:val="8"/>
        </w:numPr>
        <w:tabs>
          <w:tab w:val="left" w:pos="720"/>
          <w:tab w:val="left" w:pos="2211"/>
        </w:tabs>
        <w:snapToGrid w:val="0"/>
        <w:spacing w:line="430" w:lineRule="atLeast"/>
        <w:ind w:left="-97" w:leftChars="-46" w:firstLine="600" w:firstLineChars="25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系统支持阀控功能，可根据具体应用情况完成自动控制末端温控器开关电源等操作；</w:t>
      </w:r>
    </w:p>
    <w:p>
      <w:pPr>
        <w:numPr>
          <w:ilvl w:val="0"/>
          <w:numId w:val="8"/>
        </w:numPr>
        <w:tabs>
          <w:tab w:val="left" w:pos="720"/>
          <w:tab w:val="left" w:pos="2211"/>
        </w:tabs>
        <w:snapToGrid w:val="0"/>
        <w:spacing w:line="430" w:lineRule="atLeast"/>
        <w:ind w:left="-97" w:leftChars="-46" w:firstLine="600" w:firstLineChars="25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系统支持多种接口、多种协议功能的仪表的组网，包括M-BUS,485接口，及188协议、Zigbee、Modbus、Lora 、NBiot、4G LTE CAT1等常用通讯方式的协议；</w:t>
      </w:r>
    </w:p>
    <w:p>
      <w:pPr>
        <w:numPr>
          <w:ilvl w:val="0"/>
          <w:numId w:val="8"/>
        </w:numPr>
        <w:tabs>
          <w:tab w:val="left" w:pos="720"/>
          <w:tab w:val="left" w:pos="2211"/>
        </w:tabs>
        <w:snapToGrid w:val="0"/>
        <w:spacing w:line="430" w:lineRule="atLeast"/>
        <w:ind w:left="-97" w:leftChars="-46" w:firstLine="600" w:firstLineChars="25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系统具备完善的查询、检索功能，包括对楼层、数据时间、计费类型、用户编号、用户姓名等条件的过滤功能，管理员可以方便快捷地查找到数据。查询检索条件可选；</w:t>
      </w:r>
    </w:p>
    <w:p>
      <w:pPr>
        <w:numPr>
          <w:ilvl w:val="0"/>
          <w:numId w:val="8"/>
        </w:numPr>
        <w:tabs>
          <w:tab w:val="left" w:pos="720"/>
          <w:tab w:val="left" w:pos="2211"/>
        </w:tabs>
        <w:snapToGrid w:val="0"/>
        <w:spacing w:line="430" w:lineRule="atLeast"/>
        <w:ind w:left="-97" w:leftChars="-46" w:firstLine="600" w:firstLineChars="25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系统可对各种计量表计、数据采集器、网络参数、进行配置；</w:t>
      </w:r>
    </w:p>
    <w:p>
      <w:pPr>
        <w:numPr>
          <w:ilvl w:val="0"/>
          <w:numId w:val="8"/>
        </w:numPr>
        <w:tabs>
          <w:tab w:val="left" w:pos="720"/>
          <w:tab w:val="left" w:pos="2211"/>
        </w:tabs>
        <w:snapToGrid w:val="0"/>
        <w:spacing w:line="430" w:lineRule="atLeast"/>
        <w:ind w:left="-97" w:leftChars="-46" w:firstLine="600" w:firstLineChars="25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系统实时监控所有设备（计量表计、数据采集器、网络状态）的运行状况，并生成系统运行日志，严重异常系统将自动报警；</w:t>
      </w:r>
    </w:p>
    <w:p>
      <w:pPr>
        <w:numPr>
          <w:ilvl w:val="0"/>
          <w:numId w:val="8"/>
        </w:numPr>
        <w:tabs>
          <w:tab w:val="left" w:pos="720"/>
          <w:tab w:val="left" w:pos="2211"/>
        </w:tabs>
        <w:snapToGrid w:val="0"/>
        <w:spacing w:line="430" w:lineRule="atLeast"/>
        <w:ind w:left="-97" w:leftChars="-46" w:firstLine="600" w:firstLineChars="25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系统支持多权限的设置，可具体地设定各级别的操作员的每一项权限，比仅按此操作员级别进行权限设置的方式更灵活；</w:t>
      </w:r>
    </w:p>
    <w:p>
      <w:pPr>
        <w:tabs>
          <w:tab w:val="left" w:pos="720"/>
          <w:tab w:val="left" w:pos="2211"/>
        </w:tabs>
        <w:snapToGrid w:val="0"/>
        <w:spacing w:line="430" w:lineRule="atLeast"/>
        <w:ind w:left="603"/>
        <w:rPr>
          <w:rFonts w:ascii="宋体" w:hAnsi="宋体" w:eastAsia="宋体" w:cs="宋体"/>
          <w:bCs/>
          <w:kern w:val="0"/>
          <w:sz w:val="24"/>
          <w:szCs w:val="24"/>
          <w:highlight w:val="none"/>
        </w:rPr>
      </w:pPr>
    </w:p>
    <w:p>
      <w:pPr>
        <w:tabs>
          <w:tab w:val="left" w:pos="720"/>
          <w:tab w:val="left" w:pos="960"/>
          <w:tab w:val="left" w:pos="2211"/>
        </w:tabs>
        <w:snapToGrid w:val="0"/>
        <w:spacing w:line="430" w:lineRule="atLeast"/>
        <w:ind w:left="603"/>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（2）手机小程序</w:t>
      </w:r>
      <w:bookmarkEnd w:id="22"/>
    </w:p>
    <w:p>
      <w:pPr>
        <w:numPr>
          <w:ilvl w:val="0"/>
          <w:numId w:val="8"/>
        </w:numPr>
        <w:tabs>
          <w:tab w:val="left" w:pos="720"/>
          <w:tab w:val="left" w:pos="2211"/>
        </w:tabs>
        <w:snapToGrid w:val="0"/>
        <w:spacing w:line="430" w:lineRule="atLeast"/>
        <w:ind w:left="-97" w:leftChars="-46" w:firstLine="600" w:firstLineChars="25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每个用户都可注册一个个人用户账号，每间宿舍的温控器绑定一个公共账号，个人用户账号对公共账号进行充值和退款的操作，公共账号的余额关联温控器的可使用时间。</w:t>
      </w:r>
    </w:p>
    <w:p>
      <w:pPr>
        <w:numPr>
          <w:ilvl w:val="0"/>
          <w:numId w:val="8"/>
        </w:numPr>
        <w:tabs>
          <w:tab w:val="left" w:pos="720"/>
          <w:tab w:val="left" w:pos="2211"/>
        </w:tabs>
        <w:snapToGrid w:val="0"/>
        <w:spacing w:line="430" w:lineRule="atLeast"/>
        <w:ind w:left="-97" w:leftChars="-46" w:firstLine="600" w:firstLineChars="250"/>
        <w:rPr>
          <w:rFonts w:ascii="宋体" w:hAnsi="宋体" w:eastAsia="宋体" w:cs="宋体"/>
          <w:bCs/>
          <w:kern w:val="0"/>
          <w:sz w:val="24"/>
          <w:szCs w:val="24"/>
          <w:highlight w:val="none"/>
        </w:rPr>
      </w:pPr>
      <w:r>
        <w:rPr>
          <w:rFonts w:hint="eastAsia" w:ascii="宋体" w:hAnsi="宋体" w:eastAsia="宋体" w:cs="宋体"/>
          <w:bCs/>
          <w:kern w:val="0"/>
          <w:sz w:val="24"/>
          <w:szCs w:val="24"/>
          <w:highlight w:val="none"/>
        </w:rPr>
        <w:t>在后台选择了启用计费的温控器才需要充值，没有启用计费的温控器免费使用。</w:t>
      </w:r>
    </w:p>
    <w:p>
      <w:pPr>
        <w:spacing w:line="360" w:lineRule="auto"/>
        <w:rPr>
          <w:rFonts w:ascii="宋体" w:hAnsi="宋体" w:eastAsia="宋体" w:cs="宋体"/>
          <w:b/>
          <w:sz w:val="24"/>
          <w:highlight w:val="none"/>
        </w:rPr>
      </w:pPr>
      <w:r>
        <w:rPr>
          <w:rFonts w:hint="eastAsia" w:ascii="宋体" w:hAnsi="宋体" w:eastAsia="宋体" w:cs="宋体"/>
          <w:b/>
          <w:sz w:val="24"/>
          <w:highlight w:val="none"/>
        </w:rPr>
        <w:t>小程序示意图：</w:t>
      </w:r>
    </w:p>
    <w:p>
      <w:pPr>
        <w:spacing w:line="360" w:lineRule="auto"/>
        <w:jc w:val="center"/>
        <w:rPr>
          <w:rFonts w:ascii="宋体" w:hAnsi="宋体" w:eastAsia="宋体" w:cs="宋体"/>
          <w:sz w:val="24"/>
          <w:highlight w:val="none"/>
        </w:rPr>
      </w:pPr>
      <w:r>
        <w:rPr>
          <w:rFonts w:hint="eastAsia" w:ascii="宋体" w:hAnsi="宋体" w:eastAsia="宋体" w:cs="宋体"/>
          <w:sz w:val="24"/>
          <w:highlight w:val="none"/>
        </w:rPr>
        <w:drawing>
          <wp:inline distT="0" distB="0" distL="0" distR="0">
            <wp:extent cx="2021840" cy="3599180"/>
            <wp:effectExtent l="171450" t="133350" r="359219" b="305663"/>
            <wp:docPr id="6"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6375" cy="3660726"/>
                    </a:xfrm>
                    <a:prstGeom prst="rect">
                      <a:avLst/>
                    </a:prstGeom>
                    <a:ln>
                      <a:noFill/>
                    </a:ln>
                    <a:effectLst>
                      <a:outerShdw blurRad="292100" dist="139700" dir="2700000" algn="tl" rotWithShape="0">
                        <a:srgbClr val="333333">
                          <a:alpha val="65000"/>
                        </a:srgbClr>
                      </a:outerShdw>
                    </a:effectLst>
                  </pic:spPr>
                </pic:pic>
              </a:graphicData>
            </a:graphic>
          </wp:inline>
        </w:drawing>
      </w:r>
      <w:bookmarkStart w:id="23" w:name="_Toc529438344"/>
      <w:r>
        <w:rPr>
          <w:rFonts w:hint="eastAsia" w:ascii="宋体" w:hAnsi="宋体" w:eastAsia="宋体" w:cs="宋体"/>
          <w:sz w:val="24"/>
          <w:highlight w:val="none"/>
        </w:rPr>
        <w:drawing>
          <wp:inline distT="0" distB="0" distL="0" distR="0">
            <wp:extent cx="1995805" cy="3552825"/>
            <wp:effectExtent l="128270" t="90170" r="333375" b="338455"/>
            <wp:docPr id="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8076" cy="3610202"/>
                    </a:xfrm>
                    <a:prstGeom prst="rect">
                      <a:avLst/>
                    </a:prstGeom>
                    <a:ln>
                      <a:noFill/>
                    </a:ln>
                    <a:effectLst>
                      <a:outerShdw blurRad="292100" dist="139700" dir="2700000" algn="tl" rotWithShape="0">
                        <a:srgbClr val="333333">
                          <a:alpha val="65000"/>
                        </a:srgbClr>
                      </a:outerShdw>
                    </a:effectLst>
                  </pic:spPr>
                </pic:pic>
              </a:graphicData>
            </a:graphic>
          </wp:inline>
        </w:drawing>
      </w:r>
    </w:p>
    <w:p>
      <w:pPr>
        <w:spacing w:line="360" w:lineRule="auto"/>
        <w:jc w:val="center"/>
        <w:rPr>
          <w:rFonts w:ascii="宋体" w:hAnsi="宋体" w:eastAsia="宋体" w:cs="宋体"/>
          <w:sz w:val="24"/>
          <w:highlight w:val="none"/>
        </w:rPr>
      </w:pPr>
    </w:p>
    <w:p>
      <w:pPr>
        <w:spacing w:line="360" w:lineRule="auto"/>
        <w:jc w:val="center"/>
        <w:rPr>
          <w:rFonts w:ascii="宋体" w:hAnsi="宋体" w:eastAsia="宋体" w:cs="宋体"/>
          <w:sz w:val="24"/>
          <w:highlight w:val="none"/>
        </w:rPr>
      </w:pPr>
    </w:p>
    <w:p>
      <w:pPr>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2、系统安全防护</w:t>
      </w:r>
      <w:bookmarkEnd w:id="23"/>
    </w:p>
    <w:p>
      <w:pPr>
        <w:keepNext/>
        <w:keepLines/>
        <w:numPr>
          <w:ilvl w:val="3"/>
          <w:numId w:val="0"/>
        </w:numPr>
        <w:spacing w:before="280" w:after="290" w:line="376" w:lineRule="auto"/>
        <w:ind w:left="864" w:hanging="864"/>
        <w:outlineLvl w:val="3"/>
        <w:rPr>
          <w:rFonts w:ascii="宋体" w:hAnsi="宋体" w:eastAsia="宋体" w:cs="宋体"/>
          <w:b/>
          <w:bCs/>
          <w:sz w:val="24"/>
          <w:szCs w:val="24"/>
          <w:highlight w:val="none"/>
        </w:rPr>
      </w:pPr>
      <w:bookmarkStart w:id="24" w:name="_Toc32416"/>
      <w:bookmarkStart w:id="25" w:name="_Toc529350568"/>
      <w:bookmarkStart w:id="26" w:name="_Toc396740107"/>
      <w:bookmarkStart w:id="27" w:name="_Toc416787583"/>
      <w:bookmarkStart w:id="28" w:name="_Toc7499"/>
      <w:bookmarkStart w:id="29" w:name="_Toc391472196"/>
      <w:r>
        <w:rPr>
          <w:rFonts w:hint="eastAsia" w:ascii="宋体" w:hAnsi="宋体" w:eastAsia="宋体" w:cs="宋体"/>
          <w:b/>
          <w:bCs/>
          <w:sz w:val="24"/>
          <w:szCs w:val="24"/>
          <w:highlight w:val="none"/>
        </w:rPr>
        <w:t>安全定级</w:t>
      </w:r>
      <w:bookmarkEnd w:id="24"/>
      <w:bookmarkEnd w:id="25"/>
      <w:bookmarkEnd w:id="26"/>
      <w:bookmarkEnd w:id="27"/>
      <w:bookmarkEnd w:id="28"/>
      <w:bookmarkEnd w:id="29"/>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平台按等级保护三级的安全标准建设。</w:t>
      </w:r>
    </w:p>
    <w:p>
      <w:pPr>
        <w:keepNext/>
        <w:keepLines/>
        <w:numPr>
          <w:ilvl w:val="3"/>
          <w:numId w:val="0"/>
        </w:numPr>
        <w:spacing w:before="280" w:after="290" w:line="376" w:lineRule="auto"/>
        <w:ind w:left="864" w:hanging="864"/>
        <w:outlineLvl w:val="3"/>
        <w:rPr>
          <w:rFonts w:ascii="宋体" w:hAnsi="宋体" w:eastAsia="宋体" w:cs="宋体"/>
          <w:b/>
          <w:bCs/>
          <w:sz w:val="24"/>
          <w:szCs w:val="24"/>
          <w:highlight w:val="none"/>
        </w:rPr>
      </w:pPr>
      <w:bookmarkStart w:id="30" w:name="_Toc7807"/>
      <w:bookmarkStart w:id="31" w:name="_Toc391472197"/>
      <w:bookmarkStart w:id="32" w:name="_Toc416787584"/>
      <w:bookmarkStart w:id="33" w:name="_Toc31418"/>
      <w:bookmarkStart w:id="34" w:name="_Toc396740108"/>
      <w:bookmarkStart w:id="35" w:name="_Toc529350569"/>
      <w:r>
        <w:rPr>
          <w:rFonts w:hint="eastAsia" w:ascii="宋体" w:hAnsi="宋体" w:eastAsia="宋体" w:cs="宋体"/>
          <w:b/>
          <w:bCs/>
          <w:sz w:val="24"/>
          <w:szCs w:val="24"/>
          <w:highlight w:val="none"/>
        </w:rPr>
        <w:t>物理安全</w:t>
      </w:r>
      <w:bookmarkEnd w:id="30"/>
      <w:bookmarkEnd w:id="31"/>
      <w:bookmarkEnd w:id="32"/>
      <w:bookmarkEnd w:id="33"/>
      <w:bookmarkEnd w:id="34"/>
      <w:bookmarkEnd w:id="35"/>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参考现有机房物理安全标准。</w:t>
      </w:r>
    </w:p>
    <w:p>
      <w:pPr>
        <w:keepNext/>
        <w:keepLines/>
        <w:numPr>
          <w:ilvl w:val="3"/>
          <w:numId w:val="0"/>
        </w:numPr>
        <w:spacing w:before="280" w:after="290" w:line="376" w:lineRule="auto"/>
        <w:ind w:left="864" w:hanging="864"/>
        <w:outlineLvl w:val="3"/>
        <w:rPr>
          <w:rFonts w:ascii="宋体" w:hAnsi="宋体" w:eastAsia="宋体" w:cs="宋体"/>
          <w:b/>
          <w:bCs/>
          <w:sz w:val="24"/>
          <w:szCs w:val="24"/>
          <w:highlight w:val="none"/>
        </w:rPr>
      </w:pPr>
      <w:bookmarkStart w:id="36" w:name="_Toc416787585"/>
      <w:bookmarkStart w:id="37" w:name="_Toc396740109"/>
      <w:bookmarkStart w:id="38" w:name="_Toc27664"/>
      <w:bookmarkStart w:id="39" w:name="_Toc391472198"/>
      <w:bookmarkStart w:id="40" w:name="_Toc27914"/>
      <w:bookmarkStart w:id="41" w:name="_Toc529350570"/>
      <w:r>
        <w:rPr>
          <w:rFonts w:hint="eastAsia" w:ascii="宋体" w:hAnsi="宋体" w:eastAsia="宋体" w:cs="宋体"/>
          <w:b/>
          <w:bCs/>
          <w:sz w:val="24"/>
          <w:szCs w:val="24"/>
          <w:highlight w:val="none"/>
        </w:rPr>
        <w:t>网络安全</w:t>
      </w:r>
      <w:bookmarkEnd w:id="36"/>
      <w:bookmarkEnd w:id="37"/>
      <w:bookmarkEnd w:id="38"/>
      <w:bookmarkEnd w:id="39"/>
      <w:bookmarkEnd w:id="40"/>
      <w:bookmarkEnd w:id="41"/>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在城投现有网络环境部署。</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WEB服务器安全，部署在防火墙后，只开放https应用指定端口。</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支付网关安全，部署在防火墙后，与第三方支付绑定限定IP对接。</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末端设备接口前置安全，部署在防火墙后，使用报文MAC核验请求合法性。</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外系统接口前置安全，部署在防火墙后，与各高校能耗平台绑定IP对接。</w:t>
      </w:r>
    </w:p>
    <w:p>
      <w:pPr>
        <w:keepNext/>
        <w:keepLines/>
        <w:numPr>
          <w:ilvl w:val="3"/>
          <w:numId w:val="0"/>
        </w:numPr>
        <w:spacing w:before="280" w:after="290" w:line="376" w:lineRule="auto"/>
        <w:ind w:left="864" w:hanging="864"/>
        <w:outlineLvl w:val="3"/>
        <w:rPr>
          <w:rFonts w:ascii="宋体" w:hAnsi="宋体" w:eastAsia="宋体" w:cs="宋体"/>
          <w:b/>
          <w:bCs/>
          <w:sz w:val="24"/>
          <w:szCs w:val="24"/>
          <w:highlight w:val="none"/>
        </w:rPr>
      </w:pPr>
      <w:bookmarkStart w:id="42" w:name="_Toc529350571"/>
      <w:bookmarkStart w:id="43" w:name="_Toc2158"/>
      <w:bookmarkStart w:id="44" w:name="_Toc416787586"/>
      <w:bookmarkStart w:id="45" w:name="_Toc1919"/>
      <w:bookmarkStart w:id="46" w:name="_Toc391472199"/>
      <w:bookmarkStart w:id="47" w:name="_Toc396740110"/>
      <w:r>
        <w:rPr>
          <w:rFonts w:hint="eastAsia" w:ascii="宋体" w:hAnsi="宋体" w:eastAsia="宋体" w:cs="宋体"/>
          <w:b/>
          <w:bCs/>
          <w:sz w:val="24"/>
          <w:szCs w:val="24"/>
          <w:highlight w:val="none"/>
        </w:rPr>
        <w:t>内部网络安全策略</w:t>
      </w:r>
      <w:bookmarkEnd w:id="42"/>
      <w:bookmarkEnd w:id="43"/>
      <w:bookmarkEnd w:id="44"/>
      <w:bookmarkEnd w:id="45"/>
      <w:bookmarkEnd w:id="46"/>
      <w:bookmarkEnd w:id="47"/>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各服务器之间使用内部IP地址进行通信。</w:t>
      </w:r>
    </w:p>
    <w:p>
      <w:pPr>
        <w:keepNext/>
        <w:keepLines/>
        <w:numPr>
          <w:ilvl w:val="3"/>
          <w:numId w:val="0"/>
        </w:numPr>
        <w:spacing w:before="280" w:after="290" w:line="376" w:lineRule="auto"/>
        <w:ind w:left="864" w:hanging="864"/>
        <w:outlineLvl w:val="3"/>
        <w:rPr>
          <w:rFonts w:ascii="宋体" w:hAnsi="宋体" w:eastAsia="宋体" w:cs="宋体"/>
          <w:b/>
          <w:bCs/>
          <w:sz w:val="24"/>
          <w:szCs w:val="24"/>
          <w:highlight w:val="none"/>
        </w:rPr>
      </w:pPr>
      <w:bookmarkStart w:id="48" w:name="_Toc529350573"/>
      <w:bookmarkStart w:id="49" w:name="_Toc10665"/>
      <w:bookmarkStart w:id="50" w:name="_Toc21548"/>
      <w:bookmarkStart w:id="51" w:name="_Toc416787589"/>
      <w:r>
        <w:rPr>
          <w:rFonts w:hint="eastAsia" w:ascii="宋体" w:hAnsi="宋体" w:eastAsia="宋体" w:cs="宋体"/>
          <w:b/>
          <w:bCs/>
          <w:sz w:val="24"/>
          <w:szCs w:val="24"/>
          <w:highlight w:val="none"/>
        </w:rPr>
        <w:t>操作系统</w:t>
      </w:r>
      <w:bookmarkEnd w:id="48"/>
      <w:bookmarkEnd w:id="49"/>
      <w:bookmarkEnd w:id="50"/>
      <w:bookmarkEnd w:id="51"/>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操作系统安全是系统安全和网络安全的基础。操作系统应提供用户身份认证、资源权限划分、访问控制和日志审计等手段，保护信息资源不被非法访问和使用。</w:t>
      </w:r>
    </w:p>
    <w:p>
      <w:pPr>
        <w:numPr>
          <w:ilvl w:val="0"/>
          <w:numId w:val="9"/>
        </w:numPr>
        <w:spacing w:line="360" w:lineRule="auto"/>
        <w:rPr>
          <w:rFonts w:ascii="宋体" w:hAnsi="宋体" w:eastAsia="宋体" w:cs="宋体"/>
          <w:sz w:val="24"/>
          <w:highlight w:val="none"/>
        </w:rPr>
      </w:pPr>
      <w:r>
        <w:rPr>
          <w:rFonts w:hint="eastAsia" w:ascii="宋体" w:hAnsi="宋体" w:eastAsia="宋体" w:cs="宋体"/>
          <w:sz w:val="24"/>
          <w:highlight w:val="none"/>
        </w:rPr>
        <w:t>关闭root用户远程登录，关闭telnet，ftp端口。</w:t>
      </w:r>
    </w:p>
    <w:p>
      <w:pPr>
        <w:numPr>
          <w:ilvl w:val="0"/>
          <w:numId w:val="9"/>
        </w:numPr>
        <w:spacing w:line="360" w:lineRule="auto"/>
        <w:rPr>
          <w:rFonts w:ascii="宋体" w:hAnsi="宋体" w:eastAsia="宋体" w:cs="宋体"/>
          <w:sz w:val="24"/>
          <w:highlight w:val="none"/>
        </w:rPr>
      </w:pPr>
      <w:r>
        <w:rPr>
          <w:rFonts w:hint="eastAsia" w:ascii="宋体" w:hAnsi="宋体" w:eastAsia="宋体" w:cs="宋体"/>
          <w:sz w:val="24"/>
          <w:highlight w:val="none"/>
        </w:rPr>
        <w:t>常用SSH端口通过防火墙映射为其他端口。</w:t>
      </w:r>
    </w:p>
    <w:p>
      <w:pPr>
        <w:numPr>
          <w:ilvl w:val="0"/>
          <w:numId w:val="9"/>
        </w:numPr>
        <w:spacing w:line="360" w:lineRule="auto"/>
        <w:rPr>
          <w:rFonts w:ascii="宋体" w:hAnsi="宋体" w:eastAsia="宋体" w:cs="宋体"/>
          <w:sz w:val="24"/>
          <w:highlight w:val="none"/>
        </w:rPr>
      </w:pPr>
      <w:r>
        <w:rPr>
          <w:rFonts w:hint="eastAsia" w:ascii="宋体" w:hAnsi="宋体" w:eastAsia="宋体" w:cs="宋体"/>
          <w:sz w:val="24"/>
          <w:highlight w:val="none"/>
        </w:rPr>
        <w:t>区分日志查询用户、运行用户权限。</w:t>
      </w:r>
    </w:p>
    <w:p>
      <w:pPr>
        <w:keepNext/>
        <w:keepLines/>
        <w:numPr>
          <w:ilvl w:val="3"/>
          <w:numId w:val="0"/>
        </w:numPr>
        <w:spacing w:before="280" w:after="290" w:line="376" w:lineRule="auto"/>
        <w:ind w:left="864" w:hanging="864"/>
        <w:outlineLvl w:val="3"/>
        <w:rPr>
          <w:rFonts w:ascii="宋体" w:hAnsi="宋体" w:eastAsia="宋体" w:cs="宋体"/>
          <w:b/>
          <w:bCs/>
          <w:sz w:val="24"/>
          <w:szCs w:val="24"/>
          <w:highlight w:val="none"/>
        </w:rPr>
      </w:pPr>
      <w:bookmarkStart w:id="52" w:name="_Toc3626"/>
      <w:bookmarkStart w:id="53" w:name="_Toc416787590"/>
      <w:bookmarkStart w:id="54" w:name="_Toc529350574"/>
      <w:bookmarkStart w:id="55" w:name="_Toc16846"/>
      <w:r>
        <w:rPr>
          <w:rFonts w:hint="eastAsia" w:ascii="宋体" w:hAnsi="宋体" w:eastAsia="宋体" w:cs="宋体"/>
          <w:b/>
          <w:bCs/>
          <w:sz w:val="24"/>
          <w:szCs w:val="24"/>
          <w:highlight w:val="none"/>
        </w:rPr>
        <w:t>数据库安全</w:t>
      </w:r>
      <w:bookmarkEnd w:id="52"/>
      <w:bookmarkEnd w:id="53"/>
      <w:bookmarkEnd w:id="54"/>
      <w:bookmarkEnd w:id="55"/>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数据库安全关系到公司业务基础数据安全和用户隐私安全，我们将采用以下措施保障数据库的安全性：</w:t>
      </w:r>
    </w:p>
    <w:p>
      <w:pPr>
        <w:numPr>
          <w:ilvl w:val="0"/>
          <w:numId w:val="10"/>
        </w:numPr>
        <w:spacing w:line="360" w:lineRule="auto"/>
        <w:rPr>
          <w:rFonts w:ascii="宋体" w:hAnsi="宋体" w:eastAsia="宋体" w:cs="宋体"/>
          <w:sz w:val="24"/>
          <w:highlight w:val="none"/>
        </w:rPr>
      </w:pPr>
      <w:r>
        <w:rPr>
          <w:rFonts w:hint="eastAsia" w:ascii="宋体" w:hAnsi="宋体" w:eastAsia="宋体" w:cs="宋体"/>
          <w:sz w:val="24"/>
          <w:highlight w:val="none"/>
        </w:rPr>
        <w:t>关闭root用户远程登录。</w:t>
      </w:r>
    </w:p>
    <w:p>
      <w:pPr>
        <w:numPr>
          <w:ilvl w:val="0"/>
          <w:numId w:val="10"/>
        </w:numPr>
        <w:spacing w:line="360" w:lineRule="auto"/>
        <w:rPr>
          <w:rFonts w:ascii="宋体" w:hAnsi="宋体" w:eastAsia="宋体" w:cs="宋体"/>
          <w:sz w:val="24"/>
          <w:highlight w:val="none"/>
        </w:rPr>
      </w:pPr>
      <w:r>
        <w:rPr>
          <w:rFonts w:hint="eastAsia" w:ascii="宋体" w:hAnsi="宋体" w:eastAsia="宋体" w:cs="宋体"/>
          <w:sz w:val="24"/>
          <w:highlight w:val="none"/>
        </w:rPr>
        <w:t>常用数据库端口改为其他端口。</w:t>
      </w:r>
    </w:p>
    <w:p>
      <w:pPr>
        <w:numPr>
          <w:ilvl w:val="0"/>
          <w:numId w:val="10"/>
        </w:numPr>
        <w:spacing w:line="360" w:lineRule="auto"/>
        <w:rPr>
          <w:rFonts w:ascii="宋体" w:hAnsi="宋体" w:eastAsia="宋体" w:cs="宋体"/>
          <w:sz w:val="24"/>
          <w:highlight w:val="none"/>
        </w:rPr>
      </w:pPr>
      <w:r>
        <w:rPr>
          <w:rFonts w:hint="eastAsia" w:ascii="宋体" w:hAnsi="宋体" w:eastAsia="宋体" w:cs="宋体"/>
          <w:sz w:val="24"/>
          <w:highlight w:val="none"/>
        </w:rPr>
        <w:t>区分日志查询用户、运行用户权限。</w:t>
      </w:r>
    </w:p>
    <w:p>
      <w:pPr>
        <w:keepNext/>
        <w:keepLines/>
        <w:numPr>
          <w:ilvl w:val="3"/>
          <w:numId w:val="0"/>
        </w:numPr>
        <w:spacing w:before="280" w:after="290" w:line="376" w:lineRule="auto"/>
        <w:ind w:left="864" w:hanging="864"/>
        <w:outlineLvl w:val="3"/>
        <w:rPr>
          <w:rFonts w:ascii="宋体" w:hAnsi="宋体" w:eastAsia="宋体" w:cs="宋体"/>
          <w:b/>
          <w:bCs/>
          <w:sz w:val="24"/>
          <w:szCs w:val="24"/>
          <w:highlight w:val="none"/>
        </w:rPr>
      </w:pPr>
      <w:bookmarkStart w:id="56" w:name="_Toc10779"/>
      <w:bookmarkStart w:id="57" w:name="_Toc416787591"/>
      <w:bookmarkStart w:id="58" w:name="_Toc529350575"/>
      <w:bookmarkStart w:id="59" w:name="_Toc15260"/>
      <w:r>
        <w:rPr>
          <w:rFonts w:hint="eastAsia" w:ascii="宋体" w:hAnsi="宋体" w:eastAsia="宋体" w:cs="宋体"/>
          <w:b/>
          <w:bCs/>
          <w:sz w:val="24"/>
          <w:szCs w:val="24"/>
          <w:highlight w:val="none"/>
        </w:rPr>
        <w:t>应用系统安全</w:t>
      </w:r>
      <w:bookmarkEnd w:id="56"/>
      <w:bookmarkEnd w:id="57"/>
      <w:bookmarkEnd w:id="58"/>
      <w:bookmarkEnd w:id="59"/>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系统采用数据校验、访问控制、用户身份鉴别、用户权限控制等。</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应用系统使用https方式连接，并且防止SQL注入。</w:t>
      </w:r>
    </w:p>
    <w:p>
      <w:pPr>
        <w:keepNext/>
        <w:keepLines/>
        <w:numPr>
          <w:ilvl w:val="3"/>
          <w:numId w:val="0"/>
        </w:numPr>
        <w:spacing w:before="280" w:after="290" w:line="376" w:lineRule="auto"/>
        <w:ind w:left="864" w:hanging="864"/>
        <w:outlineLvl w:val="3"/>
        <w:rPr>
          <w:rFonts w:ascii="宋体" w:hAnsi="宋体" w:eastAsia="宋体" w:cs="宋体"/>
          <w:b/>
          <w:bCs/>
          <w:sz w:val="24"/>
          <w:szCs w:val="24"/>
          <w:highlight w:val="none"/>
        </w:rPr>
      </w:pPr>
      <w:bookmarkStart w:id="60" w:name="_Toc18147"/>
      <w:bookmarkStart w:id="61" w:name="_Toc416787594"/>
      <w:bookmarkStart w:id="62" w:name="_Toc2167"/>
      <w:bookmarkStart w:id="63" w:name="_Toc529350576"/>
      <w:r>
        <w:rPr>
          <w:rFonts w:hint="eastAsia" w:ascii="宋体" w:hAnsi="宋体" w:eastAsia="宋体" w:cs="宋体"/>
          <w:b/>
          <w:bCs/>
          <w:sz w:val="24"/>
          <w:szCs w:val="24"/>
          <w:highlight w:val="none"/>
        </w:rPr>
        <w:t>应用备份</w:t>
      </w:r>
      <w:bookmarkEnd w:id="60"/>
      <w:bookmarkEnd w:id="61"/>
      <w:bookmarkEnd w:id="62"/>
      <w:bookmarkEnd w:id="63"/>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szCs w:val="24"/>
          <w:highlight w:val="none"/>
        </w:rPr>
        <w:t>应用服务器备份，云上服务器与本地服务器保持实时同步，正常情况在云服务器承载业务，当云服务器出现故障时，业务主动切换至本地服务器，</w:t>
      </w:r>
      <w:r>
        <w:rPr>
          <w:rFonts w:hint="eastAsia" w:ascii="宋体" w:hAnsi="宋体" w:eastAsia="宋体" w:cs="宋体"/>
          <w:sz w:val="24"/>
          <w:highlight w:val="none"/>
        </w:rPr>
        <w:t>保证业务可靠性</w:t>
      </w:r>
    </w:p>
    <w:p>
      <w:pPr>
        <w:rPr>
          <w:rFonts w:ascii="宋体" w:hAnsi="宋体" w:eastAsia="宋体" w:cs="宋体"/>
          <w:sz w:val="24"/>
          <w:highlight w:val="none"/>
        </w:rPr>
      </w:pPr>
      <w:r>
        <w:rPr>
          <w:rFonts w:hint="eastAsia" w:ascii="宋体" w:hAnsi="宋体" w:eastAsia="宋体" w:cs="宋体"/>
          <w:sz w:val="24"/>
          <w:highlight w:val="none"/>
        </w:rPr>
        <w:drawing>
          <wp:inline distT="0" distB="0" distL="0" distR="0">
            <wp:extent cx="4962525" cy="3076575"/>
            <wp:effectExtent l="0" t="0" r="9525" b="9525"/>
            <wp:docPr id="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
                    <pic:cNvPicPr>
                      <a:picLocks noChangeAspect="1"/>
                    </pic:cNvPicPr>
                  </pic:nvPicPr>
                  <pic:blipFill>
                    <a:blip r:embed="rId11" cstate="print"/>
                    <a:stretch>
                      <a:fillRect/>
                    </a:stretch>
                  </pic:blipFill>
                  <pic:spPr>
                    <a:xfrm>
                      <a:off x="0" y="0"/>
                      <a:ext cx="4962525" cy="3076575"/>
                    </a:xfrm>
                    <a:prstGeom prst="rect">
                      <a:avLst/>
                    </a:prstGeom>
                  </pic:spPr>
                </pic:pic>
              </a:graphicData>
            </a:graphic>
          </wp:inline>
        </w:drawing>
      </w:r>
    </w:p>
    <w:p>
      <w:pPr>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3、云平台介绍</w:t>
      </w:r>
    </w:p>
    <w:p>
      <w:pPr>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    中央空调联网计时型温控器供应商负责终端接入云平台，确保调试成功。</w:t>
      </w:r>
    </w:p>
    <w:p>
      <w:pPr>
        <w:rPr>
          <w:rFonts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     使用模式为每个宿舍舍长或课室负责人通过温控器微信小程序绑定该房间的温控器并充值，金额转到学校的微信账户，同时金额转换成小时数通过网络下发到本地温控器，平台做好账单记录，本地温控器的剩余时间在使用过程中自动递减，到0小时后自动解绑充值的账号，自动关闭并禁用温控器，需要用户重新绑定并充值才能使用温控器。充值的用户使用过程中可以通过手机控制温控器，退款原路退还给充值方。</w:t>
      </w:r>
    </w:p>
    <w:p>
      <w:pPr>
        <w:rPr>
          <w:rFonts w:ascii="宋体" w:hAnsi="宋体" w:eastAsia="宋体" w:cs="宋体"/>
          <w:bCs/>
          <w:color w:val="000000"/>
          <w:sz w:val="24"/>
          <w:szCs w:val="24"/>
          <w:highlight w:val="none"/>
        </w:rPr>
      </w:pPr>
    </w:p>
    <w:p>
      <w:pP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网页端功能包括但不限于以下内容：</w:t>
      </w:r>
    </w:p>
    <w:p>
      <w:pPr>
        <w:rPr>
          <w:rFonts w:hint="eastAsia" w:ascii="宋体" w:hAnsi="宋体" w:eastAsia="宋体" w:cs="宋体"/>
          <w:bCs/>
          <w:color w:val="000000"/>
          <w:sz w:val="24"/>
          <w:szCs w:val="24"/>
          <w:highlight w:val="none"/>
        </w:rPr>
      </w:pPr>
    </w:p>
    <w:p>
      <w:pPr>
        <w:rPr>
          <w:rFonts w:hint="eastAsia" w:ascii="宋体" w:hAnsi="宋体" w:eastAsia="宋体" w:cs="宋体"/>
          <w:bCs/>
          <w:color w:val="000000"/>
          <w:sz w:val="24"/>
          <w:szCs w:val="24"/>
          <w:highlight w:val="none"/>
        </w:rPr>
      </w:pPr>
    </w:p>
    <w:p>
      <w:pPr>
        <w:rPr>
          <w:rFonts w:hint="eastAsia" w:ascii="宋体" w:hAnsi="宋体" w:eastAsia="宋体" w:cs="宋体"/>
          <w:bCs/>
          <w:color w:val="000000"/>
          <w:sz w:val="24"/>
          <w:szCs w:val="24"/>
          <w:highlight w:val="none"/>
        </w:rPr>
      </w:pPr>
    </w:p>
    <w:p>
      <w:pPr>
        <w:rPr>
          <w:rFonts w:hint="eastAsia" w:ascii="宋体" w:hAnsi="宋体" w:eastAsia="宋体" w:cs="宋体"/>
          <w:bCs/>
          <w:color w:val="000000"/>
          <w:sz w:val="24"/>
          <w:szCs w:val="24"/>
          <w:highlight w:val="none"/>
        </w:rPr>
      </w:pPr>
    </w:p>
    <w:p>
      <w:pPr>
        <w:rPr>
          <w:rFonts w:hint="eastAsia" w:ascii="宋体" w:hAnsi="宋体" w:eastAsia="宋体" w:cs="宋体"/>
          <w:bCs/>
          <w:color w:val="000000"/>
          <w:sz w:val="24"/>
          <w:szCs w:val="24"/>
          <w:highlight w:val="none"/>
        </w:rPr>
      </w:pPr>
    </w:p>
    <w:p>
      <w:pPr>
        <w:rPr>
          <w:rFonts w:hint="eastAsia" w:ascii="宋体" w:hAnsi="宋体" w:eastAsia="宋体" w:cs="宋体"/>
          <w:bCs/>
          <w:color w:val="000000"/>
          <w:sz w:val="24"/>
          <w:szCs w:val="24"/>
          <w:highlight w:val="none"/>
        </w:rPr>
      </w:pPr>
    </w:p>
    <w:tbl>
      <w:tblPr>
        <w:tblStyle w:val="1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18"/>
        <w:gridCol w:w="6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418" w:type="dxa"/>
            <w:tcBorders>
              <w:top w:val="single" w:color="auto" w:sz="4" w:space="0"/>
              <w:left w:val="single" w:color="auto" w:sz="4" w:space="0"/>
              <w:bottom w:val="single" w:color="auto" w:sz="4" w:space="0"/>
              <w:right w:val="single" w:color="auto" w:sz="4" w:space="0"/>
            </w:tcBorders>
            <w:shd w:val="clear" w:color="auto" w:fill="BEBEBE"/>
            <w:vAlign w:val="center"/>
          </w:tcPr>
          <w:p>
            <w:pPr>
              <w:tabs>
                <w:tab w:val="left" w:pos="567"/>
              </w:tabs>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主菜单</w:t>
            </w:r>
          </w:p>
        </w:tc>
        <w:tc>
          <w:tcPr>
            <w:tcW w:w="1418" w:type="dxa"/>
            <w:tcBorders>
              <w:top w:val="single" w:color="auto" w:sz="4" w:space="0"/>
              <w:left w:val="single" w:color="auto" w:sz="4" w:space="0"/>
              <w:bottom w:val="single" w:color="auto" w:sz="4" w:space="0"/>
              <w:right w:val="single" w:color="auto" w:sz="4" w:space="0"/>
            </w:tcBorders>
            <w:shd w:val="clear" w:color="auto" w:fill="BEBEBE"/>
            <w:vAlign w:val="center"/>
          </w:tcPr>
          <w:p>
            <w:pPr>
              <w:tabs>
                <w:tab w:val="left" w:pos="567"/>
              </w:tabs>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子菜单</w:t>
            </w:r>
          </w:p>
        </w:tc>
        <w:tc>
          <w:tcPr>
            <w:tcW w:w="6486" w:type="dxa"/>
            <w:tcBorders>
              <w:top w:val="single" w:color="auto" w:sz="4" w:space="0"/>
              <w:left w:val="single" w:color="auto" w:sz="4" w:space="0"/>
              <w:bottom w:val="single" w:color="auto" w:sz="4" w:space="0"/>
              <w:right w:val="single" w:color="auto" w:sz="4" w:space="0"/>
            </w:tcBorders>
            <w:shd w:val="clear" w:color="auto" w:fill="BEBEBE"/>
            <w:vAlign w:val="center"/>
          </w:tcPr>
          <w:p>
            <w:pPr>
              <w:tabs>
                <w:tab w:val="left" w:pos="567"/>
              </w:tabs>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2" w:hRule="atLeast"/>
        </w:trPr>
        <w:tc>
          <w:tcPr>
            <w:tcW w:w="1418" w:type="dxa"/>
            <w:vAlign w:val="center"/>
          </w:tcPr>
          <w:p>
            <w:pPr>
              <w:tabs>
                <w:tab w:val="left" w:pos="567"/>
              </w:tabs>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总览</w:t>
            </w:r>
          </w:p>
        </w:tc>
        <w:tc>
          <w:tcPr>
            <w:tcW w:w="1418" w:type="dxa"/>
            <w:vAlign w:val="center"/>
          </w:tcPr>
          <w:p>
            <w:pPr>
              <w:tabs>
                <w:tab w:val="left" w:pos="567"/>
              </w:tabs>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物联网温控器管理平台总览</w:t>
            </w:r>
          </w:p>
        </w:tc>
        <w:tc>
          <w:tcPr>
            <w:tcW w:w="6486" w:type="dxa"/>
            <w:vAlign w:val="center"/>
          </w:tcPr>
          <w:p>
            <w:pPr>
              <w:pStyle w:val="28"/>
              <w:ind w:left="473" w:firstLine="0" w:firstLineChars="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能大屏显示，按每栋楼宇分类，包括但不限于以下内容：</w:t>
            </w:r>
          </w:p>
          <w:p>
            <w:pPr>
              <w:pStyle w:val="28"/>
              <w:numPr>
                <w:ilvl w:val="0"/>
                <w:numId w:val="11"/>
              </w:numPr>
              <w:ind w:left="33" w:firstLine="4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动态显示时间型温控器的情况：当前开机、关机、离线设备数统计、当前各个房间温控器运行状态的平面示意图，分各层显示，温控器开机是绿色、关机是灰色、离线是红色。温控器图显示室温、设定温度、档位设定、累计时间，只是显示不控制，控制功能在终端控制页面。</w:t>
            </w:r>
          </w:p>
          <w:p>
            <w:pPr>
              <w:pStyle w:val="28"/>
              <w:numPr>
                <w:ilvl w:val="0"/>
                <w:numId w:val="11"/>
              </w:numPr>
              <w:ind w:left="33" w:firstLine="4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显示时间型温控器的统计数据：上一小时平均开机数量、当天每一小时平均开机数量曲线、当月每天平均开机数量曲线、当年每月平均开机数量曲线、每小时平均开机数量和开机明细列表。</w:t>
            </w:r>
          </w:p>
          <w:p>
            <w:pPr>
              <w:pStyle w:val="28"/>
              <w:numPr>
                <w:ilvl w:val="0"/>
                <w:numId w:val="11"/>
              </w:numPr>
              <w:ind w:left="33" w:firstLine="4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房间温控器上一天用冷时间排名前十，当月排名前十、当年排名前十。房间温控器上一月充值总额排名前十，当年排名前十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418" w:type="dxa"/>
            <w:vMerge w:val="restart"/>
            <w:vAlign w:val="center"/>
          </w:tcPr>
          <w:p>
            <w:pPr>
              <w:tabs>
                <w:tab w:val="left" w:pos="567"/>
              </w:tabs>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设备监控</w:t>
            </w:r>
          </w:p>
        </w:tc>
        <w:tc>
          <w:tcPr>
            <w:tcW w:w="1418" w:type="dxa"/>
            <w:vAlign w:val="center"/>
          </w:tcPr>
          <w:p>
            <w:pPr>
              <w:tabs>
                <w:tab w:val="left" w:pos="567"/>
              </w:tabs>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运行状态</w:t>
            </w:r>
          </w:p>
        </w:tc>
        <w:tc>
          <w:tcPr>
            <w:tcW w:w="6486" w:type="dxa"/>
            <w:vAlign w:val="center"/>
          </w:tcPr>
          <w:p>
            <w:pPr>
              <w:tabs>
                <w:tab w:val="left" w:pos="567"/>
              </w:tabs>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显示设备编号，设备所在地，设备状态，室内温度，设定的温度，当前档位、累计时间、剩余时间等信息，并能通过下拉菜单选择进行条件查询。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418" w:type="dxa"/>
            <w:vMerge w:val="continue"/>
            <w:vAlign w:val="center"/>
          </w:tcPr>
          <w:p>
            <w:pPr>
              <w:tabs>
                <w:tab w:val="left" w:pos="567"/>
              </w:tabs>
              <w:jc w:val="center"/>
              <w:rPr>
                <w:rFonts w:ascii="宋体" w:hAnsi="宋体" w:eastAsia="宋体" w:cs="宋体"/>
                <w:color w:val="000000"/>
                <w:sz w:val="24"/>
                <w:szCs w:val="24"/>
                <w:highlight w:val="none"/>
              </w:rPr>
            </w:pPr>
          </w:p>
        </w:tc>
        <w:tc>
          <w:tcPr>
            <w:tcW w:w="1418" w:type="dxa"/>
            <w:vAlign w:val="center"/>
          </w:tcPr>
          <w:p>
            <w:pPr>
              <w:tabs>
                <w:tab w:val="left" w:pos="567"/>
              </w:tabs>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设备地图</w:t>
            </w:r>
          </w:p>
        </w:tc>
        <w:tc>
          <w:tcPr>
            <w:tcW w:w="6486" w:type="dxa"/>
            <w:vAlign w:val="center"/>
          </w:tcPr>
          <w:p>
            <w:pPr>
              <w:tabs>
                <w:tab w:val="left" w:pos="567"/>
              </w:tabs>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通过GIS地图形式显示各个设备的位置和运行情况。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418" w:type="dxa"/>
            <w:vMerge w:val="continue"/>
            <w:vAlign w:val="center"/>
          </w:tcPr>
          <w:p>
            <w:pPr>
              <w:tabs>
                <w:tab w:val="left" w:pos="567"/>
              </w:tabs>
              <w:jc w:val="center"/>
              <w:rPr>
                <w:rFonts w:ascii="宋体" w:hAnsi="宋体" w:eastAsia="宋体" w:cs="宋体"/>
                <w:color w:val="000000"/>
                <w:sz w:val="24"/>
                <w:szCs w:val="24"/>
                <w:highlight w:val="none"/>
              </w:rPr>
            </w:pPr>
          </w:p>
        </w:tc>
        <w:tc>
          <w:tcPr>
            <w:tcW w:w="1418" w:type="dxa"/>
            <w:vAlign w:val="center"/>
          </w:tcPr>
          <w:p>
            <w:pPr>
              <w:tabs>
                <w:tab w:val="left" w:pos="567"/>
              </w:tabs>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拓扑展示</w:t>
            </w:r>
          </w:p>
        </w:tc>
        <w:tc>
          <w:tcPr>
            <w:tcW w:w="6486" w:type="dxa"/>
            <w:vAlign w:val="center"/>
          </w:tcPr>
          <w:p>
            <w:pPr>
              <w:tabs>
                <w:tab w:val="left" w:pos="567"/>
              </w:tabs>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用可视化的方式展现设备的拓扑情况及设备信息，如设备和网关之间的连接方式。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18" w:type="dxa"/>
            <w:vMerge w:val="continue"/>
            <w:vAlign w:val="center"/>
          </w:tcPr>
          <w:p>
            <w:pPr>
              <w:tabs>
                <w:tab w:val="left" w:pos="567"/>
              </w:tabs>
              <w:jc w:val="center"/>
              <w:rPr>
                <w:rFonts w:ascii="宋体" w:hAnsi="宋体" w:eastAsia="宋体" w:cs="宋体"/>
                <w:color w:val="000000"/>
                <w:sz w:val="24"/>
                <w:szCs w:val="24"/>
                <w:highlight w:val="none"/>
              </w:rPr>
            </w:pPr>
          </w:p>
        </w:tc>
        <w:tc>
          <w:tcPr>
            <w:tcW w:w="1418" w:type="dxa"/>
            <w:vAlign w:val="center"/>
          </w:tcPr>
          <w:p>
            <w:pPr>
              <w:tabs>
                <w:tab w:val="left" w:pos="567"/>
              </w:tabs>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终端管理</w:t>
            </w:r>
          </w:p>
        </w:tc>
        <w:tc>
          <w:tcPr>
            <w:tcW w:w="6486" w:type="dxa"/>
            <w:vAlign w:val="center"/>
          </w:tcPr>
          <w:p>
            <w:pPr>
              <w:tabs>
                <w:tab w:val="left" w:pos="567"/>
              </w:tabs>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记录末端设备和网关信息，包括编号、设备名称、所在建筑、设备具体位置、通信端口、波特率、所用网络、所属基站、负责人、负责人联系方式等数据。能自行增加或删减末端设备配置和定义。记录温控器所对应的空调制冷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418" w:type="dxa"/>
            <w:vMerge w:val="restart"/>
            <w:vAlign w:val="center"/>
          </w:tcPr>
          <w:p>
            <w:pPr>
              <w:tabs>
                <w:tab w:val="left" w:pos="567"/>
              </w:tabs>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设备控制</w:t>
            </w:r>
          </w:p>
        </w:tc>
        <w:tc>
          <w:tcPr>
            <w:tcW w:w="1418" w:type="dxa"/>
            <w:vAlign w:val="center"/>
          </w:tcPr>
          <w:p>
            <w:pPr>
              <w:tabs>
                <w:tab w:val="left" w:pos="567"/>
              </w:tabs>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基础控制</w:t>
            </w:r>
          </w:p>
        </w:tc>
        <w:tc>
          <w:tcPr>
            <w:tcW w:w="6486" w:type="dxa"/>
            <w:vAlign w:val="center"/>
          </w:tcPr>
          <w:p>
            <w:pPr>
              <w:tabs>
                <w:tab w:val="left" w:pos="567"/>
              </w:tabs>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记录设备编号，设备所在地，设备状态，室内温度，设定的温度，当前档位等信息。通过能源平台/小程序对指定设备终端进行开关控制，调温、调档等基本控制操作，并能通过下拉菜单选择进行条件查询。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418" w:type="dxa"/>
            <w:vMerge w:val="continue"/>
            <w:vAlign w:val="center"/>
          </w:tcPr>
          <w:p>
            <w:pPr>
              <w:tabs>
                <w:tab w:val="left" w:pos="567"/>
              </w:tabs>
              <w:jc w:val="center"/>
              <w:rPr>
                <w:rFonts w:ascii="宋体" w:hAnsi="宋体" w:eastAsia="宋体" w:cs="宋体"/>
                <w:color w:val="000000"/>
                <w:sz w:val="24"/>
                <w:szCs w:val="24"/>
                <w:highlight w:val="none"/>
              </w:rPr>
            </w:pPr>
          </w:p>
        </w:tc>
        <w:tc>
          <w:tcPr>
            <w:tcW w:w="1418" w:type="dxa"/>
            <w:vAlign w:val="center"/>
          </w:tcPr>
          <w:p>
            <w:pPr>
              <w:tabs>
                <w:tab w:val="left" w:pos="567"/>
              </w:tabs>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高级控制</w:t>
            </w:r>
          </w:p>
        </w:tc>
        <w:tc>
          <w:tcPr>
            <w:tcW w:w="6486" w:type="dxa"/>
            <w:vAlign w:val="center"/>
          </w:tcPr>
          <w:p>
            <w:pPr>
              <w:tabs>
                <w:tab w:val="left" w:pos="567"/>
              </w:tabs>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记录了设备编号，设备所在地，设备状态，可调温控范围，累计时间，剩余时间，计费状态，禁用状态等信息，点击对应编辑按键，即可进行高级控制，例如禁用某温控器，某温控器解除禁用，某温控器开始计费，某温控器累计时间清零，某温控器的剩余时间增加，调节限制某温控器可调节温度范围（可起到节约能源作用）。该页面支持一定程度的条件查询，模糊搜索等。温度系数和风速系数等参数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418" w:type="dxa"/>
            <w:vMerge w:val="continue"/>
            <w:vAlign w:val="center"/>
          </w:tcPr>
          <w:p>
            <w:pPr>
              <w:tabs>
                <w:tab w:val="left" w:pos="567"/>
              </w:tabs>
              <w:jc w:val="center"/>
              <w:rPr>
                <w:rFonts w:ascii="宋体" w:hAnsi="宋体" w:eastAsia="宋体" w:cs="宋体"/>
                <w:color w:val="000000"/>
                <w:sz w:val="24"/>
                <w:szCs w:val="24"/>
                <w:highlight w:val="none"/>
              </w:rPr>
            </w:pPr>
          </w:p>
        </w:tc>
        <w:tc>
          <w:tcPr>
            <w:tcW w:w="1418" w:type="dxa"/>
            <w:vAlign w:val="center"/>
          </w:tcPr>
          <w:p>
            <w:pPr>
              <w:tabs>
                <w:tab w:val="left" w:pos="567"/>
              </w:tabs>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定时任务</w:t>
            </w:r>
          </w:p>
        </w:tc>
        <w:tc>
          <w:tcPr>
            <w:tcW w:w="6486" w:type="dxa"/>
            <w:vAlign w:val="center"/>
          </w:tcPr>
          <w:p>
            <w:pPr>
              <w:tabs>
                <w:tab w:val="left" w:pos="567"/>
              </w:tabs>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记录定时任务编号、学校、设备组名称、任务状态、任务周期等数据。管理人员可在该页面进行任务的开关，编辑具体任务情况和课程表，如某学校下的某温控器（支持多个温控器）在某时间进行关机动作或禁用操作；在该页面可新增定时任务，也可模糊搜索，支持一定程度的条件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tabs>
                <w:tab w:val="left" w:pos="567"/>
              </w:tabs>
              <w:jc w:val="center"/>
              <w:rPr>
                <w:rFonts w:ascii="宋体" w:hAnsi="宋体" w:eastAsia="宋体" w:cs="宋体"/>
                <w:color w:val="000000"/>
                <w:sz w:val="24"/>
                <w:szCs w:val="24"/>
                <w:highlight w:val="none"/>
              </w:rPr>
            </w:pPr>
          </w:p>
        </w:tc>
        <w:tc>
          <w:tcPr>
            <w:tcW w:w="1418" w:type="dxa"/>
            <w:vAlign w:val="center"/>
          </w:tcPr>
          <w:p>
            <w:pPr>
              <w:tabs>
                <w:tab w:val="left" w:pos="567"/>
              </w:tabs>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控制规则</w:t>
            </w:r>
          </w:p>
        </w:tc>
        <w:tc>
          <w:tcPr>
            <w:tcW w:w="6486" w:type="dxa"/>
            <w:vAlign w:val="center"/>
          </w:tcPr>
          <w:p>
            <w:pPr>
              <w:tabs>
                <w:tab w:val="left" w:pos="567"/>
              </w:tabs>
              <w:jc w:val="left"/>
              <w:rPr>
                <w:rFonts w:ascii="宋体" w:hAnsi="宋体" w:eastAsia="宋体" w:cs="宋体"/>
                <w:color w:val="000000"/>
                <w:sz w:val="24"/>
                <w:szCs w:val="24"/>
                <w:highlight w:val="none"/>
              </w:rPr>
            </w:pPr>
            <w:r>
              <w:rPr>
                <w:rFonts w:hint="eastAsia" w:ascii="宋体" w:hAnsi="宋体" w:eastAsia="宋体" w:cs="宋体"/>
                <w:color w:val="000000"/>
                <w:kern w:val="0"/>
                <w:sz w:val="24"/>
                <w:highlight w:val="none"/>
              </w:rPr>
              <w:t>用户能根据需要增加或减少规则池里的温控器，中央空调控制系统能判断在线的温控器工作情况，如果全部温控器都关闭则输出关信号到板换间控制水泵关，如果有一个以上温控器打开工作则输出开信号到板换间控制水泵开。在该页面可新增控制规则，也可模糊搜索，支持一定程度的条件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center"/>
          </w:tcPr>
          <w:p>
            <w:pPr>
              <w:tabs>
                <w:tab w:val="left" w:pos="567"/>
              </w:tabs>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消费管理</w:t>
            </w:r>
          </w:p>
        </w:tc>
        <w:tc>
          <w:tcPr>
            <w:tcW w:w="1418" w:type="dxa"/>
            <w:vAlign w:val="center"/>
          </w:tcPr>
          <w:p>
            <w:pPr>
              <w:tabs>
                <w:tab w:val="left" w:pos="567"/>
              </w:tabs>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消费记录</w:t>
            </w:r>
          </w:p>
        </w:tc>
        <w:tc>
          <w:tcPr>
            <w:tcW w:w="6486" w:type="dxa"/>
            <w:vAlign w:val="center"/>
          </w:tcPr>
          <w:p>
            <w:pPr>
              <w:tabs>
                <w:tab w:val="left" w:pos="567"/>
              </w:tabs>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按表格记录了消费账号、消费方式（移动支付）、消费开始时间、结束消费时间、消费总时长（h）、消费金额、消费终端编号、消费终端位置等信息，可按时间、消费方式、消费终端位置分类查询。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tabs>
                <w:tab w:val="left" w:pos="567"/>
              </w:tabs>
              <w:jc w:val="center"/>
              <w:rPr>
                <w:rFonts w:ascii="宋体" w:hAnsi="宋体" w:eastAsia="宋体" w:cs="宋体"/>
                <w:color w:val="000000"/>
                <w:sz w:val="24"/>
                <w:szCs w:val="24"/>
                <w:highlight w:val="none"/>
              </w:rPr>
            </w:pPr>
          </w:p>
        </w:tc>
        <w:tc>
          <w:tcPr>
            <w:tcW w:w="1418" w:type="dxa"/>
            <w:vAlign w:val="center"/>
          </w:tcPr>
          <w:p>
            <w:pPr>
              <w:tabs>
                <w:tab w:val="left" w:pos="567"/>
              </w:tabs>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单价调整</w:t>
            </w:r>
          </w:p>
        </w:tc>
        <w:tc>
          <w:tcPr>
            <w:tcW w:w="6486" w:type="dxa"/>
            <w:vAlign w:val="center"/>
          </w:tcPr>
          <w:p>
            <w:pPr>
              <w:tabs>
                <w:tab w:val="left" w:pos="567"/>
              </w:tabs>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通过能源平台对指定设备终端进行单价调整，并使用表格记录设备的设备编号、所在建筑、具体位置、单价（分低中高三档价格）。温度系数和风速系数设定。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tabs>
                <w:tab w:val="left" w:pos="567"/>
              </w:tabs>
              <w:jc w:val="center"/>
              <w:rPr>
                <w:rFonts w:ascii="宋体" w:hAnsi="宋体" w:eastAsia="宋体" w:cs="宋体"/>
                <w:color w:val="000000"/>
                <w:sz w:val="24"/>
                <w:szCs w:val="24"/>
                <w:highlight w:val="none"/>
              </w:rPr>
            </w:pPr>
          </w:p>
        </w:tc>
        <w:tc>
          <w:tcPr>
            <w:tcW w:w="1418" w:type="dxa"/>
            <w:vAlign w:val="center"/>
          </w:tcPr>
          <w:p>
            <w:pPr>
              <w:tabs>
                <w:tab w:val="left" w:pos="567"/>
              </w:tabs>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账号信息</w:t>
            </w:r>
          </w:p>
        </w:tc>
        <w:tc>
          <w:tcPr>
            <w:tcW w:w="6486" w:type="dxa"/>
            <w:vAlign w:val="center"/>
          </w:tcPr>
          <w:p>
            <w:pPr>
              <w:tabs>
                <w:tab w:val="left" w:pos="567"/>
              </w:tabs>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按表格记录消费账号的相关信息，包括学校、专业、性别、年龄、联系方式、余额。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tabs>
                <w:tab w:val="left" w:pos="567"/>
              </w:tabs>
              <w:jc w:val="center"/>
              <w:rPr>
                <w:rFonts w:ascii="宋体" w:hAnsi="宋体" w:eastAsia="宋体" w:cs="宋体"/>
                <w:color w:val="000000"/>
                <w:sz w:val="24"/>
                <w:szCs w:val="24"/>
                <w:highlight w:val="none"/>
              </w:rPr>
            </w:pPr>
          </w:p>
        </w:tc>
        <w:tc>
          <w:tcPr>
            <w:tcW w:w="1418" w:type="dxa"/>
            <w:vAlign w:val="center"/>
          </w:tcPr>
          <w:p>
            <w:pPr>
              <w:tabs>
                <w:tab w:val="left" w:pos="567"/>
              </w:tabs>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退款管理</w:t>
            </w:r>
          </w:p>
        </w:tc>
        <w:tc>
          <w:tcPr>
            <w:tcW w:w="6486" w:type="dxa"/>
            <w:vAlign w:val="center"/>
          </w:tcPr>
          <w:p>
            <w:pPr>
              <w:tabs>
                <w:tab w:val="left" w:pos="567"/>
              </w:tabs>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提供退款管理功能，绑定的账号操作退款，提交申请10个工作日内财务完成审批原路回退。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tabs>
                <w:tab w:val="left" w:pos="567"/>
              </w:tabs>
              <w:jc w:val="center"/>
              <w:rPr>
                <w:rFonts w:ascii="宋体" w:hAnsi="宋体" w:eastAsia="宋体" w:cs="宋体"/>
                <w:color w:val="000000"/>
                <w:sz w:val="24"/>
                <w:szCs w:val="24"/>
                <w:highlight w:val="none"/>
              </w:rPr>
            </w:pPr>
          </w:p>
        </w:tc>
        <w:tc>
          <w:tcPr>
            <w:tcW w:w="1418" w:type="dxa"/>
            <w:vAlign w:val="center"/>
          </w:tcPr>
          <w:p>
            <w:pPr>
              <w:keepNext/>
              <w:keepLines/>
              <w:numPr>
                <w:ilvl w:val="2"/>
                <w:numId w:val="0"/>
              </w:numPr>
              <w:spacing w:before="260" w:after="260" w:line="360" w:lineRule="auto"/>
              <w:ind w:left="720" w:hanging="720"/>
              <w:outlineLvl w:val="2"/>
              <w:rPr>
                <w:rFonts w:ascii="宋体" w:hAnsi="宋体" w:eastAsia="宋体" w:cs="宋体"/>
                <w:b/>
                <w:bCs/>
                <w:sz w:val="24"/>
                <w:szCs w:val="24"/>
                <w:highlight w:val="none"/>
              </w:rPr>
            </w:pPr>
            <w:r>
              <w:rPr>
                <w:rFonts w:hint="eastAsia" w:ascii="宋体" w:hAnsi="宋体" w:eastAsia="宋体" w:cs="宋体"/>
                <w:b/>
                <w:bCs/>
                <w:sz w:val="24"/>
                <w:szCs w:val="24"/>
                <w:highlight w:val="none"/>
              </w:rPr>
              <w:t>充值管理</w:t>
            </w:r>
          </w:p>
          <w:p>
            <w:pPr>
              <w:tabs>
                <w:tab w:val="left" w:pos="567"/>
              </w:tabs>
              <w:jc w:val="center"/>
              <w:rPr>
                <w:rFonts w:ascii="宋体" w:hAnsi="宋体" w:eastAsia="宋体" w:cs="宋体"/>
                <w:color w:val="000000"/>
                <w:sz w:val="24"/>
                <w:szCs w:val="24"/>
                <w:highlight w:val="none"/>
              </w:rPr>
            </w:pPr>
          </w:p>
        </w:tc>
        <w:tc>
          <w:tcPr>
            <w:tcW w:w="6486" w:type="dxa"/>
            <w:vAlign w:val="center"/>
          </w:tcPr>
          <w:p>
            <w:pPr>
              <w:spacing w:line="360" w:lineRule="auto"/>
              <w:ind w:firstLine="480" w:firstLineChars="200"/>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每间宿舍的舍长或课室负责人注册一个个人账号，并且绑定该房间的温控器，该个人账号可以进行充值和退款的操作，该个人账号的余额关联温控器的可使用时间，该账号可多人登录使用。</w:t>
            </w:r>
          </w:p>
          <w:p>
            <w:pPr>
              <w:spacing w:line="360" w:lineRule="auto"/>
              <w:ind w:firstLine="480" w:firstLineChars="200"/>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每台温控器只能绑定一个账号，但一个账号可以绑定多台温控器，当用户余额为0后自动解绑，下次充值需要绑定才能充值和退款。绑定后的账号可以对温控器远程操作，没有绑定的账号不能操作温控器。</w:t>
            </w:r>
          </w:p>
          <w:p>
            <w:pPr>
              <w:spacing w:line="360" w:lineRule="auto"/>
              <w:ind w:firstLine="480" w:firstLineChars="200"/>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用户可以在手机小程序上充值和退款，管理员在平台也可以对温控器充值，例如每个月学校发放的空调补贴，系统要区分两种操作，用户充值的剩余时间优先使用，用户充值余额到0后则自动解绑，温控器继续使用平台充值的时间，直到总剩余时间为0。</w:t>
            </w:r>
          </w:p>
          <w:p>
            <w:pPr>
              <w:spacing w:line="360" w:lineRule="auto"/>
              <w:ind w:firstLine="480" w:firstLineChars="200"/>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联网计时型温控器计费逻辑：累计时间和剩余时间是由温控器本地的温度系数和风速系数得出，得出的时间是折算成26℃低档标准节能工况下的时间，例如25℃的温度系数是1.1，中档系数是1.1，累计初值是100小时，用户充值10元，系统根据0.5元/小时单价折算成20小时充进温控器剩余时间为20小时，则以25℃中档运行1小时的累计时间为1.21小时，累计时间为101.21小时，剩余时间为18.79小时，同时平台的余额也刷新并在平台和手机上显示，当剩余时间为0时自动关闭温控器。其他温度系数和风速系数计算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tabs>
                <w:tab w:val="left" w:pos="567"/>
              </w:tabs>
              <w:jc w:val="center"/>
              <w:rPr>
                <w:rFonts w:ascii="宋体" w:hAnsi="宋体" w:eastAsia="宋体" w:cs="宋体"/>
                <w:color w:val="000000"/>
                <w:sz w:val="24"/>
                <w:szCs w:val="24"/>
                <w:highlight w:val="none"/>
              </w:rPr>
            </w:pPr>
          </w:p>
        </w:tc>
        <w:tc>
          <w:tcPr>
            <w:tcW w:w="1418" w:type="dxa"/>
            <w:vAlign w:val="center"/>
          </w:tcPr>
          <w:p>
            <w:pPr>
              <w:tabs>
                <w:tab w:val="left" w:pos="567"/>
              </w:tabs>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充值退款记录</w:t>
            </w:r>
          </w:p>
        </w:tc>
        <w:tc>
          <w:tcPr>
            <w:tcW w:w="6486" w:type="dxa"/>
            <w:vAlign w:val="center"/>
          </w:tcPr>
          <w:p>
            <w:pPr>
              <w:tabs>
                <w:tab w:val="left" w:pos="567"/>
              </w:tabs>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提供记录和查询充值退款等操作的明细。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center"/>
          </w:tcPr>
          <w:p>
            <w:pPr>
              <w:tabs>
                <w:tab w:val="left" w:pos="567"/>
              </w:tabs>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数据分析</w:t>
            </w:r>
          </w:p>
        </w:tc>
        <w:tc>
          <w:tcPr>
            <w:tcW w:w="1418" w:type="dxa"/>
            <w:vAlign w:val="center"/>
          </w:tcPr>
          <w:p>
            <w:pPr>
              <w:tabs>
                <w:tab w:val="left" w:pos="567"/>
              </w:tabs>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营收分析</w:t>
            </w:r>
          </w:p>
        </w:tc>
        <w:tc>
          <w:tcPr>
            <w:tcW w:w="6486" w:type="dxa"/>
            <w:vAlign w:val="center"/>
          </w:tcPr>
          <w:p>
            <w:pPr>
              <w:tabs>
                <w:tab w:val="left" w:pos="567"/>
              </w:tabs>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按时间段查询消费情况，包括各高校总消费额对比（柱状图）、各高校总消费额占比（饼形图）、消费趋势（折线图）、消费余额（柱状图）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tabs>
                <w:tab w:val="left" w:pos="567"/>
              </w:tabs>
              <w:jc w:val="center"/>
              <w:rPr>
                <w:rFonts w:ascii="宋体" w:hAnsi="宋体" w:eastAsia="宋体" w:cs="宋体"/>
                <w:color w:val="000000"/>
                <w:sz w:val="24"/>
                <w:szCs w:val="24"/>
                <w:highlight w:val="none"/>
              </w:rPr>
            </w:pPr>
          </w:p>
        </w:tc>
        <w:tc>
          <w:tcPr>
            <w:tcW w:w="1418" w:type="dxa"/>
            <w:vAlign w:val="center"/>
          </w:tcPr>
          <w:p>
            <w:pPr>
              <w:tabs>
                <w:tab w:val="left" w:pos="567"/>
              </w:tabs>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使用时长分析</w:t>
            </w:r>
          </w:p>
        </w:tc>
        <w:tc>
          <w:tcPr>
            <w:tcW w:w="6486" w:type="dxa"/>
            <w:vAlign w:val="center"/>
          </w:tcPr>
          <w:p>
            <w:pPr>
              <w:tabs>
                <w:tab w:val="left" w:pos="567"/>
              </w:tabs>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此模块功能是根据终端控制器收集上来的数据，进行整理分析，出具报表。根据需求进行数据挖掘工作，为院校的改进、管理，提供数据支持。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tabs>
                <w:tab w:val="left" w:pos="567"/>
              </w:tabs>
              <w:jc w:val="center"/>
              <w:rPr>
                <w:rFonts w:ascii="宋体" w:hAnsi="宋体" w:eastAsia="宋体" w:cs="宋体"/>
                <w:color w:val="000000"/>
                <w:sz w:val="24"/>
                <w:szCs w:val="24"/>
                <w:highlight w:val="none"/>
              </w:rPr>
            </w:pPr>
          </w:p>
        </w:tc>
        <w:tc>
          <w:tcPr>
            <w:tcW w:w="1418" w:type="dxa"/>
            <w:vAlign w:val="center"/>
          </w:tcPr>
          <w:p>
            <w:pPr>
              <w:tabs>
                <w:tab w:val="left" w:pos="567"/>
              </w:tabs>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智能分析</w:t>
            </w:r>
          </w:p>
        </w:tc>
        <w:tc>
          <w:tcPr>
            <w:tcW w:w="6486" w:type="dxa"/>
            <w:vAlign w:val="center"/>
          </w:tcPr>
          <w:p>
            <w:pPr>
              <w:tabs>
                <w:tab w:val="left" w:pos="567"/>
              </w:tabs>
              <w:jc w:val="lef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通过过去7天的冷气使用时长和天气温度的关系建立模型，推算出关系函数，通过关系函数和本周未来七天的天气温度预测本周7天的冷气使用时长（该预测每周日更新一次，使用折线图和柱状图展示）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tabs>
                <w:tab w:val="left" w:pos="567"/>
              </w:tabs>
              <w:spacing w:line="360" w:lineRule="auto"/>
              <w:jc w:val="center"/>
              <w:rPr>
                <w:rFonts w:ascii="宋体" w:hAnsi="宋体" w:eastAsia="宋体" w:cs="宋体"/>
                <w:sz w:val="24"/>
                <w:szCs w:val="24"/>
                <w:highlight w:val="none"/>
              </w:rPr>
            </w:pPr>
          </w:p>
        </w:tc>
        <w:tc>
          <w:tcPr>
            <w:tcW w:w="1418" w:type="dxa"/>
            <w:vAlign w:val="center"/>
          </w:tcPr>
          <w:p>
            <w:pPr>
              <w:tabs>
                <w:tab w:val="left" w:pos="945"/>
              </w:tabs>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财务分析</w:t>
            </w:r>
          </w:p>
          <w:p>
            <w:pPr>
              <w:tabs>
                <w:tab w:val="left" w:pos="567"/>
              </w:tabs>
              <w:spacing w:line="360" w:lineRule="auto"/>
              <w:jc w:val="center"/>
              <w:rPr>
                <w:rFonts w:ascii="宋体" w:hAnsi="宋体" w:eastAsia="宋体" w:cs="宋体"/>
                <w:color w:val="000000"/>
                <w:sz w:val="24"/>
                <w:szCs w:val="24"/>
                <w:highlight w:val="none"/>
              </w:rPr>
            </w:pPr>
          </w:p>
        </w:tc>
        <w:tc>
          <w:tcPr>
            <w:tcW w:w="6486" w:type="dxa"/>
            <w:vAlign w:val="center"/>
          </w:tcPr>
          <w:p>
            <w:pPr>
              <w:tabs>
                <w:tab w:val="left" w:pos="945"/>
              </w:tabs>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有消费金额、余额、充值总额和充值次数的情况展示，通过柱状图的方式展示出消费额趋势，并且进行学校消费排名。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tabs>
                <w:tab w:val="left" w:pos="567"/>
              </w:tabs>
              <w:spacing w:line="360" w:lineRule="auto"/>
              <w:jc w:val="center"/>
              <w:rPr>
                <w:rFonts w:ascii="宋体" w:hAnsi="宋体" w:eastAsia="宋体" w:cs="宋体"/>
                <w:sz w:val="24"/>
                <w:szCs w:val="24"/>
                <w:highlight w:val="none"/>
              </w:rPr>
            </w:pPr>
          </w:p>
        </w:tc>
        <w:tc>
          <w:tcPr>
            <w:tcW w:w="1418" w:type="dxa"/>
            <w:vAlign w:val="center"/>
          </w:tcPr>
          <w:p>
            <w:pPr>
              <w:tabs>
                <w:tab w:val="left" w:pos="945"/>
              </w:tabs>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设备分析</w:t>
            </w:r>
          </w:p>
          <w:p>
            <w:pPr>
              <w:tabs>
                <w:tab w:val="left" w:pos="567"/>
              </w:tabs>
              <w:spacing w:line="360" w:lineRule="auto"/>
              <w:jc w:val="center"/>
              <w:rPr>
                <w:rFonts w:ascii="宋体" w:hAnsi="宋体" w:eastAsia="宋体" w:cs="宋体"/>
                <w:color w:val="000000"/>
                <w:sz w:val="24"/>
                <w:szCs w:val="24"/>
                <w:highlight w:val="none"/>
              </w:rPr>
            </w:pPr>
          </w:p>
        </w:tc>
        <w:tc>
          <w:tcPr>
            <w:tcW w:w="6486" w:type="dxa"/>
            <w:vAlign w:val="center"/>
          </w:tcPr>
          <w:p>
            <w:pPr>
              <w:tabs>
                <w:tab w:val="left" w:pos="945"/>
              </w:tabs>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有设备情况展示，通过柱状图的方式展示出设备情况趋势，并且进行学校消费排名。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tabs>
                <w:tab w:val="left" w:pos="567"/>
              </w:tabs>
              <w:spacing w:line="360" w:lineRule="auto"/>
              <w:jc w:val="center"/>
              <w:rPr>
                <w:rFonts w:ascii="宋体" w:hAnsi="宋体" w:eastAsia="宋体" w:cs="宋体"/>
                <w:sz w:val="24"/>
                <w:szCs w:val="24"/>
                <w:highlight w:val="none"/>
              </w:rPr>
            </w:pPr>
          </w:p>
        </w:tc>
        <w:tc>
          <w:tcPr>
            <w:tcW w:w="1418" w:type="dxa"/>
            <w:vAlign w:val="center"/>
          </w:tcPr>
          <w:p>
            <w:pPr>
              <w:tabs>
                <w:tab w:val="left" w:pos="567"/>
              </w:tabs>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数据下载</w:t>
            </w:r>
          </w:p>
        </w:tc>
        <w:tc>
          <w:tcPr>
            <w:tcW w:w="6486" w:type="dxa"/>
            <w:vAlign w:val="center"/>
          </w:tcPr>
          <w:p>
            <w:pPr>
              <w:pStyle w:val="28"/>
              <w:ind w:left="0" w:firstLine="0" w:firstLineChars="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提供数据分类汇总和下载功能，提供运营报表和财务报表，按用户需求定制数据报表格式。包括但不限于以下数据：</w:t>
            </w:r>
          </w:p>
          <w:p>
            <w:pPr>
              <w:pStyle w:val="28"/>
              <w:ind w:left="0" w:firstLine="0" w:firstLineChars="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汇总各台盘管风机、吊顶风机和落地风柜的制冷量，得出与标准盘管风机的制冷量比例，如标准盘管制冷量是2kw,505房间的吊顶制冷量是5kw，则505房间制冷量比例是2.5倍标准盘管，汇总各个温控器对应的制冷量比例，列表并提供下载；</w:t>
            </w:r>
          </w:p>
          <w:p>
            <w:pPr>
              <w:pStyle w:val="28"/>
              <w:ind w:left="0" w:firstLine="0" w:firstLineChars="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统计每小时各个温控器用冷时间，乘以相应制冷量比例，汇总后得出每小时总的用冷时间，结合每小时用电量和每小时冷量得出每小时折算到每台标准盘管风机的平均电量和平均冷量。提供每小时各个温控器用冷时间列表、每小时总用冷时间、每小时平均电量和每小时平均冷量数据下载；</w:t>
            </w:r>
          </w:p>
          <w:p>
            <w:pPr>
              <w:pStyle w:val="28"/>
              <w:ind w:left="0" w:firstLine="0" w:firstLineChars="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3、每个温控器开关机时间、离线时间明细数据下载；</w:t>
            </w:r>
          </w:p>
          <w:p>
            <w:pPr>
              <w:pStyle w:val="28"/>
              <w:ind w:left="0" w:firstLine="0" w:firstLineChars="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4、每小时各个温控器开关机时间、离线时间明细数据下载；</w:t>
            </w:r>
          </w:p>
          <w:p>
            <w:pPr>
              <w:pStyle w:val="28"/>
              <w:ind w:left="0" w:firstLine="0" w:firstLineChars="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5、每小时温控器开关机数量、离线数量汇总数据下载；</w:t>
            </w:r>
          </w:p>
          <w:p>
            <w:pPr>
              <w:pStyle w:val="28"/>
              <w:ind w:left="0" w:firstLine="0" w:firstLineChars="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6、每个温控器每天用冷时间和总用冷时间统计，按天、月、年统计并可以数据下载；</w:t>
            </w:r>
          </w:p>
          <w:p>
            <w:pPr>
              <w:pStyle w:val="28"/>
              <w:ind w:left="0" w:firstLine="0" w:firstLineChars="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7、每个温控器室内温度10分钟记录一次并提供数据下载；</w:t>
            </w:r>
          </w:p>
          <w:p>
            <w:pPr>
              <w:pStyle w:val="28"/>
              <w:ind w:left="0" w:firstLine="0" w:firstLineChars="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8、提供运营报表和财务报表数据下载，如充值记录和退款记录等。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tabs>
                <w:tab w:val="left" w:pos="567"/>
              </w:tabs>
              <w:spacing w:line="360" w:lineRule="auto"/>
              <w:jc w:val="center"/>
              <w:rPr>
                <w:rFonts w:ascii="宋体" w:hAnsi="宋体" w:eastAsia="宋体" w:cs="宋体"/>
                <w:sz w:val="24"/>
                <w:szCs w:val="24"/>
                <w:highlight w:val="none"/>
              </w:rPr>
            </w:pPr>
          </w:p>
        </w:tc>
        <w:tc>
          <w:tcPr>
            <w:tcW w:w="1418"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操作记录和查询</w:t>
            </w:r>
          </w:p>
        </w:tc>
        <w:tc>
          <w:tcPr>
            <w:tcW w:w="6486"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系统应能对本地操作、客户端手机操作、平台网页端操作、管理端手机操作进行区分记录。对开机、关机、调温、调档、禁用、解禁、限温等操作信息进行记录和查询，记录保存24个月以上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center"/>
          </w:tcPr>
          <w:p>
            <w:pPr>
              <w:tabs>
                <w:tab w:val="left" w:pos="567"/>
              </w:tabs>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系统管理</w:t>
            </w:r>
          </w:p>
        </w:tc>
        <w:tc>
          <w:tcPr>
            <w:tcW w:w="1418" w:type="dxa"/>
            <w:vAlign w:val="center"/>
          </w:tcPr>
          <w:p>
            <w:pPr>
              <w:tabs>
                <w:tab w:val="left" w:pos="567"/>
              </w:tabs>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权限管理</w:t>
            </w:r>
          </w:p>
        </w:tc>
        <w:tc>
          <w:tcPr>
            <w:tcW w:w="6486" w:type="dxa"/>
            <w:vAlign w:val="center"/>
          </w:tcPr>
          <w:p>
            <w:pPr>
              <w:tabs>
                <w:tab w:val="left" w:pos="567"/>
              </w:tabs>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对各个使用者设定权限分级管理，对登录和操作进行系统记录。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tabs>
                <w:tab w:val="left" w:pos="567"/>
              </w:tabs>
              <w:spacing w:line="360" w:lineRule="auto"/>
              <w:jc w:val="center"/>
              <w:rPr>
                <w:rFonts w:ascii="宋体" w:hAnsi="宋体" w:eastAsia="宋体" w:cs="宋体"/>
                <w:color w:val="000000"/>
                <w:sz w:val="24"/>
                <w:szCs w:val="24"/>
                <w:highlight w:val="none"/>
              </w:rPr>
            </w:pPr>
          </w:p>
        </w:tc>
        <w:tc>
          <w:tcPr>
            <w:tcW w:w="1418" w:type="dxa"/>
            <w:vAlign w:val="center"/>
          </w:tcPr>
          <w:p>
            <w:pPr>
              <w:tabs>
                <w:tab w:val="left" w:pos="567"/>
              </w:tabs>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账户管理</w:t>
            </w:r>
          </w:p>
        </w:tc>
        <w:tc>
          <w:tcPr>
            <w:tcW w:w="6486" w:type="dxa"/>
            <w:vAlign w:val="center"/>
          </w:tcPr>
          <w:p>
            <w:pPr>
              <w:tabs>
                <w:tab w:val="left" w:pos="945"/>
              </w:tabs>
              <w:spacing w:line="360" w:lineRule="auto"/>
              <w:ind w:firstLine="0" w:firstLineChars="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可创建用户，需填写内容包括用户名，密码，确认密码，邮箱，手机号码，部门。可查询用户信息，可展示用户列表，默认最多展示10个用户信息。删除用户信息或注销用户账号，以及账号下的所有信息。修改用户信息，除了用户名不能修改，其他信息都可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tabs>
                <w:tab w:val="left" w:pos="567"/>
              </w:tabs>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设备异常报警</w:t>
            </w:r>
          </w:p>
        </w:tc>
        <w:tc>
          <w:tcPr>
            <w:tcW w:w="1418" w:type="dxa"/>
            <w:vAlign w:val="center"/>
          </w:tcPr>
          <w:p>
            <w:pPr>
              <w:tabs>
                <w:tab w:val="left" w:pos="567"/>
              </w:tabs>
              <w:spacing w:line="360" w:lineRule="auto"/>
              <w:jc w:val="center"/>
              <w:rPr>
                <w:rFonts w:ascii="宋体" w:hAnsi="宋体" w:eastAsia="宋体" w:cs="宋体"/>
                <w:color w:val="000000"/>
                <w:sz w:val="24"/>
                <w:szCs w:val="24"/>
                <w:highlight w:val="none"/>
              </w:rPr>
            </w:pPr>
          </w:p>
        </w:tc>
        <w:tc>
          <w:tcPr>
            <w:tcW w:w="6486" w:type="dxa"/>
            <w:vAlign w:val="center"/>
          </w:tcPr>
          <w:p>
            <w:pPr>
              <w:tabs>
                <w:tab w:val="left" w:pos="567"/>
              </w:tabs>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提供设备异常等情况报警功能，告警信息，温控器离线需要报警并记录，需要在系统弹窗，需要与管理者或维保人员的微信关联，能第一时间通知到维保人员到场处理。设备离线到管理者收到报警信息不超过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18" w:type="dxa"/>
            <w:vMerge w:val="restart"/>
            <w:vAlign w:val="center"/>
          </w:tcPr>
          <w:p>
            <w:pPr>
              <w:tabs>
                <w:tab w:val="left" w:pos="567"/>
              </w:tabs>
              <w:spacing w:line="360" w:lineRule="auto"/>
              <w:jc w:val="center"/>
              <w:rPr>
                <w:rFonts w:ascii="宋体" w:hAnsi="宋体" w:eastAsia="宋体" w:cs="宋体"/>
                <w:b/>
                <w:bCs/>
                <w:color w:val="000000"/>
                <w:sz w:val="24"/>
                <w:szCs w:val="24"/>
                <w:highlight w:val="none"/>
              </w:rPr>
            </w:pPr>
            <w:bookmarkStart w:id="64" w:name="_Toc24123"/>
            <w:r>
              <w:rPr>
                <w:rFonts w:hint="eastAsia" w:ascii="宋体" w:hAnsi="宋体" w:eastAsia="宋体" w:cs="宋体"/>
                <w:b/>
                <w:bCs/>
                <w:color w:val="000000"/>
                <w:sz w:val="24"/>
                <w:szCs w:val="24"/>
                <w:highlight w:val="none"/>
              </w:rPr>
              <w:t>系统安全防护</w:t>
            </w:r>
            <w:bookmarkEnd w:id="64"/>
          </w:p>
          <w:p>
            <w:pPr>
              <w:tabs>
                <w:tab w:val="left" w:pos="567"/>
              </w:tabs>
              <w:spacing w:line="360" w:lineRule="auto"/>
              <w:jc w:val="center"/>
              <w:rPr>
                <w:rFonts w:ascii="宋体" w:hAnsi="宋体" w:eastAsia="宋体" w:cs="宋体"/>
                <w:color w:val="000000"/>
                <w:sz w:val="24"/>
                <w:szCs w:val="24"/>
                <w:highlight w:val="none"/>
              </w:rPr>
            </w:pPr>
          </w:p>
        </w:tc>
        <w:tc>
          <w:tcPr>
            <w:tcW w:w="1418" w:type="dxa"/>
            <w:vAlign w:val="center"/>
          </w:tcPr>
          <w:p>
            <w:pPr>
              <w:tabs>
                <w:tab w:val="left" w:pos="567"/>
              </w:tabs>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物理安全</w:t>
            </w:r>
          </w:p>
        </w:tc>
        <w:tc>
          <w:tcPr>
            <w:tcW w:w="6486" w:type="dxa"/>
            <w:vAlign w:val="center"/>
          </w:tcPr>
          <w:p>
            <w:pPr>
              <w:tabs>
                <w:tab w:val="left" w:pos="567"/>
              </w:tabs>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做好用电环境、消防安全、空调设备、防偷防盗等安全措施。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tabs>
                <w:tab w:val="left" w:pos="567"/>
              </w:tabs>
              <w:spacing w:line="360" w:lineRule="auto"/>
              <w:jc w:val="center"/>
              <w:rPr>
                <w:rFonts w:ascii="宋体" w:hAnsi="宋体" w:eastAsia="宋体" w:cs="宋体"/>
                <w:color w:val="000000"/>
                <w:sz w:val="24"/>
                <w:szCs w:val="24"/>
                <w:highlight w:val="none"/>
              </w:rPr>
            </w:pPr>
          </w:p>
        </w:tc>
        <w:tc>
          <w:tcPr>
            <w:tcW w:w="1418" w:type="dxa"/>
            <w:vAlign w:val="center"/>
          </w:tcPr>
          <w:p>
            <w:pPr>
              <w:tabs>
                <w:tab w:val="left" w:pos="567"/>
              </w:tabs>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网络安全</w:t>
            </w:r>
          </w:p>
        </w:tc>
        <w:tc>
          <w:tcPr>
            <w:tcW w:w="6486" w:type="dxa"/>
            <w:vAlign w:val="center"/>
          </w:tcPr>
          <w:p>
            <w:pPr>
              <w:spacing w:line="360" w:lineRule="auto"/>
              <w:ind w:firstLine="0" w:firstLineChars="0"/>
              <w:jc w:val="left"/>
              <w:rPr>
                <w:rFonts w:ascii="宋体" w:hAnsi="宋体" w:eastAsia="宋体" w:cs="宋体"/>
                <w:color w:val="000000"/>
                <w:sz w:val="24"/>
                <w:szCs w:val="24"/>
                <w:highlight w:val="none"/>
              </w:rPr>
            </w:pPr>
            <w:r>
              <w:rPr>
                <w:rFonts w:hint="eastAsia" w:ascii="宋体" w:hAnsi="宋体" w:eastAsia="宋体" w:cs="宋体"/>
                <w:sz w:val="24"/>
                <w:szCs w:val="24"/>
                <w:highlight w:val="none"/>
              </w:rPr>
              <w:t xml:space="preserve">网络安全主要通过网络设备设置和传输的加密，保证数据在网络传输和系统访问的安全。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tabs>
                <w:tab w:val="left" w:pos="567"/>
              </w:tabs>
              <w:spacing w:line="360" w:lineRule="auto"/>
              <w:jc w:val="center"/>
              <w:rPr>
                <w:rFonts w:ascii="宋体" w:hAnsi="宋体" w:eastAsia="宋体" w:cs="宋体"/>
                <w:color w:val="000000"/>
                <w:sz w:val="24"/>
                <w:szCs w:val="24"/>
                <w:highlight w:val="none"/>
              </w:rPr>
            </w:pPr>
          </w:p>
        </w:tc>
        <w:tc>
          <w:tcPr>
            <w:tcW w:w="1418" w:type="dxa"/>
            <w:vAlign w:val="center"/>
          </w:tcPr>
          <w:p>
            <w:pPr>
              <w:tabs>
                <w:tab w:val="left" w:pos="567"/>
              </w:tabs>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操作系统安全设置</w:t>
            </w:r>
          </w:p>
        </w:tc>
        <w:tc>
          <w:tcPr>
            <w:tcW w:w="6486" w:type="dxa"/>
            <w:vAlign w:val="center"/>
          </w:tcPr>
          <w:p>
            <w:pPr>
              <w:tabs>
                <w:tab w:val="left" w:pos="567"/>
              </w:tabs>
              <w:spacing w:line="360" w:lineRule="auto"/>
              <w:rPr>
                <w:rFonts w:ascii="宋体" w:hAnsi="宋体" w:eastAsia="宋体" w:cs="宋体"/>
                <w:color w:val="000000"/>
                <w:sz w:val="24"/>
                <w:szCs w:val="24"/>
                <w:highlight w:val="none"/>
              </w:rPr>
            </w:pPr>
            <w:r>
              <w:rPr>
                <w:rFonts w:hint="eastAsia" w:ascii="宋体" w:hAnsi="宋体" w:eastAsia="宋体" w:cs="宋体"/>
                <w:sz w:val="24"/>
                <w:szCs w:val="24"/>
                <w:highlight w:val="none"/>
              </w:rPr>
              <w:t>系统安全主要通过制定系统资源访问限制策略，实现系统的数据访问安全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tabs>
                <w:tab w:val="left" w:pos="567"/>
              </w:tabs>
              <w:spacing w:line="360" w:lineRule="auto"/>
              <w:jc w:val="center"/>
              <w:rPr>
                <w:rFonts w:ascii="宋体" w:hAnsi="宋体" w:eastAsia="宋体" w:cs="宋体"/>
                <w:color w:val="000000"/>
                <w:sz w:val="24"/>
                <w:szCs w:val="24"/>
                <w:highlight w:val="none"/>
              </w:rPr>
            </w:pPr>
          </w:p>
        </w:tc>
        <w:tc>
          <w:tcPr>
            <w:tcW w:w="1418" w:type="dxa"/>
            <w:vAlign w:val="center"/>
          </w:tcPr>
          <w:p>
            <w:pPr>
              <w:tabs>
                <w:tab w:val="left" w:pos="567"/>
              </w:tabs>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数据库安全</w:t>
            </w:r>
          </w:p>
          <w:p>
            <w:pPr>
              <w:tabs>
                <w:tab w:val="left" w:pos="567"/>
              </w:tabs>
              <w:spacing w:line="360" w:lineRule="auto"/>
              <w:jc w:val="center"/>
              <w:rPr>
                <w:rFonts w:ascii="宋体" w:hAnsi="宋体" w:eastAsia="宋体" w:cs="宋体"/>
                <w:color w:val="000000"/>
                <w:sz w:val="24"/>
                <w:szCs w:val="24"/>
                <w:highlight w:val="none"/>
              </w:rPr>
            </w:pPr>
          </w:p>
        </w:tc>
        <w:tc>
          <w:tcPr>
            <w:tcW w:w="6486" w:type="dxa"/>
            <w:vAlign w:val="center"/>
          </w:tcPr>
          <w:p>
            <w:pPr>
              <w:ind w:firstLine="0" w:firstLineChars="0"/>
              <w:rPr>
                <w:rFonts w:ascii="宋体" w:hAnsi="宋体" w:eastAsia="宋体" w:cs="宋体"/>
                <w:color w:val="000000"/>
                <w:sz w:val="24"/>
                <w:szCs w:val="24"/>
                <w:highlight w:val="none"/>
              </w:rPr>
            </w:pPr>
            <w:bookmarkStart w:id="65" w:name="_Toc469297953"/>
            <w:bookmarkStart w:id="66" w:name="_Toc304279795"/>
            <w:bookmarkStart w:id="67" w:name="_Toc468068817"/>
            <w:r>
              <w:rPr>
                <w:rFonts w:hint="eastAsia" w:ascii="宋体" w:hAnsi="宋体" w:eastAsia="宋体" w:cs="宋体"/>
                <w:sz w:val="24"/>
                <w:szCs w:val="24"/>
                <w:highlight w:val="none"/>
              </w:rPr>
              <w:t>选用合适的数据库管理系统</w:t>
            </w:r>
            <w:bookmarkEnd w:id="65"/>
            <w:bookmarkEnd w:id="66"/>
            <w:bookmarkEnd w:id="67"/>
            <w:r>
              <w:rPr>
                <w:rFonts w:hint="eastAsia" w:ascii="宋体" w:hAnsi="宋体" w:eastAsia="宋体" w:cs="宋体"/>
                <w:sz w:val="24"/>
                <w:szCs w:val="24"/>
                <w:highlight w:val="none"/>
              </w:rPr>
              <w:t>，主从部署，系统用户划分为多级权限，由超级管理员为不同用户设置权限，这样尽可能的屏蔽非法操作带来的操作风险，另外将数据库服务器独立配置，安装网络防火墙和IP地址检测，在网络空间阻止了非法的用户进入数据库的可能，进一步保障了数据库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tabs>
                <w:tab w:val="left" w:pos="567"/>
              </w:tabs>
              <w:spacing w:line="360" w:lineRule="auto"/>
              <w:jc w:val="center"/>
              <w:rPr>
                <w:rFonts w:ascii="宋体" w:hAnsi="宋体" w:eastAsia="宋体" w:cs="宋体"/>
                <w:color w:val="000000"/>
                <w:sz w:val="24"/>
                <w:szCs w:val="24"/>
                <w:highlight w:val="none"/>
              </w:rPr>
            </w:pPr>
          </w:p>
        </w:tc>
        <w:tc>
          <w:tcPr>
            <w:tcW w:w="1418" w:type="dxa"/>
            <w:vAlign w:val="center"/>
          </w:tcPr>
          <w:p>
            <w:pPr>
              <w:tabs>
                <w:tab w:val="left" w:pos="567"/>
              </w:tabs>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应用备份</w:t>
            </w:r>
          </w:p>
          <w:p>
            <w:pPr>
              <w:tabs>
                <w:tab w:val="left" w:pos="567"/>
              </w:tabs>
              <w:spacing w:line="360" w:lineRule="auto"/>
              <w:jc w:val="center"/>
              <w:rPr>
                <w:rFonts w:ascii="宋体" w:hAnsi="宋体" w:eastAsia="宋体" w:cs="宋体"/>
                <w:sz w:val="24"/>
                <w:szCs w:val="24"/>
                <w:highlight w:val="none"/>
              </w:rPr>
            </w:pPr>
          </w:p>
        </w:tc>
        <w:tc>
          <w:tcPr>
            <w:tcW w:w="6486" w:type="dxa"/>
            <w:vAlign w:val="center"/>
          </w:tcPr>
          <w:p>
            <w:pPr>
              <w:spacing w:line="36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应用服务器备份，云上服务器与本地服务器保持实时同步，正常情况在云服务器承载业务，当本地服务器出现故障时，业务主动切换至云上服务器，保证业务可靠性。</w:t>
            </w:r>
          </w:p>
        </w:tc>
      </w:tr>
    </w:tbl>
    <w:p>
      <w:pPr>
        <w:rPr>
          <w:rFonts w:ascii="宋体" w:hAnsi="宋体" w:eastAsia="宋体" w:cs="宋体"/>
          <w:bCs/>
          <w:color w:val="000000"/>
          <w:sz w:val="24"/>
          <w:szCs w:val="24"/>
          <w:highlight w:val="none"/>
        </w:rPr>
      </w:pPr>
    </w:p>
    <w:p>
      <w:pPr>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 xml:space="preserve">微信小程序功能要求： </w:t>
      </w:r>
    </w:p>
    <w:tbl>
      <w:tblPr>
        <w:tblStyle w:val="16"/>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127"/>
        <w:gridCol w:w="5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BEBEBE"/>
          </w:tcPr>
          <w:p>
            <w:pPr>
              <w:spacing w:line="360" w:lineRule="auto"/>
              <w:rPr>
                <w:rFonts w:ascii="宋体" w:hAnsi="宋体" w:eastAsia="宋体" w:cs="宋体"/>
                <w:b/>
                <w:sz w:val="24"/>
                <w:szCs w:val="24"/>
                <w:highlight w:val="none"/>
              </w:rPr>
            </w:pPr>
          </w:p>
        </w:tc>
        <w:tc>
          <w:tcPr>
            <w:tcW w:w="2127" w:type="dxa"/>
            <w:shd w:val="clear" w:color="auto" w:fill="BEBEBE"/>
          </w:tcPr>
          <w:p>
            <w:pPr>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功能名称</w:t>
            </w:r>
          </w:p>
        </w:tc>
        <w:tc>
          <w:tcPr>
            <w:tcW w:w="5533" w:type="dxa"/>
            <w:shd w:val="clear" w:color="auto" w:fill="BEBEBE"/>
          </w:tcPr>
          <w:p>
            <w:pPr>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spacing w:line="36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客户端微信小程序</w:t>
            </w:r>
          </w:p>
        </w:tc>
        <w:tc>
          <w:tcPr>
            <w:tcW w:w="2127"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注册</w:t>
            </w:r>
          </w:p>
        </w:tc>
        <w:tc>
          <w:tcPr>
            <w:tcW w:w="5533"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通过二维码或者微信查找下载小程序，用户进行注册。可以通过微信用户快速登录。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pacing w:line="360" w:lineRule="auto"/>
              <w:rPr>
                <w:rFonts w:ascii="宋体" w:hAnsi="宋体" w:eastAsia="宋体" w:cs="宋体"/>
                <w:b/>
                <w:sz w:val="24"/>
                <w:szCs w:val="24"/>
                <w:highlight w:val="none"/>
              </w:rPr>
            </w:pPr>
          </w:p>
        </w:tc>
        <w:tc>
          <w:tcPr>
            <w:tcW w:w="2127"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绑定</w:t>
            </w:r>
          </w:p>
        </w:tc>
        <w:tc>
          <w:tcPr>
            <w:tcW w:w="5533"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用户注册后通过二维码或搜索列表可以找到已经绑定和未绑定的温控器。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pacing w:line="360" w:lineRule="auto"/>
              <w:rPr>
                <w:rFonts w:ascii="宋体" w:hAnsi="宋体" w:eastAsia="宋体" w:cs="宋体"/>
                <w:b/>
                <w:sz w:val="24"/>
                <w:szCs w:val="24"/>
                <w:highlight w:val="none"/>
              </w:rPr>
            </w:pPr>
          </w:p>
        </w:tc>
        <w:tc>
          <w:tcPr>
            <w:tcW w:w="2127"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充值</w:t>
            </w:r>
          </w:p>
        </w:tc>
        <w:tc>
          <w:tcPr>
            <w:tcW w:w="5533"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用户进行绑定操作并同时调用微信支付充值，充值到温控器的充值时间不大于10秒。一个账号可以绑定多个温控器进行充值和控制。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pacing w:line="360" w:lineRule="auto"/>
              <w:rPr>
                <w:rFonts w:ascii="宋体" w:hAnsi="宋体" w:eastAsia="宋体" w:cs="宋体"/>
                <w:sz w:val="24"/>
                <w:szCs w:val="24"/>
                <w:highlight w:val="none"/>
              </w:rPr>
            </w:pPr>
          </w:p>
        </w:tc>
        <w:tc>
          <w:tcPr>
            <w:tcW w:w="2127"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温控器页面</w:t>
            </w:r>
          </w:p>
        </w:tc>
        <w:tc>
          <w:tcPr>
            <w:tcW w:w="5533"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温控器控制页面要优化，能让用户易于识别和控制，有动态显示图，如风速动态图等。</w:t>
            </w:r>
          </w:p>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充值后温控器有相应的剩余时间就可以通过现场本地开关温控器，或者通过手机小程序开关控制温控器，温控器离线也能自动运行。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pacing w:line="360" w:lineRule="auto"/>
              <w:rPr>
                <w:rFonts w:ascii="宋体" w:hAnsi="宋体" w:eastAsia="宋体" w:cs="宋体"/>
                <w:sz w:val="24"/>
                <w:szCs w:val="24"/>
                <w:highlight w:val="none"/>
              </w:rPr>
            </w:pPr>
          </w:p>
        </w:tc>
        <w:tc>
          <w:tcPr>
            <w:tcW w:w="2127"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退款</w:t>
            </w:r>
          </w:p>
        </w:tc>
        <w:tc>
          <w:tcPr>
            <w:tcW w:w="5533"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绑定温控器账户可以操作退款，提供退款入口，提交申请10个工作日内财务完成审批原路回退。增加退款提示标语，申请退款受理后该温控器禁用，用户账户冻结不能使用，退款完成后余额清零，温控器剩余时间清零，自动解绑账户，接受新账户的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pacing w:line="360" w:lineRule="auto"/>
              <w:rPr>
                <w:rFonts w:ascii="宋体" w:hAnsi="宋体" w:eastAsia="宋体" w:cs="宋体"/>
                <w:sz w:val="24"/>
                <w:szCs w:val="24"/>
                <w:highlight w:val="none"/>
              </w:rPr>
            </w:pPr>
          </w:p>
        </w:tc>
        <w:tc>
          <w:tcPr>
            <w:tcW w:w="2127"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用冷时间查询</w:t>
            </w:r>
          </w:p>
        </w:tc>
        <w:tc>
          <w:tcPr>
            <w:tcW w:w="5533"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过去一周的用冷时间统计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pacing w:line="360" w:lineRule="auto"/>
              <w:rPr>
                <w:rFonts w:ascii="宋体" w:hAnsi="宋体" w:eastAsia="宋体" w:cs="宋体"/>
                <w:sz w:val="24"/>
                <w:szCs w:val="24"/>
                <w:highlight w:val="none"/>
              </w:rPr>
            </w:pPr>
          </w:p>
        </w:tc>
        <w:tc>
          <w:tcPr>
            <w:tcW w:w="2127"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充值记录查询</w:t>
            </w:r>
          </w:p>
        </w:tc>
        <w:tc>
          <w:tcPr>
            <w:tcW w:w="5533"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充值记录查询，包括客户端手机充值和平台网页端充值记录，记录保存24个月以上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pacing w:line="360" w:lineRule="auto"/>
              <w:rPr>
                <w:rFonts w:ascii="宋体" w:hAnsi="宋体" w:eastAsia="宋体" w:cs="宋体"/>
                <w:sz w:val="24"/>
                <w:szCs w:val="24"/>
                <w:highlight w:val="none"/>
              </w:rPr>
            </w:pPr>
          </w:p>
        </w:tc>
        <w:tc>
          <w:tcPr>
            <w:tcW w:w="2127"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系统设置</w:t>
            </w:r>
          </w:p>
        </w:tc>
        <w:tc>
          <w:tcPr>
            <w:tcW w:w="5533"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对账户名、密码等账户信息进行设置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pacing w:line="360" w:lineRule="auto"/>
              <w:rPr>
                <w:rFonts w:ascii="宋体" w:hAnsi="宋体" w:eastAsia="宋体" w:cs="宋体"/>
                <w:sz w:val="24"/>
                <w:szCs w:val="24"/>
                <w:highlight w:val="none"/>
              </w:rPr>
            </w:pPr>
          </w:p>
        </w:tc>
        <w:tc>
          <w:tcPr>
            <w:tcW w:w="2127"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报修反馈</w:t>
            </w:r>
          </w:p>
        </w:tc>
        <w:tc>
          <w:tcPr>
            <w:tcW w:w="5533"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可对绑定的温控器进行报修或反馈建议</w:t>
            </w:r>
          </w:p>
        </w:tc>
      </w:tr>
    </w:tbl>
    <w:p>
      <w:pPr>
        <w:rPr>
          <w:rFonts w:ascii="宋体" w:hAnsi="宋体" w:eastAsia="宋体" w:cs="宋体"/>
          <w:sz w:val="24"/>
          <w:highlight w:val="none"/>
        </w:rPr>
      </w:pPr>
    </w:p>
    <w:p>
      <w:pPr>
        <w:rPr>
          <w:rFonts w:ascii="宋体" w:hAnsi="宋体" w:eastAsia="宋体" w:cs="宋体"/>
          <w:sz w:val="24"/>
          <w:highlight w:val="none"/>
        </w:rPr>
      </w:pPr>
    </w:p>
    <w:p>
      <w:pPr>
        <w:rPr>
          <w:rFonts w:ascii="宋体" w:hAnsi="宋体" w:eastAsia="宋体" w:cs="宋体"/>
          <w:sz w:val="24"/>
          <w:highlight w:val="none"/>
        </w:rPr>
      </w:pPr>
    </w:p>
    <w:tbl>
      <w:tblPr>
        <w:tblStyle w:val="16"/>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127"/>
        <w:gridCol w:w="5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BEBEBE"/>
          </w:tcPr>
          <w:p>
            <w:pPr>
              <w:spacing w:line="360" w:lineRule="auto"/>
              <w:rPr>
                <w:rFonts w:ascii="宋体" w:hAnsi="宋体" w:eastAsia="宋体" w:cs="宋体"/>
                <w:b/>
                <w:sz w:val="24"/>
                <w:szCs w:val="24"/>
                <w:highlight w:val="none"/>
              </w:rPr>
            </w:pPr>
          </w:p>
        </w:tc>
        <w:tc>
          <w:tcPr>
            <w:tcW w:w="2127" w:type="dxa"/>
            <w:shd w:val="clear" w:color="auto" w:fill="BEBEBE"/>
          </w:tcPr>
          <w:p>
            <w:pPr>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功能名称</w:t>
            </w:r>
          </w:p>
        </w:tc>
        <w:tc>
          <w:tcPr>
            <w:tcW w:w="5533" w:type="dxa"/>
            <w:shd w:val="clear" w:color="auto" w:fill="BEBEBE"/>
          </w:tcPr>
          <w:p>
            <w:pPr>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spacing w:line="360" w:lineRule="auto"/>
              <w:jc w:val="center"/>
              <w:rPr>
                <w:rFonts w:ascii="宋体" w:hAnsi="宋体" w:eastAsia="宋体" w:cs="宋体"/>
                <w:b/>
                <w:sz w:val="24"/>
                <w:szCs w:val="24"/>
                <w:highlight w:val="none"/>
              </w:rPr>
            </w:pPr>
            <w:r>
              <w:rPr>
                <w:rFonts w:hint="eastAsia" w:ascii="宋体" w:hAnsi="宋体" w:eastAsia="宋体" w:cs="宋体"/>
                <w:b/>
                <w:sz w:val="24"/>
                <w:szCs w:val="24"/>
                <w:highlight w:val="none"/>
              </w:rPr>
              <w:t>管理端微信小程序</w:t>
            </w:r>
          </w:p>
        </w:tc>
        <w:tc>
          <w:tcPr>
            <w:tcW w:w="2127"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登录</w:t>
            </w:r>
          </w:p>
        </w:tc>
        <w:tc>
          <w:tcPr>
            <w:tcW w:w="5533"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通过二维码或者微信查找下载小程序，用户通过平台系统设定的权限分级进行登录。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pacing w:line="360" w:lineRule="auto"/>
              <w:jc w:val="center"/>
              <w:rPr>
                <w:rFonts w:ascii="宋体" w:hAnsi="宋体" w:eastAsia="宋体" w:cs="宋体"/>
                <w:b/>
                <w:sz w:val="24"/>
                <w:szCs w:val="24"/>
                <w:highlight w:val="none"/>
              </w:rPr>
            </w:pPr>
          </w:p>
        </w:tc>
        <w:tc>
          <w:tcPr>
            <w:tcW w:w="2127"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地图登录</w:t>
            </w:r>
          </w:p>
        </w:tc>
        <w:tc>
          <w:tcPr>
            <w:tcW w:w="5533"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通过地图方式进入校区，有校区统计，进入每一栋菜单有每栋的用量统计，如当前开机数量，待机数量、离线数量等。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pacing w:line="360" w:lineRule="auto"/>
              <w:jc w:val="center"/>
              <w:rPr>
                <w:rFonts w:ascii="宋体" w:hAnsi="宋体" w:eastAsia="宋体" w:cs="宋体"/>
                <w:b/>
                <w:sz w:val="24"/>
                <w:szCs w:val="24"/>
                <w:highlight w:val="none"/>
              </w:rPr>
            </w:pPr>
          </w:p>
        </w:tc>
        <w:tc>
          <w:tcPr>
            <w:tcW w:w="2127"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授权温控器列表</w:t>
            </w:r>
          </w:p>
        </w:tc>
        <w:tc>
          <w:tcPr>
            <w:tcW w:w="5533"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授权管理者登录后可以看到授权校区的温控器。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pacing w:line="360" w:lineRule="auto"/>
              <w:rPr>
                <w:rFonts w:ascii="宋体" w:hAnsi="宋体" w:eastAsia="宋体" w:cs="宋体"/>
                <w:b/>
                <w:sz w:val="24"/>
                <w:szCs w:val="24"/>
                <w:highlight w:val="none"/>
              </w:rPr>
            </w:pPr>
          </w:p>
        </w:tc>
        <w:tc>
          <w:tcPr>
            <w:tcW w:w="2127"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温控器页面</w:t>
            </w:r>
          </w:p>
        </w:tc>
        <w:tc>
          <w:tcPr>
            <w:tcW w:w="5533"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温控器控制页面要优化，能让用户易于识别和控制，有动态显示图，如风速动态图等。</w:t>
            </w:r>
          </w:p>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能显示授权温控器的状态情况，如开关机状态、室内温度、设定温度、档位、累计时间、剩余时间、禁用状态等信息，能把这些信息分类汇总。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pacing w:line="360" w:lineRule="auto"/>
              <w:rPr>
                <w:rFonts w:ascii="宋体" w:hAnsi="宋体" w:eastAsia="宋体" w:cs="宋体"/>
                <w:b/>
                <w:sz w:val="24"/>
                <w:szCs w:val="24"/>
                <w:highlight w:val="none"/>
              </w:rPr>
            </w:pPr>
          </w:p>
        </w:tc>
        <w:tc>
          <w:tcPr>
            <w:tcW w:w="2127"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温控器控制</w:t>
            </w:r>
          </w:p>
        </w:tc>
        <w:tc>
          <w:tcPr>
            <w:tcW w:w="5533"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点击相应的温控器图标进入温控器设定画面，可以开关机、调温、调档、禁用等操作，平台系统应能记录是管理者对温控器的操作。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pacing w:line="360" w:lineRule="auto"/>
              <w:rPr>
                <w:rFonts w:ascii="宋体" w:hAnsi="宋体" w:eastAsia="宋体" w:cs="宋体"/>
                <w:sz w:val="24"/>
                <w:szCs w:val="24"/>
                <w:highlight w:val="none"/>
              </w:rPr>
            </w:pPr>
          </w:p>
        </w:tc>
        <w:tc>
          <w:tcPr>
            <w:tcW w:w="2127"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报警通知</w:t>
            </w:r>
          </w:p>
        </w:tc>
        <w:tc>
          <w:tcPr>
            <w:tcW w:w="5533" w:type="dxa"/>
          </w:tcPr>
          <w:p>
            <w:pPr>
              <w:spacing w:line="360" w:lineRule="auto"/>
              <w:rPr>
                <w:rFonts w:ascii="宋体" w:hAnsi="宋体" w:eastAsia="宋体" w:cs="宋体"/>
                <w:sz w:val="24"/>
                <w:szCs w:val="24"/>
                <w:highlight w:val="none"/>
              </w:rPr>
            </w:pPr>
            <w:r>
              <w:rPr>
                <w:rFonts w:hint="eastAsia" w:ascii="宋体" w:hAnsi="宋体" w:eastAsia="宋体" w:cs="宋体"/>
                <w:color w:val="000000"/>
                <w:sz w:val="24"/>
                <w:szCs w:val="24"/>
                <w:highlight w:val="none"/>
              </w:rPr>
              <w:t>提供设备异常等情况报警功能，告警信息，温控器离线需要报警并记录，需要在系统弹窗，需要与管理者或维保人员的微信关联，能第一时间通知到维保人员到场处理。设备离线到管理者收到报警信息不超过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pacing w:line="360" w:lineRule="auto"/>
              <w:rPr>
                <w:rFonts w:ascii="宋体" w:hAnsi="宋体" w:eastAsia="宋体" w:cs="宋体"/>
                <w:sz w:val="24"/>
                <w:szCs w:val="24"/>
                <w:highlight w:val="none"/>
              </w:rPr>
            </w:pPr>
          </w:p>
        </w:tc>
        <w:tc>
          <w:tcPr>
            <w:tcW w:w="2127"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报修通知</w:t>
            </w:r>
          </w:p>
        </w:tc>
        <w:tc>
          <w:tcPr>
            <w:tcW w:w="5533"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提供用户报修的通知展示，展示报修的人的姓名和联系方式，提醒维护人员维护温控器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pacing w:line="360" w:lineRule="auto"/>
              <w:rPr>
                <w:rFonts w:ascii="宋体" w:hAnsi="宋体" w:eastAsia="宋体" w:cs="宋体"/>
                <w:sz w:val="24"/>
                <w:szCs w:val="24"/>
                <w:highlight w:val="none"/>
              </w:rPr>
            </w:pPr>
          </w:p>
        </w:tc>
        <w:tc>
          <w:tcPr>
            <w:tcW w:w="2127"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系统设置</w:t>
            </w:r>
          </w:p>
        </w:tc>
        <w:tc>
          <w:tcPr>
            <w:tcW w:w="5533" w:type="dxa"/>
          </w:tcPr>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对账户名、密码等账户信息进行设置</w:t>
            </w:r>
          </w:p>
        </w:tc>
      </w:tr>
    </w:tbl>
    <w:p>
      <w:pPr>
        <w:keepNext/>
        <w:keepLines/>
        <w:numPr>
          <w:ilvl w:val="2"/>
          <w:numId w:val="0"/>
        </w:numPr>
        <w:spacing w:before="260" w:after="260" w:line="416" w:lineRule="auto"/>
        <w:outlineLvl w:val="2"/>
        <w:rPr>
          <w:rFonts w:ascii="宋体" w:hAnsi="宋体" w:eastAsia="宋体" w:cs="宋体"/>
          <w:sz w:val="24"/>
          <w:highlight w:val="none"/>
        </w:rPr>
      </w:pPr>
    </w:p>
    <w:p>
      <w:pPr>
        <w:pStyle w:val="28"/>
        <w:snapToGrid w:val="0"/>
        <w:spacing w:line="580" w:lineRule="exact"/>
        <w:ind w:left="420" w:leftChars="200" w:firstLine="0" w:firstLineChars="0"/>
        <w:rPr>
          <w:rFonts w:hint="eastAsia" w:ascii="宋体" w:hAnsi="宋体" w:eastAsia="宋体" w:cs="宋体"/>
          <w:bCs/>
          <w:kern w:val="0"/>
          <w:sz w:val="24"/>
          <w:szCs w:val="24"/>
          <w:highlight w:val="none"/>
        </w:rPr>
      </w:pPr>
    </w:p>
    <w:sectPr>
      <w:footerReference r:id="rId4"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 PAGE   \* MERGEFORMAT </w:instrText>
    </w:r>
    <w:r>
      <w:fldChar w:fldCharType="separate"/>
    </w:r>
    <w:r>
      <w:rPr>
        <w:lang w:val="zh-CN"/>
      </w:rPr>
      <w:t>16</w:t>
    </w:r>
    <w:r>
      <w:rPr>
        <w:lang w:val="zh-CN"/>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8873D"/>
    <w:multiLevelType w:val="singleLevel"/>
    <w:tmpl w:val="8B18873D"/>
    <w:lvl w:ilvl="0" w:tentative="0">
      <w:start w:val="2"/>
      <w:numFmt w:val="decimal"/>
      <w:suff w:val="nothing"/>
      <w:lvlText w:val="%1、"/>
      <w:lvlJc w:val="left"/>
    </w:lvl>
  </w:abstractNum>
  <w:abstractNum w:abstractNumId="1">
    <w:nsid w:val="8F986CF2"/>
    <w:multiLevelType w:val="multilevel"/>
    <w:tmpl w:val="8F986CF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1FC16881"/>
    <w:multiLevelType w:val="multilevel"/>
    <w:tmpl w:val="1FC16881"/>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21E7458C"/>
    <w:multiLevelType w:val="multilevel"/>
    <w:tmpl w:val="21E745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9197AFC"/>
    <w:multiLevelType w:val="multilevel"/>
    <w:tmpl w:val="49197AFC"/>
    <w:lvl w:ilvl="0" w:tentative="0">
      <w:start w:val="1"/>
      <w:numFmt w:val="bullet"/>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5">
    <w:nsid w:val="49674AAC"/>
    <w:multiLevelType w:val="multilevel"/>
    <w:tmpl w:val="49674AA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9D71294"/>
    <w:multiLevelType w:val="multilevel"/>
    <w:tmpl w:val="49D71294"/>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4AF2511F"/>
    <w:multiLevelType w:val="singleLevel"/>
    <w:tmpl w:val="4AF2511F"/>
    <w:lvl w:ilvl="0" w:tentative="0">
      <w:start w:val="1"/>
      <w:numFmt w:val="chineseCounting"/>
      <w:suff w:val="nothing"/>
      <w:lvlText w:val="（%1）"/>
      <w:lvlJc w:val="left"/>
      <w:rPr>
        <w:rFonts w:hint="eastAsia"/>
      </w:rPr>
    </w:lvl>
  </w:abstractNum>
  <w:abstractNum w:abstractNumId="8">
    <w:nsid w:val="572DE5B4"/>
    <w:multiLevelType w:val="singleLevel"/>
    <w:tmpl w:val="572DE5B4"/>
    <w:lvl w:ilvl="0" w:tentative="0">
      <w:start w:val="1"/>
      <w:numFmt w:val="decimal"/>
      <w:suff w:val="nothing"/>
      <w:lvlText w:val="%1."/>
      <w:lvlJc w:val="left"/>
    </w:lvl>
  </w:abstractNum>
  <w:abstractNum w:abstractNumId="9">
    <w:nsid w:val="6823595B"/>
    <w:multiLevelType w:val="multilevel"/>
    <w:tmpl w:val="6823595B"/>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24D3838"/>
    <w:multiLevelType w:val="multilevel"/>
    <w:tmpl w:val="724D383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6"/>
  </w:num>
  <w:num w:numId="4">
    <w:abstractNumId w:val="8"/>
  </w:num>
  <w:num w:numId="5">
    <w:abstractNumId w:val="0"/>
  </w:num>
  <w:num w:numId="6">
    <w:abstractNumId w:val="7"/>
  </w:num>
  <w:num w:numId="7">
    <w:abstractNumId w:val="9"/>
  </w:num>
  <w:num w:numId="8">
    <w:abstractNumId w:val="4"/>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172A27"/>
    <w:rsid w:val="00001C14"/>
    <w:rsid w:val="00006FAF"/>
    <w:rsid w:val="000126AC"/>
    <w:rsid w:val="00016DCD"/>
    <w:rsid w:val="00024DB1"/>
    <w:rsid w:val="000261AC"/>
    <w:rsid w:val="00031BAA"/>
    <w:rsid w:val="000361C2"/>
    <w:rsid w:val="000507FD"/>
    <w:rsid w:val="00054374"/>
    <w:rsid w:val="000551E7"/>
    <w:rsid w:val="00056C02"/>
    <w:rsid w:val="00061A12"/>
    <w:rsid w:val="00062D36"/>
    <w:rsid w:val="00066222"/>
    <w:rsid w:val="00071469"/>
    <w:rsid w:val="0007624C"/>
    <w:rsid w:val="000776A7"/>
    <w:rsid w:val="00080912"/>
    <w:rsid w:val="00081C48"/>
    <w:rsid w:val="00083CB4"/>
    <w:rsid w:val="00092924"/>
    <w:rsid w:val="000933F0"/>
    <w:rsid w:val="00093603"/>
    <w:rsid w:val="000A00B3"/>
    <w:rsid w:val="000A2487"/>
    <w:rsid w:val="000A2D4C"/>
    <w:rsid w:val="000A3381"/>
    <w:rsid w:val="000A75A0"/>
    <w:rsid w:val="000B46DB"/>
    <w:rsid w:val="000B568C"/>
    <w:rsid w:val="000B709A"/>
    <w:rsid w:val="000B768A"/>
    <w:rsid w:val="000B7873"/>
    <w:rsid w:val="000C307A"/>
    <w:rsid w:val="000D372E"/>
    <w:rsid w:val="000D4516"/>
    <w:rsid w:val="000E0E03"/>
    <w:rsid w:val="000E46CB"/>
    <w:rsid w:val="000F2083"/>
    <w:rsid w:val="000F30C3"/>
    <w:rsid w:val="000F38B2"/>
    <w:rsid w:val="000F3C4E"/>
    <w:rsid w:val="001013A8"/>
    <w:rsid w:val="00112AE4"/>
    <w:rsid w:val="00114EFF"/>
    <w:rsid w:val="001204C3"/>
    <w:rsid w:val="001312F0"/>
    <w:rsid w:val="00132328"/>
    <w:rsid w:val="001367B3"/>
    <w:rsid w:val="00140810"/>
    <w:rsid w:val="0014308E"/>
    <w:rsid w:val="0014601E"/>
    <w:rsid w:val="00147274"/>
    <w:rsid w:val="00153022"/>
    <w:rsid w:val="00155D8F"/>
    <w:rsid w:val="00161D5A"/>
    <w:rsid w:val="00164ED0"/>
    <w:rsid w:val="001662CB"/>
    <w:rsid w:val="00172A27"/>
    <w:rsid w:val="001742A3"/>
    <w:rsid w:val="00184532"/>
    <w:rsid w:val="00187B3F"/>
    <w:rsid w:val="0019025B"/>
    <w:rsid w:val="0019345F"/>
    <w:rsid w:val="001974AA"/>
    <w:rsid w:val="001A2219"/>
    <w:rsid w:val="001B2CD0"/>
    <w:rsid w:val="001C2780"/>
    <w:rsid w:val="001C36FA"/>
    <w:rsid w:val="001C510A"/>
    <w:rsid w:val="001C7C77"/>
    <w:rsid w:val="001D058A"/>
    <w:rsid w:val="001D1037"/>
    <w:rsid w:val="001D1917"/>
    <w:rsid w:val="001D769B"/>
    <w:rsid w:val="001D7FCB"/>
    <w:rsid w:val="001E04F2"/>
    <w:rsid w:val="001E1D2E"/>
    <w:rsid w:val="001E23F1"/>
    <w:rsid w:val="001E4D56"/>
    <w:rsid w:val="001E5CC9"/>
    <w:rsid w:val="001F5D97"/>
    <w:rsid w:val="001F6D6F"/>
    <w:rsid w:val="00203EA7"/>
    <w:rsid w:val="002045E5"/>
    <w:rsid w:val="002117D0"/>
    <w:rsid w:val="00211BF3"/>
    <w:rsid w:val="00214B07"/>
    <w:rsid w:val="002204AF"/>
    <w:rsid w:val="00222020"/>
    <w:rsid w:val="00232E58"/>
    <w:rsid w:val="00233CBA"/>
    <w:rsid w:val="00240FDD"/>
    <w:rsid w:val="00245454"/>
    <w:rsid w:val="002454F3"/>
    <w:rsid w:val="00245E1E"/>
    <w:rsid w:val="002472D0"/>
    <w:rsid w:val="002546AD"/>
    <w:rsid w:val="0026123A"/>
    <w:rsid w:val="002624C4"/>
    <w:rsid w:val="0026536E"/>
    <w:rsid w:val="00270448"/>
    <w:rsid w:val="00270CC8"/>
    <w:rsid w:val="00275CA3"/>
    <w:rsid w:val="002823D6"/>
    <w:rsid w:val="00287B0F"/>
    <w:rsid w:val="002935C0"/>
    <w:rsid w:val="00293E41"/>
    <w:rsid w:val="002A1940"/>
    <w:rsid w:val="002A6FDE"/>
    <w:rsid w:val="002B080C"/>
    <w:rsid w:val="002B2F61"/>
    <w:rsid w:val="002C3D45"/>
    <w:rsid w:val="002D0A6B"/>
    <w:rsid w:val="002D11B9"/>
    <w:rsid w:val="002D2058"/>
    <w:rsid w:val="002D246B"/>
    <w:rsid w:val="002D5DF0"/>
    <w:rsid w:val="002E3ED7"/>
    <w:rsid w:val="002E6633"/>
    <w:rsid w:val="002F0B08"/>
    <w:rsid w:val="002F1674"/>
    <w:rsid w:val="002F3AEF"/>
    <w:rsid w:val="002F5146"/>
    <w:rsid w:val="002F6943"/>
    <w:rsid w:val="002F7D75"/>
    <w:rsid w:val="003072AA"/>
    <w:rsid w:val="00307843"/>
    <w:rsid w:val="00311C75"/>
    <w:rsid w:val="003202A4"/>
    <w:rsid w:val="00320431"/>
    <w:rsid w:val="00321292"/>
    <w:rsid w:val="00326D8E"/>
    <w:rsid w:val="0033236B"/>
    <w:rsid w:val="00332E7A"/>
    <w:rsid w:val="003338D6"/>
    <w:rsid w:val="00333F71"/>
    <w:rsid w:val="00342FB8"/>
    <w:rsid w:val="00343E15"/>
    <w:rsid w:val="0034645F"/>
    <w:rsid w:val="00346794"/>
    <w:rsid w:val="00362B04"/>
    <w:rsid w:val="00365785"/>
    <w:rsid w:val="00366F5C"/>
    <w:rsid w:val="00374973"/>
    <w:rsid w:val="00385429"/>
    <w:rsid w:val="00390FA8"/>
    <w:rsid w:val="00391440"/>
    <w:rsid w:val="00392EC9"/>
    <w:rsid w:val="003932F2"/>
    <w:rsid w:val="003954FA"/>
    <w:rsid w:val="003960B7"/>
    <w:rsid w:val="003A17EA"/>
    <w:rsid w:val="003A1D50"/>
    <w:rsid w:val="003A2248"/>
    <w:rsid w:val="003A3E75"/>
    <w:rsid w:val="003A4F3B"/>
    <w:rsid w:val="003A5EA8"/>
    <w:rsid w:val="003A61B7"/>
    <w:rsid w:val="003A63C6"/>
    <w:rsid w:val="003A6FF6"/>
    <w:rsid w:val="003C02B6"/>
    <w:rsid w:val="003C121A"/>
    <w:rsid w:val="003D0FFC"/>
    <w:rsid w:val="003D1026"/>
    <w:rsid w:val="003D50BF"/>
    <w:rsid w:val="003D6DDA"/>
    <w:rsid w:val="003E23F8"/>
    <w:rsid w:val="003E5BDE"/>
    <w:rsid w:val="003E73F5"/>
    <w:rsid w:val="003F2914"/>
    <w:rsid w:val="003F2B4E"/>
    <w:rsid w:val="003F3538"/>
    <w:rsid w:val="003F4B7E"/>
    <w:rsid w:val="004105B2"/>
    <w:rsid w:val="00411E6E"/>
    <w:rsid w:val="00411E94"/>
    <w:rsid w:val="00413524"/>
    <w:rsid w:val="00426155"/>
    <w:rsid w:val="004303FB"/>
    <w:rsid w:val="00431A8B"/>
    <w:rsid w:val="004476AA"/>
    <w:rsid w:val="0046319C"/>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E1D5D"/>
    <w:rsid w:val="004E3B04"/>
    <w:rsid w:val="004E5FBD"/>
    <w:rsid w:val="004E7D41"/>
    <w:rsid w:val="004F02FE"/>
    <w:rsid w:val="004F1271"/>
    <w:rsid w:val="004F2EC9"/>
    <w:rsid w:val="00504C94"/>
    <w:rsid w:val="00506F9D"/>
    <w:rsid w:val="00516EBE"/>
    <w:rsid w:val="00517455"/>
    <w:rsid w:val="00520CDF"/>
    <w:rsid w:val="00523EFE"/>
    <w:rsid w:val="00532AED"/>
    <w:rsid w:val="0053754B"/>
    <w:rsid w:val="00540B23"/>
    <w:rsid w:val="00544BDA"/>
    <w:rsid w:val="00545D4B"/>
    <w:rsid w:val="00551303"/>
    <w:rsid w:val="0055195C"/>
    <w:rsid w:val="0055479F"/>
    <w:rsid w:val="00557322"/>
    <w:rsid w:val="00557E0C"/>
    <w:rsid w:val="00560B04"/>
    <w:rsid w:val="00560CA6"/>
    <w:rsid w:val="00562084"/>
    <w:rsid w:val="0056721A"/>
    <w:rsid w:val="00567DB5"/>
    <w:rsid w:val="0057220D"/>
    <w:rsid w:val="00573F68"/>
    <w:rsid w:val="00576ACB"/>
    <w:rsid w:val="005772A9"/>
    <w:rsid w:val="005850C3"/>
    <w:rsid w:val="00596392"/>
    <w:rsid w:val="005969FB"/>
    <w:rsid w:val="005A1E6B"/>
    <w:rsid w:val="005A471A"/>
    <w:rsid w:val="005A6DDC"/>
    <w:rsid w:val="005B1473"/>
    <w:rsid w:val="005B695F"/>
    <w:rsid w:val="005C3111"/>
    <w:rsid w:val="005D31D4"/>
    <w:rsid w:val="005E211C"/>
    <w:rsid w:val="005F16BC"/>
    <w:rsid w:val="005F3A0F"/>
    <w:rsid w:val="005F3D33"/>
    <w:rsid w:val="005F4D77"/>
    <w:rsid w:val="006051AC"/>
    <w:rsid w:val="0061753D"/>
    <w:rsid w:val="00621A9E"/>
    <w:rsid w:val="006269CC"/>
    <w:rsid w:val="00626BE4"/>
    <w:rsid w:val="00632F1F"/>
    <w:rsid w:val="00637977"/>
    <w:rsid w:val="0064107A"/>
    <w:rsid w:val="006436CC"/>
    <w:rsid w:val="00644D92"/>
    <w:rsid w:val="006503EF"/>
    <w:rsid w:val="0065241A"/>
    <w:rsid w:val="0065265E"/>
    <w:rsid w:val="00663F32"/>
    <w:rsid w:val="0066429C"/>
    <w:rsid w:val="00665944"/>
    <w:rsid w:val="0067334D"/>
    <w:rsid w:val="0067462E"/>
    <w:rsid w:val="00675AE6"/>
    <w:rsid w:val="00687469"/>
    <w:rsid w:val="00687C23"/>
    <w:rsid w:val="00690C78"/>
    <w:rsid w:val="006A0564"/>
    <w:rsid w:val="006A273A"/>
    <w:rsid w:val="006A3037"/>
    <w:rsid w:val="006A58CB"/>
    <w:rsid w:val="006B2947"/>
    <w:rsid w:val="006B36E7"/>
    <w:rsid w:val="006B4D28"/>
    <w:rsid w:val="006B5612"/>
    <w:rsid w:val="006E7245"/>
    <w:rsid w:val="006E74BB"/>
    <w:rsid w:val="006F6FBE"/>
    <w:rsid w:val="00703205"/>
    <w:rsid w:val="00706205"/>
    <w:rsid w:val="00706E01"/>
    <w:rsid w:val="00711118"/>
    <w:rsid w:val="00714ACD"/>
    <w:rsid w:val="007216CB"/>
    <w:rsid w:val="0072216A"/>
    <w:rsid w:val="00725EF9"/>
    <w:rsid w:val="00726211"/>
    <w:rsid w:val="00730F8E"/>
    <w:rsid w:val="00732591"/>
    <w:rsid w:val="007344CD"/>
    <w:rsid w:val="00736851"/>
    <w:rsid w:val="00741850"/>
    <w:rsid w:val="0074223E"/>
    <w:rsid w:val="00746406"/>
    <w:rsid w:val="00746BE9"/>
    <w:rsid w:val="0075661B"/>
    <w:rsid w:val="00763505"/>
    <w:rsid w:val="00765191"/>
    <w:rsid w:val="00770F76"/>
    <w:rsid w:val="00771398"/>
    <w:rsid w:val="0077248A"/>
    <w:rsid w:val="00783A12"/>
    <w:rsid w:val="00786B2B"/>
    <w:rsid w:val="00787F58"/>
    <w:rsid w:val="00796D82"/>
    <w:rsid w:val="007A2D85"/>
    <w:rsid w:val="007A6CE2"/>
    <w:rsid w:val="007A7073"/>
    <w:rsid w:val="007B5423"/>
    <w:rsid w:val="007B6811"/>
    <w:rsid w:val="007C04CE"/>
    <w:rsid w:val="007C16E3"/>
    <w:rsid w:val="007C288A"/>
    <w:rsid w:val="007C7AEF"/>
    <w:rsid w:val="007D2BF7"/>
    <w:rsid w:val="007D49FA"/>
    <w:rsid w:val="007D4C99"/>
    <w:rsid w:val="007D7DD0"/>
    <w:rsid w:val="007E0611"/>
    <w:rsid w:val="007E4FAB"/>
    <w:rsid w:val="007E5971"/>
    <w:rsid w:val="007E6671"/>
    <w:rsid w:val="007E6EE2"/>
    <w:rsid w:val="007F2CB4"/>
    <w:rsid w:val="007F49A4"/>
    <w:rsid w:val="007F62C7"/>
    <w:rsid w:val="00800BD6"/>
    <w:rsid w:val="00802320"/>
    <w:rsid w:val="00805771"/>
    <w:rsid w:val="00807E49"/>
    <w:rsid w:val="00814583"/>
    <w:rsid w:val="00814712"/>
    <w:rsid w:val="00814CF7"/>
    <w:rsid w:val="008170B1"/>
    <w:rsid w:val="008208BF"/>
    <w:rsid w:val="00822C50"/>
    <w:rsid w:val="0082629C"/>
    <w:rsid w:val="00835B91"/>
    <w:rsid w:val="00837BFE"/>
    <w:rsid w:val="00841BFB"/>
    <w:rsid w:val="0084495C"/>
    <w:rsid w:val="00846388"/>
    <w:rsid w:val="00854D07"/>
    <w:rsid w:val="00857BD3"/>
    <w:rsid w:val="00860A31"/>
    <w:rsid w:val="008636FD"/>
    <w:rsid w:val="008638B9"/>
    <w:rsid w:val="00864688"/>
    <w:rsid w:val="008657C0"/>
    <w:rsid w:val="00865C2A"/>
    <w:rsid w:val="00876E60"/>
    <w:rsid w:val="00877012"/>
    <w:rsid w:val="00885F0E"/>
    <w:rsid w:val="00885F56"/>
    <w:rsid w:val="00885FD1"/>
    <w:rsid w:val="008874FD"/>
    <w:rsid w:val="00896C13"/>
    <w:rsid w:val="008A0E20"/>
    <w:rsid w:val="008A3822"/>
    <w:rsid w:val="008A3ACD"/>
    <w:rsid w:val="008A5882"/>
    <w:rsid w:val="008A73BB"/>
    <w:rsid w:val="008B150B"/>
    <w:rsid w:val="008B6B8E"/>
    <w:rsid w:val="008C29A8"/>
    <w:rsid w:val="008C4794"/>
    <w:rsid w:val="008C7560"/>
    <w:rsid w:val="008D2849"/>
    <w:rsid w:val="008D3184"/>
    <w:rsid w:val="008D4FC1"/>
    <w:rsid w:val="008D56B5"/>
    <w:rsid w:val="008D7817"/>
    <w:rsid w:val="008E2689"/>
    <w:rsid w:val="008E3344"/>
    <w:rsid w:val="008E61F5"/>
    <w:rsid w:val="008F50D8"/>
    <w:rsid w:val="008F64C2"/>
    <w:rsid w:val="008F7BCD"/>
    <w:rsid w:val="0090039D"/>
    <w:rsid w:val="00902C05"/>
    <w:rsid w:val="00902F7D"/>
    <w:rsid w:val="00903879"/>
    <w:rsid w:val="00911C93"/>
    <w:rsid w:val="00912E10"/>
    <w:rsid w:val="009159D7"/>
    <w:rsid w:val="00917E3E"/>
    <w:rsid w:val="00926D3B"/>
    <w:rsid w:val="009349C3"/>
    <w:rsid w:val="00936BB6"/>
    <w:rsid w:val="00946CA9"/>
    <w:rsid w:val="0095357B"/>
    <w:rsid w:val="009608AF"/>
    <w:rsid w:val="00963347"/>
    <w:rsid w:val="009707CB"/>
    <w:rsid w:val="00971D67"/>
    <w:rsid w:val="00973949"/>
    <w:rsid w:val="009767C9"/>
    <w:rsid w:val="00981130"/>
    <w:rsid w:val="00981893"/>
    <w:rsid w:val="00983A2A"/>
    <w:rsid w:val="00984217"/>
    <w:rsid w:val="0098493A"/>
    <w:rsid w:val="009914C9"/>
    <w:rsid w:val="00991D49"/>
    <w:rsid w:val="009941CD"/>
    <w:rsid w:val="009955DA"/>
    <w:rsid w:val="009971CF"/>
    <w:rsid w:val="009A2776"/>
    <w:rsid w:val="009A4D34"/>
    <w:rsid w:val="009A525E"/>
    <w:rsid w:val="009B0271"/>
    <w:rsid w:val="009B6533"/>
    <w:rsid w:val="009B725F"/>
    <w:rsid w:val="009C2687"/>
    <w:rsid w:val="009C4CBD"/>
    <w:rsid w:val="009C65A2"/>
    <w:rsid w:val="009D22AA"/>
    <w:rsid w:val="009D31A3"/>
    <w:rsid w:val="009E12D5"/>
    <w:rsid w:val="009E29EF"/>
    <w:rsid w:val="009E3A2A"/>
    <w:rsid w:val="009E41EE"/>
    <w:rsid w:val="009F4258"/>
    <w:rsid w:val="00A11CD1"/>
    <w:rsid w:val="00A16E1F"/>
    <w:rsid w:val="00A20274"/>
    <w:rsid w:val="00A2617B"/>
    <w:rsid w:val="00A32246"/>
    <w:rsid w:val="00A33CB5"/>
    <w:rsid w:val="00A401C6"/>
    <w:rsid w:val="00A41925"/>
    <w:rsid w:val="00A46630"/>
    <w:rsid w:val="00A614CE"/>
    <w:rsid w:val="00A62A10"/>
    <w:rsid w:val="00A63602"/>
    <w:rsid w:val="00A67671"/>
    <w:rsid w:val="00A7031E"/>
    <w:rsid w:val="00A705CA"/>
    <w:rsid w:val="00A71AF5"/>
    <w:rsid w:val="00A735C6"/>
    <w:rsid w:val="00A81009"/>
    <w:rsid w:val="00A836DB"/>
    <w:rsid w:val="00A9142D"/>
    <w:rsid w:val="00A955A9"/>
    <w:rsid w:val="00A96A28"/>
    <w:rsid w:val="00A96AA7"/>
    <w:rsid w:val="00A972D5"/>
    <w:rsid w:val="00A9793F"/>
    <w:rsid w:val="00AA2261"/>
    <w:rsid w:val="00AA5645"/>
    <w:rsid w:val="00AB60F8"/>
    <w:rsid w:val="00AB7FA5"/>
    <w:rsid w:val="00AC30D0"/>
    <w:rsid w:val="00AC66B5"/>
    <w:rsid w:val="00AD4103"/>
    <w:rsid w:val="00AE4B24"/>
    <w:rsid w:val="00AE5258"/>
    <w:rsid w:val="00AF11DC"/>
    <w:rsid w:val="00AF2B87"/>
    <w:rsid w:val="00AF4E55"/>
    <w:rsid w:val="00B00BE7"/>
    <w:rsid w:val="00B03C03"/>
    <w:rsid w:val="00B060B1"/>
    <w:rsid w:val="00B10EE7"/>
    <w:rsid w:val="00B22B3C"/>
    <w:rsid w:val="00B24F9E"/>
    <w:rsid w:val="00B27F3C"/>
    <w:rsid w:val="00B30074"/>
    <w:rsid w:val="00B3154A"/>
    <w:rsid w:val="00B34CDC"/>
    <w:rsid w:val="00B411D6"/>
    <w:rsid w:val="00B42892"/>
    <w:rsid w:val="00B46316"/>
    <w:rsid w:val="00B55F56"/>
    <w:rsid w:val="00B5638B"/>
    <w:rsid w:val="00B649B2"/>
    <w:rsid w:val="00B64E4E"/>
    <w:rsid w:val="00B66D9B"/>
    <w:rsid w:val="00B726C7"/>
    <w:rsid w:val="00B72889"/>
    <w:rsid w:val="00B80C52"/>
    <w:rsid w:val="00B81AD8"/>
    <w:rsid w:val="00B860C3"/>
    <w:rsid w:val="00B863CD"/>
    <w:rsid w:val="00B90671"/>
    <w:rsid w:val="00B931BA"/>
    <w:rsid w:val="00B9417A"/>
    <w:rsid w:val="00B96B7C"/>
    <w:rsid w:val="00BA4A24"/>
    <w:rsid w:val="00BB0454"/>
    <w:rsid w:val="00BB6092"/>
    <w:rsid w:val="00BB6D96"/>
    <w:rsid w:val="00BC1BEA"/>
    <w:rsid w:val="00BC5FBD"/>
    <w:rsid w:val="00BC6E29"/>
    <w:rsid w:val="00BD1D0B"/>
    <w:rsid w:val="00BD2023"/>
    <w:rsid w:val="00BD48DC"/>
    <w:rsid w:val="00BD74AC"/>
    <w:rsid w:val="00BE734E"/>
    <w:rsid w:val="00BF0190"/>
    <w:rsid w:val="00BF0405"/>
    <w:rsid w:val="00BF4920"/>
    <w:rsid w:val="00C0354D"/>
    <w:rsid w:val="00C05DE5"/>
    <w:rsid w:val="00C07BF1"/>
    <w:rsid w:val="00C1013B"/>
    <w:rsid w:val="00C11059"/>
    <w:rsid w:val="00C129C9"/>
    <w:rsid w:val="00C132FA"/>
    <w:rsid w:val="00C251BF"/>
    <w:rsid w:val="00C2645D"/>
    <w:rsid w:val="00C2771F"/>
    <w:rsid w:val="00C32F1A"/>
    <w:rsid w:val="00C42211"/>
    <w:rsid w:val="00C430B1"/>
    <w:rsid w:val="00C469F8"/>
    <w:rsid w:val="00C46D8C"/>
    <w:rsid w:val="00C5003A"/>
    <w:rsid w:val="00C514A7"/>
    <w:rsid w:val="00C54880"/>
    <w:rsid w:val="00C70385"/>
    <w:rsid w:val="00C706FF"/>
    <w:rsid w:val="00C74CE8"/>
    <w:rsid w:val="00C758E0"/>
    <w:rsid w:val="00C85A7A"/>
    <w:rsid w:val="00C85D61"/>
    <w:rsid w:val="00C90657"/>
    <w:rsid w:val="00C91DC4"/>
    <w:rsid w:val="00C92D64"/>
    <w:rsid w:val="00C93A2F"/>
    <w:rsid w:val="00C9510C"/>
    <w:rsid w:val="00C9536A"/>
    <w:rsid w:val="00C96199"/>
    <w:rsid w:val="00CA210B"/>
    <w:rsid w:val="00CA7861"/>
    <w:rsid w:val="00CB280D"/>
    <w:rsid w:val="00CB336A"/>
    <w:rsid w:val="00CB3BF7"/>
    <w:rsid w:val="00CB5BB0"/>
    <w:rsid w:val="00CC3468"/>
    <w:rsid w:val="00CC7319"/>
    <w:rsid w:val="00CD3952"/>
    <w:rsid w:val="00CD4648"/>
    <w:rsid w:val="00CD601F"/>
    <w:rsid w:val="00CD61DB"/>
    <w:rsid w:val="00CD7937"/>
    <w:rsid w:val="00CD7C5B"/>
    <w:rsid w:val="00CD7E92"/>
    <w:rsid w:val="00CE46F1"/>
    <w:rsid w:val="00CE696B"/>
    <w:rsid w:val="00CF1071"/>
    <w:rsid w:val="00D00527"/>
    <w:rsid w:val="00D00CB0"/>
    <w:rsid w:val="00D012A9"/>
    <w:rsid w:val="00D05648"/>
    <w:rsid w:val="00D062B7"/>
    <w:rsid w:val="00D06772"/>
    <w:rsid w:val="00D06DB0"/>
    <w:rsid w:val="00D07F26"/>
    <w:rsid w:val="00D16755"/>
    <w:rsid w:val="00D207CC"/>
    <w:rsid w:val="00D21E76"/>
    <w:rsid w:val="00D24A55"/>
    <w:rsid w:val="00D2535E"/>
    <w:rsid w:val="00D31FCD"/>
    <w:rsid w:val="00D34B0B"/>
    <w:rsid w:val="00D406C6"/>
    <w:rsid w:val="00D44A94"/>
    <w:rsid w:val="00D44DBE"/>
    <w:rsid w:val="00D46177"/>
    <w:rsid w:val="00D50EF4"/>
    <w:rsid w:val="00D51B1D"/>
    <w:rsid w:val="00D56701"/>
    <w:rsid w:val="00D57C42"/>
    <w:rsid w:val="00D620AD"/>
    <w:rsid w:val="00D62B9B"/>
    <w:rsid w:val="00D6341F"/>
    <w:rsid w:val="00D63568"/>
    <w:rsid w:val="00D654B7"/>
    <w:rsid w:val="00D70E10"/>
    <w:rsid w:val="00D70E13"/>
    <w:rsid w:val="00D7777E"/>
    <w:rsid w:val="00D83369"/>
    <w:rsid w:val="00D845E0"/>
    <w:rsid w:val="00D86AD8"/>
    <w:rsid w:val="00D871E3"/>
    <w:rsid w:val="00D91005"/>
    <w:rsid w:val="00D9132A"/>
    <w:rsid w:val="00D92A12"/>
    <w:rsid w:val="00D957FD"/>
    <w:rsid w:val="00D96635"/>
    <w:rsid w:val="00DA4CA8"/>
    <w:rsid w:val="00DA69D8"/>
    <w:rsid w:val="00DA71C3"/>
    <w:rsid w:val="00DB162C"/>
    <w:rsid w:val="00DB6125"/>
    <w:rsid w:val="00DC4266"/>
    <w:rsid w:val="00DC7F56"/>
    <w:rsid w:val="00DD444F"/>
    <w:rsid w:val="00DE3252"/>
    <w:rsid w:val="00DE7825"/>
    <w:rsid w:val="00E03190"/>
    <w:rsid w:val="00E05BD0"/>
    <w:rsid w:val="00E07062"/>
    <w:rsid w:val="00E1355B"/>
    <w:rsid w:val="00E25FD9"/>
    <w:rsid w:val="00E3357D"/>
    <w:rsid w:val="00E33773"/>
    <w:rsid w:val="00E34ACB"/>
    <w:rsid w:val="00E354F4"/>
    <w:rsid w:val="00E36D06"/>
    <w:rsid w:val="00E42CB3"/>
    <w:rsid w:val="00E4605A"/>
    <w:rsid w:val="00E460F1"/>
    <w:rsid w:val="00E47C9D"/>
    <w:rsid w:val="00E51401"/>
    <w:rsid w:val="00E55BF4"/>
    <w:rsid w:val="00E57913"/>
    <w:rsid w:val="00E60A10"/>
    <w:rsid w:val="00E60DE8"/>
    <w:rsid w:val="00E63138"/>
    <w:rsid w:val="00E65534"/>
    <w:rsid w:val="00E67BD3"/>
    <w:rsid w:val="00E718C4"/>
    <w:rsid w:val="00E741F6"/>
    <w:rsid w:val="00E80152"/>
    <w:rsid w:val="00E80352"/>
    <w:rsid w:val="00E81334"/>
    <w:rsid w:val="00E875CC"/>
    <w:rsid w:val="00E93E05"/>
    <w:rsid w:val="00E97114"/>
    <w:rsid w:val="00E97A9C"/>
    <w:rsid w:val="00EA160C"/>
    <w:rsid w:val="00EA4024"/>
    <w:rsid w:val="00EB0FD3"/>
    <w:rsid w:val="00EB1AC4"/>
    <w:rsid w:val="00EB66E3"/>
    <w:rsid w:val="00EB77F7"/>
    <w:rsid w:val="00EC0CD3"/>
    <w:rsid w:val="00EC2064"/>
    <w:rsid w:val="00ED0F09"/>
    <w:rsid w:val="00EE0326"/>
    <w:rsid w:val="00EE45EE"/>
    <w:rsid w:val="00EE5967"/>
    <w:rsid w:val="00EF18C1"/>
    <w:rsid w:val="00EF2EBD"/>
    <w:rsid w:val="00F02A17"/>
    <w:rsid w:val="00F03817"/>
    <w:rsid w:val="00F05829"/>
    <w:rsid w:val="00F07279"/>
    <w:rsid w:val="00F07D1B"/>
    <w:rsid w:val="00F07E57"/>
    <w:rsid w:val="00F11B88"/>
    <w:rsid w:val="00F2015F"/>
    <w:rsid w:val="00F22875"/>
    <w:rsid w:val="00F23E16"/>
    <w:rsid w:val="00F26993"/>
    <w:rsid w:val="00F33E29"/>
    <w:rsid w:val="00F35515"/>
    <w:rsid w:val="00F3666C"/>
    <w:rsid w:val="00F36E4C"/>
    <w:rsid w:val="00F40E1B"/>
    <w:rsid w:val="00F42B37"/>
    <w:rsid w:val="00F42E9D"/>
    <w:rsid w:val="00F43F0B"/>
    <w:rsid w:val="00F4660F"/>
    <w:rsid w:val="00F46B26"/>
    <w:rsid w:val="00F545AC"/>
    <w:rsid w:val="00F547F7"/>
    <w:rsid w:val="00F5552E"/>
    <w:rsid w:val="00F56942"/>
    <w:rsid w:val="00F6110D"/>
    <w:rsid w:val="00F6382D"/>
    <w:rsid w:val="00F6530E"/>
    <w:rsid w:val="00F67B56"/>
    <w:rsid w:val="00F71114"/>
    <w:rsid w:val="00F72699"/>
    <w:rsid w:val="00F73619"/>
    <w:rsid w:val="00F7370B"/>
    <w:rsid w:val="00F73EAF"/>
    <w:rsid w:val="00F7579F"/>
    <w:rsid w:val="00F7583B"/>
    <w:rsid w:val="00F76D39"/>
    <w:rsid w:val="00F81EC9"/>
    <w:rsid w:val="00F83DBC"/>
    <w:rsid w:val="00F8592A"/>
    <w:rsid w:val="00F87429"/>
    <w:rsid w:val="00F935E4"/>
    <w:rsid w:val="00F97AC9"/>
    <w:rsid w:val="00FA0034"/>
    <w:rsid w:val="00FA2FFB"/>
    <w:rsid w:val="00FA425A"/>
    <w:rsid w:val="00FA62E6"/>
    <w:rsid w:val="00FA6542"/>
    <w:rsid w:val="00FB25F3"/>
    <w:rsid w:val="00FC0D3E"/>
    <w:rsid w:val="00FC0F37"/>
    <w:rsid w:val="00FC1000"/>
    <w:rsid w:val="00FD362A"/>
    <w:rsid w:val="00FD50E2"/>
    <w:rsid w:val="00FE09C4"/>
    <w:rsid w:val="00FE1AF5"/>
    <w:rsid w:val="00FE6914"/>
    <w:rsid w:val="00FE793F"/>
    <w:rsid w:val="00FF02E0"/>
    <w:rsid w:val="00FF24C0"/>
    <w:rsid w:val="0214299F"/>
    <w:rsid w:val="02A7190C"/>
    <w:rsid w:val="06B11808"/>
    <w:rsid w:val="07706BC3"/>
    <w:rsid w:val="077575FB"/>
    <w:rsid w:val="08657574"/>
    <w:rsid w:val="091A11E2"/>
    <w:rsid w:val="0A71227A"/>
    <w:rsid w:val="0B05467D"/>
    <w:rsid w:val="0FF86316"/>
    <w:rsid w:val="125F0689"/>
    <w:rsid w:val="134E0870"/>
    <w:rsid w:val="141F2CF3"/>
    <w:rsid w:val="158323EE"/>
    <w:rsid w:val="16665289"/>
    <w:rsid w:val="16830367"/>
    <w:rsid w:val="181D07D0"/>
    <w:rsid w:val="182643DE"/>
    <w:rsid w:val="19F93196"/>
    <w:rsid w:val="1D81111E"/>
    <w:rsid w:val="1D833EC6"/>
    <w:rsid w:val="1EA13673"/>
    <w:rsid w:val="20EA72FF"/>
    <w:rsid w:val="23995D5D"/>
    <w:rsid w:val="28DA0C5E"/>
    <w:rsid w:val="2E724789"/>
    <w:rsid w:val="2EBC3A5E"/>
    <w:rsid w:val="2F857BF3"/>
    <w:rsid w:val="312D0810"/>
    <w:rsid w:val="31767974"/>
    <w:rsid w:val="333A27A9"/>
    <w:rsid w:val="33B83E61"/>
    <w:rsid w:val="34055FBD"/>
    <w:rsid w:val="34344382"/>
    <w:rsid w:val="36167037"/>
    <w:rsid w:val="36223A49"/>
    <w:rsid w:val="391C5F6B"/>
    <w:rsid w:val="3CA332B6"/>
    <w:rsid w:val="3CCE2345"/>
    <w:rsid w:val="450E2887"/>
    <w:rsid w:val="4511201A"/>
    <w:rsid w:val="47F57C03"/>
    <w:rsid w:val="48C42BE8"/>
    <w:rsid w:val="4C1C4AA3"/>
    <w:rsid w:val="4C3105FD"/>
    <w:rsid w:val="4EF9551E"/>
    <w:rsid w:val="5326413C"/>
    <w:rsid w:val="55CB6B38"/>
    <w:rsid w:val="57271F06"/>
    <w:rsid w:val="5A1C0CEA"/>
    <w:rsid w:val="5BE7336E"/>
    <w:rsid w:val="5BF14CC0"/>
    <w:rsid w:val="5C7B5150"/>
    <w:rsid w:val="5CA00C74"/>
    <w:rsid w:val="5E191EDB"/>
    <w:rsid w:val="5F6D6512"/>
    <w:rsid w:val="601C50E4"/>
    <w:rsid w:val="62C85767"/>
    <w:rsid w:val="62E430E9"/>
    <w:rsid w:val="63131AA4"/>
    <w:rsid w:val="67C20DCF"/>
    <w:rsid w:val="691C4326"/>
    <w:rsid w:val="724D0AFE"/>
    <w:rsid w:val="752909C8"/>
    <w:rsid w:val="78A920BF"/>
    <w:rsid w:val="78D6025D"/>
    <w:rsid w:val="7DD77043"/>
    <w:rsid w:val="7E853D8A"/>
    <w:rsid w:val="7FCD7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cs="Times New Roman"/>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34"/>
    <w:qFormat/>
    <w:uiPriority w:val="0"/>
    <w:pPr>
      <w:ind w:firstLine="420"/>
    </w:pPr>
    <w:rPr>
      <w:kern w:val="0"/>
      <w:szCs w:val="20"/>
    </w:rPr>
  </w:style>
  <w:style w:type="paragraph" w:styleId="4">
    <w:name w:val="annotation text"/>
    <w:basedOn w:val="1"/>
    <w:link w:val="30"/>
    <w:semiHidden/>
    <w:unhideWhenUsed/>
    <w:qFormat/>
    <w:uiPriority w:val="99"/>
    <w:pPr>
      <w:jc w:val="left"/>
    </w:pPr>
  </w:style>
  <w:style w:type="paragraph" w:styleId="5">
    <w:name w:val="Closing"/>
    <w:basedOn w:val="1"/>
    <w:qFormat/>
    <w:uiPriority w:val="0"/>
    <w:pPr>
      <w:ind w:left="100" w:leftChars="2100"/>
    </w:pPr>
    <w:rPr>
      <w:rFonts w:ascii="宋体"/>
      <w:sz w:val="24"/>
    </w:rPr>
  </w:style>
  <w:style w:type="paragraph" w:styleId="6">
    <w:name w:val="Body Text"/>
    <w:basedOn w:val="1"/>
    <w:qFormat/>
    <w:uiPriority w:val="0"/>
    <w:pPr>
      <w:spacing w:after="120"/>
    </w:pPr>
    <w:rPr>
      <w:kern w:val="0"/>
      <w:sz w:val="20"/>
      <w:szCs w:val="20"/>
    </w:rPr>
  </w:style>
  <w:style w:type="paragraph" w:styleId="7">
    <w:name w:val="Body Text Indent"/>
    <w:basedOn w:val="1"/>
    <w:link w:val="36"/>
    <w:semiHidden/>
    <w:unhideWhenUsed/>
    <w:qFormat/>
    <w:uiPriority w:val="99"/>
    <w:pPr>
      <w:spacing w:after="120"/>
      <w:ind w:left="420" w:leftChars="200"/>
    </w:pPr>
  </w:style>
  <w:style w:type="paragraph" w:styleId="8">
    <w:name w:val="Plain Text"/>
    <w:basedOn w:val="1"/>
    <w:link w:val="25"/>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9">
    <w:name w:val="Date"/>
    <w:basedOn w:val="1"/>
    <w:next w:val="1"/>
    <w:link w:val="33"/>
    <w:semiHidden/>
    <w:unhideWhenUsed/>
    <w:qFormat/>
    <w:uiPriority w:val="99"/>
    <w:pPr>
      <w:ind w:left="100" w:leftChars="2500"/>
    </w:pPr>
  </w:style>
  <w:style w:type="paragraph" w:styleId="10">
    <w:name w:val="Balloon Text"/>
    <w:basedOn w:val="1"/>
    <w:qFormat/>
    <w:uiPriority w:val="0"/>
    <w:rPr>
      <w:sz w:val="18"/>
      <w:szCs w:val="18"/>
    </w:rPr>
  </w:style>
  <w:style w:type="paragraph" w:styleId="11">
    <w:name w:val="footer"/>
    <w:basedOn w:val="1"/>
    <w:link w:val="21"/>
    <w:qFormat/>
    <w:uiPriority w:val="99"/>
    <w:pPr>
      <w:tabs>
        <w:tab w:val="center" w:pos="4153"/>
        <w:tab w:val="right" w:pos="8306"/>
      </w:tabs>
      <w:snapToGrid w:val="0"/>
      <w:jc w:val="left"/>
    </w:pPr>
    <w:rPr>
      <w:sz w:val="18"/>
      <w:szCs w:val="18"/>
    </w:rPr>
  </w:style>
  <w:style w:type="paragraph" w:styleId="12">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4">
    <w:name w:val="Normal (Web)"/>
    <w:basedOn w:val="1"/>
    <w:qFormat/>
    <w:uiPriority w:val="0"/>
    <w:rPr>
      <w:sz w:val="24"/>
    </w:rPr>
  </w:style>
  <w:style w:type="paragraph" w:styleId="15">
    <w:name w:val="Body Text First Indent 2"/>
    <w:basedOn w:val="7"/>
    <w:link w:val="39"/>
    <w:qFormat/>
    <w:uiPriority w:val="99"/>
    <w:pPr>
      <w:tabs>
        <w:tab w:val="left" w:pos="1218"/>
        <w:tab w:val="left" w:pos="3544"/>
      </w:tabs>
      <w:ind w:firstLine="420" w:firstLineChars="200"/>
    </w:pPr>
    <w:rPr>
      <w:rFonts w:hAnsi="Calibri"/>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customStyle="1" w:styleId="21">
    <w:name w:val="页脚 字符"/>
    <w:link w:val="11"/>
    <w:qFormat/>
    <w:uiPriority w:val="99"/>
    <w:rPr>
      <w:kern w:val="2"/>
      <w:sz w:val="18"/>
      <w:szCs w:val="18"/>
    </w:rPr>
  </w:style>
  <w:style w:type="character" w:customStyle="1" w:styleId="22">
    <w:name w:val="apple-style-span"/>
    <w:basedOn w:val="18"/>
    <w:qFormat/>
    <w:uiPriority w:val="0"/>
  </w:style>
  <w:style w:type="character" w:customStyle="1" w:styleId="23">
    <w:name w:val="页眉 字符"/>
    <w:link w:val="12"/>
    <w:qFormat/>
    <w:uiPriority w:val="0"/>
    <w:rPr>
      <w:kern w:val="2"/>
      <w:sz w:val="18"/>
      <w:szCs w:val="18"/>
    </w:rPr>
  </w:style>
  <w:style w:type="character" w:customStyle="1" w:styleId="24">
    <w:name w:val="style141"/>
    <w:qFormat/>
    <w:uiPriority w:val="0"/>
    <w:rPr>
      <w:rFonts w:hint="eastAsia" w:ascii="宋体" w:hAnsi="宋体" w:eastAsia="宋体"/>
      <w:sz w:val="18"/>
      <w:szCs w:val="18"/>
    </w:rPr>
  </w:style>
  <w:style w:type="character" w:customStyle="1" w:styleId="25">
    <w:name w:val="纯文本 字符"/>
    <w:basedOn w:val="18"/>
    <w:link w:val="8"/>
    <w:qFormat/>
    <w:uiPriority w:val="0"/>
    <w:rPr>
      <w:rFonts w:ascii="宋体" w:hAnsi="Courier New" w:eastAsia="微软雅黑" w:cs="Courier New"/>
      <w:sz w:val="22"/>
      <w:szCs w:val="21"/>
    </w:rPr>
  </w:style>
  <w:style w:type="paragraph" w:customStyle="1" w:styleId="26">
    <w:name w:val="列出段落1"/>
    <w:basedOn w:val="1"/>
    <w:qFormat/>
    <w:uiPriority w:val="34"/>
    <w:pPr>
      <w:widowControl/>
      <w:adjustRightInd w:val="0"/>
      <w:snapToGrid w:val="0"/>
      <w:ind w:firstLine="420" w:firstLineChars="200"/>
      <w:jc w:val="left"/>
    </w:pPr>
    <w:rPr>
      <w:rFonts w:ascii="Tahoma" w:hAnsi="Tahoma" w:eastAsia="微软雅黑"/>
      <w:kern w:val="0"/>
      <w:sz w:val="22"/>
      <w:szCs w:val="22"/>
    </w:rPr>
  </w:style>
  <w:style w:type="paragraph" w:customStyle="1" w:styleId="27">
    <w:name w:val="列出段落2"/>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paragraph" w:styleId="28">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9">
    <w:name w:val="p141"/>
    <w:qFormat/>
    <w:uiPriority w:val="0"/>
    <w:rPr>
      <w:sz w:val="21"/>
      <w:szCs w:val="21"/>
    </w:rPr>
  </w:style>
  <w:style w:type="character" w:customStyle="1" w:styleId="30">
    <w:name w:val="批注文字 字符"/>
    <w:basedOn w:val="18"/>
    <w:link w:val="4"/>
    <w:semiHidden/>
    <w:qFormat/>
    <w:uiPriority w:val="99"/>
    <w:rPr>
      <w:kern w:val="2"/>
      <w:sz w:val="21"/>
      <w:szCs w:val="24"/>
    </w:rPr>
  </w:style>
  <w:style w:type="paragraph" w:customStyle="1" w:styleId="31">
    <w:name w:val="纯文本1"/>
    <w:basedOn w:val="1"/>
    <w:qFormat/>
    <w:uiPriority w:val="0"/>
    <w:pPr>
      <w:widowControl/>
      <w:jc w:val="left"/>
    </w:pPr>
    <w:rPr>
      <w:rFonts w:ascii="宋体" w:hAnsi="Courier New" w:eastAsia="微软雅黑"/>
      <w:kern w:val="0"/>
      <w:sz w:val="20"/>
      <w:szCs w:val="21"/>
    </w:rPr>
  </w:style>
  <w:style w:type="paragraph" w:customStyle="1" w:styleId="32">
    <w:name w:val="1_0"/>
    <w:basedOn w:val="1"/>
    <w:next w:val="31"/>
    <w:qFormat/>
    <w:uiPriority w:val="0"/>
    <w:rPr>
      <w:rFonts w:ascii="宋体" w:hAnsi="Courier New"/>
      <w:szCs w:val="22"/>
    </w:rPr>
  </w:style>
  <w:style w:type="character" w:customStyle="1" w:styleId="33">
    <w:name w:val="日期 字符"/>
    <w:basedOn w:val="18"/>
    <w:link w:val="9"/>
    <w:semiHidden/>
    <w:qFormat/>
    <w:uiPriority w:val="99"/>
    <w:rPr>
      <w:kern w:val="2"/>
      <w:sz w:val="21"/>
      <w:szCs w:val="24"/>
    </w:rPr>
  </w:style>
  <w:style w:type="character" w:customStyle="1" w:styleId="34">
    <w:name w:val="正文缩进 字符"/>
    <w:link w:val="3"/>
    <w:qFormat/>
    <w:uiPriority w:val="0"/>
    <w:rPr>
      <w:sz w:val="21"/>
    </w:rPr>
  </w:style>
  <w:style w:type="paragraph" w:customStyle="1" w:styleId="35">
    <w:name w:val="正文_0"/>
    <w:qFormat/>
    <w:uiPriority w:val="0"/>
    <w:pPr>
      <w:widowControl w:val="0"/>
      <w:spacing w:line="360" w:lineRule="auto"/>
      <w:ind w:firstLine="425"/>
      <w:jc w:val="both"/>
    </w:pPr>
    <w:rPr>
      <w:rFonts w:ascii="Calibri" w:hAnsi="Calibri" w:eastAsia="宋体" w:cs="Times New Roman"/>
      <w:spacing w:val="10"/>
      <w:sz w:val="24"/>
      <w:lang w:val="en-US" w:eastAsia="zh-CN" w:bidi="ar-SA"/>
    </w:rPr>
  </w:style>
  <w:style w:type="character" w:customStyle="1" w:styleId="36">
    <w:name w:val="正文文本缩进 字符"/>
    <w:basedOn w:val="18"/>
    <w:link w:val="7"/>
    <w:semiHidden/>
    <w:qFormat/>
    <w:uiPriority w:val="99"/>
    <w:rPr>
      <w:kern w:val="2"/>
      <w:sz w:val="21"/>
      <w:szCs w:val="24"/>
    </w:rPr>
  </w:style>
  <w:style w:type="character" w:customStyle="1" w:styleId="37">
    <w:name w:val="正文文本首行缩进 2 字符"/>
    <w:basedOn w:val="36"/>
    <w:semiHidden/>
    <w:qFormat/>
    <w:uiPriority w:val="99"/>
    <w:rPr>
      <w:kern w:val="2"/>
      <w:sz w:val="21"/>
      <w:szCs w:val="24"/>
    </w:rPr>
  </w:style>
  <w:style w:type="paragraph" w:customStyle="1" w:styleId="38">
    <w:name w:val="Table Paragraph"/>
    <w:basedOn w:val="1"/>
    <w:qFormat/>
    <w:uiPriority w:val="1"/>
    <w:pPr>
      <w:jc w:val="left"/>
    </w:pPr>
    <w:rPr>
      <w:rFonts w:ascii="Calibri" w:hAnsi="Calibri"/>
      <w:kern w:val="0"/>
      <w:sz w:val="22"/>
      <w:szCs w:val="22"/>
      <w:lang w:eastAsia="en-US"/>
    </w:rPr>
  </w:style>
  <w:style w:type="character" w:customStyle="1" w:styleId="39">
    <w:name w:val="正文文本首行缩进 2 字符1"/>
    <w:basedOn w:val="18"/>
    <w:link w:val="15"/>
    <w:qFormat/>
    <w:uiPriority w:val="99"/>
    <w:rPr>
      <w:rFonts w:hAnsi="Calibri"/>
      <w:kern w:val="2"/>
      <w:sz w:val="21"/>
      <w:szCs w:val="24"/>
    </w:rPr>
  </w:style>
  <w:style w:type="paragraph" w:customStyle="1" w:styleId="40">
    <w:name w:val="55"/>
    <w:basedOn w:val="1"/>
    <w:qFormat/>
    <w:uiPriority w:val="99"/>
    <w:pPr>
      <w:adjustRightInd w:val="0"/>
      <w:spacing w:before="260" w:after="260" w:line="500" w:lineRule="exact"/>
      <w:ind w:firstLine="629"/>
    </w:pPr>
    <w:rPr>
      <w:rFonts w:ascii="仿宋_GB2312" w:eastAsia="仿宋_GB2312"/>
      <w:sz w:val="28"/>
      <w:szCs w:val="28"/>
    </w:rPr>
  </w:style>
  <w:style w:type="character" w:customStyle="1" w:styleId="41">
    <w:name w:val="font21"/>
    <w:basedOn w:val="18"/>
    <w:qFormat/>
    <w:uiPriority w:val="0"/>
    <w:rPr>
      <w:rFonts w:hint="eastAsia" w:ascii="宋体" w:hAnsi="宋体" w:eastAsia="宋体" w:cs="宋体"/>
      <w:color w:val="000000"/>
      <w:sz w:val="21"/>
      <w:szCs w:val="21"/>
      <w:u w:val="none"/>
    </w:rPr>
  </w:style>
  <w:style w:type="character" w:customStyle="1" w:styleId="42">
    <w:name w:val="font31"/>
    <w:basedOn w:val="18"/>
    <w:qFormat/>
    <w:uiPriority w:val="0"/>
    <w:rPr>
      <w:rFonts w:hint="default" w:ascii="Times New Roman" w:hAnsi="Times New Roman" w:cs="Times New Roman"/>
      <w:color w:val="000000"/>
      <w:sz w:val="21"/>
      <w:szCs w:val="21"/>
      <w:u w:val="none"/>
    </w:rPr>
  </w:style>
  <w:style w:type="character" w:customStyle="1" w:styleId="43">
    <w:name w:val="font01"/>
    <w:basedOn w:val="18"/>
    <w:qFormat/>
    <w:uiPriority w:val="0"/>
    <w:rPr>
      <w:rFonts w:hint="eastAsia" w:ascii="宋体" w:hAnsi="宋体" w:eastAsia="宋体" w:cs="宋体"/>
      <w:color w:val="000000"/>
      <w:sz w:val="21"/>
      <w:szCs w:val="21"/>
      <w:u w:val="none"/>
    </w:rPr>
  </w:style>
  <w:style w:type="character" w:customStyle="1" w:styleId="44">
    <w:name w:val="font41"/>
    <w:basedOn w:val="18"/>
    <w:qFormat/>
    <w:uiPriority w:val="0"/>
    <w:rPr>
      <w:rFonts w:hint="default" w:ascii="Times New Roman" w:hAnsi="Times New Roman" w:cs="Times New Roman"/>
      <w:color w:val="000000"/>
      <w:sz w:val="18"/>
      <w:szCs w:val="18"/>
      <w:u w:val="none"/>
    </w:rPr>
  </w:style>
  <w:style w:type="paragraph" w:customStyle="1" w:styleId="45">
    <w:name w:val="_Style 3"/>
    <w:basedOn w:val="1"/>
    <w:qFormat/>
    <w:uiPriority w:val="99"/>
    <w:pPr>
      <w:ind w:firstLine="420" w:firstLineChars="200"/>
    </w:pPr>
    <w:rPr>
      <w:rFonts w:ascii="Times New Roman" w:hAnsi="Times New Roman" w:eastAsia="宋体" w:cs="Times New Roman"/>
      <w:szCs w:val="24"/>
    </w:rPr>
  </w:style>
  <w:style w:type="character" w:customStyle="1" w:styleId="46">
    <w:name w:val="font1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67953E-837E-4111-B314-F4341FAE1BE2}">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41</Pages>
  <Words>22807</Words>
  <Characters>23884</Characters>
  <Lines>55</Lines>
  <Paragraphs>15</Paragraphs>
  <TotalTime>24</TotalTime>
  <ScaleCrop>false</ScaleCrop>
  <LinksUpToDate>false</LinksUpToDate>
  <CharactersWithSpaces>24288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2022-03-03T06:19:00Z</dcterms:created>
  <dc:creator>abc</dc:creator>
  <cp:lastModifiedBy>云上晴</cp:lastModifiedBy>
  <cp:lastPrinted>2023-11-13T06:59:41Z</cp:lastPrinted>
  <dcterms:modified xsi:type="dcterms:W3CDTF">2023-11-13T06:59:48Z</dcterms:modified>
  <dc:title>广州大学城投资经营管理有限公司</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24B1B82AF4F241C1A73595FB79DCD2AD_13</vt:lpwstr>
  </property>
</Properties>
</file>