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28"/>
          <w:highlight w:val="none"/>
          <w:lang w:eastAsia="zh-CN"/>
        </w:rPr>
      </w:pPr>
      <w:r>
        <w:rPr>
          <w:rFonts w:hint="eastAsia"/>
          <w:b/>
          <w:sz w:val="28"/>
          <w:highlight w:val="none"/>
          <w:lang w:eastAsia="zh-CN"/>
        </w:rPr>
        <w:t>广州城投综合能源投资经营管理有限公司</w:t>
      </w:r>
    </w:p>
    <w:p>
      <w:pPr>
        <w:jc w:val="center"/>
        <w:rPr>
          <w:rFonts w:ascii="宋体" w:hAnsi="宋体" w:eastAsia="宋体" w:cs="宋体"/>
          <w:b/>
          <w:color w:val="FF0000"/>
          <w:sz w:val="24"/>
          <w:highlight w:val="none"/>
        </w:rPr>
      </w:pPr>
      <w:r>
        <w:rPr>
          <w:rFonts w:hint="eastAsia"/>
          <w:b/>
          <w:sz w:val="28"/>
          <w:szCs w:val="28"/>
          <w:highlight w:val="none"/>
        </w:rPr>
        <w:t>202</w:t>
      </w:r>
      <w:r>
        <w:rPr>
          <w:rFonts w:hint="eastAsia"/>
          <w:b/>
          <w:sz w:val="28"/>
          <w:szCs w:val="28"/>
          <w:highlight w:val="none"/>
          <w:lang w:val="en-US" w:eastAsia="zh-CN"/>
        </w:rPr>
        <w:t>4</w:t>
      </w:r>
      <w:r>
        <w:rPr>
          <w:rFonts w:hint="eastAsia"/>
          <w:b/>
          <w:sz w:val="28"/>
          <w:szCs w:val="28"/>
          <w:highlight w:val="none"/>
        </w:rPr>
        <w:t>年度市场化电量采购</w:t>
      </w:r>
    </w:p>
    <w:p>
      <w:pPr>
        <w:jc w:val="center"/>
        <w:rPr>
          <w:b/>
          <w:sz w:val="28"/>
          <w:highlight w:val="none"/>
        </w:rPr>
      </w:pPr>
      <w:r>
        <w:rPr>
          <w:rFonts w:hint="eastAsia"/>
          <w:b/>
          <w:sz w:val="28"/>
          <w:highlight w:val="none"/>
        </w:rPr>
        <w:t>竞选文件</w:t>
      </w:r>
    </w:p>
    <w:p>
      <w:pPr>
        <w:jc w:val="center"/>
        <w:rPr>
          <w:b/>
          <w:sz w:val="28"/>
          <w:highlight w:val="none"/>
        </w:rPr>
      </w:pPr>
    </w:p>
    <w:p>
      <w:pPr>
        <w:pStyle w:val="15"/>
        <w:numPr>
          <w:ilvl w:val="0"/>
          <w:numId w:val="1"/>
        </w:numPr>
        <w:spacing w:line="360" w:lineRule="auto"/>
        <w:ind w:left="0" w:firstLine="482"/>
        <w:rPr>
          <w:rFonts w:asciiTheme="minorEastAsia" w:hAnsiTheme="minorEastAsia"/>
          <w:b/>
          <w:sz w:val="24"/>
          <w:highlight w:val="none"/>
        </w:rPr>
      </w:pPr>
      <w:r>
        <w:rPr>
          <w:rFonts w:hint="eastAsia" w:asciiTheme="minorEastAsia" w:hAnsiTheme="minorEastAsia"/>
          <w:b/>
          <w:sz w:val="24"/>
          <w:highlight w:val="none"/>
        </w:rPr>
        <w:t>项目基本情况</w:t>
      </w:r>
    </w:p>
    <w:p>
      <w:pPr>
        <w:pStyle w:val="15"/>
        <w:numPr>
          <w:ilvl w:val="0"/>
          <w:numId w:val="2"/>
        </w:numPr>
        <w:tabs>
          <w:tab w:val="left" w:pos="420"/>
        </w:tabs>
        <w:spacing w:line="360" w:lineRule="auto"/>
        <w:ind w:firstLineChars="0"/>
        <w:rPr>
          <w:rFonts w:asciiTheme="minorEastAsia" w:hAnsiTheme="minorEastAsia"/>
          <w:sz w:val="24"/>
          <w:highlight w:val="none"/>
        </w:rPr>
      </w:pPr>
      <w:r>
        <w:rPr>
          <w:rFonts w:hint="eastAsia" w:asciiTheme="minorEastAsia" w:hAnsiTheme="minorEastAsia"/>
          <w:sz w:val="24"/>
          <w:highlight w:val="none"/>
        </w:rPr>
        <w:t>项目名称：202</w:t>
      </w:r>
      <w:r>
        <w:rPr>
          <w:rFonts w:hint="eastAsia" w:asciiTheme="minorEastAsia" w:hAnsiTheme="minorEastAsia"/>
          <w:sz w:val="24"/>
          <w:highlight w:val="none"/>
          <w:lang w:val="en-US" w:eastAsia="zh-CN"/>
        </w:rPr>
        <w:t>4</w:t>
      </w:r>
      <w:r>
        <w:rPr>
          <w:rFonts w:hint="eastAsia" w:asciiTheme="minorEastAsia" w:hAnsiTheme="minorEastAsia"/>
          <w:sz w:val="24"/>
          <w:highlight w:val="none"/>
        </w:rPr>
        <w:t>年度市场化电量采购</w:t>
      </w:r>
    </w:p>
    <w:p>
      <w:pPr>
        <w:pStyle w:val="15"/>
        <w:numPr>
          <w:ilvl w:val="0"/>
          <w:numId w:val="2"/>
        </w:numPr>
        <w:tabs>
          <w:tab w:val="left" w:pos="420"/>
        </w:tabs>
        <w:spacing w:line="360" w:lineRule="auto"/>
        <w:ind w:firstLineChars="0"/>
        <w:rPr>
          <w:rFonts w:ascii="宋体" w:hAnsi="宋体" w:eastAsia="宋体" w:cs="宋体"/>
          <w:color w:val="FF0000"/>
          <w:sz w:val="24"/>
          <w:highlight w:val="none"/>
          <w:u w:val="single"/>
        </w:rPr>
      </w:pPr>
      <w:r>
        <w:rPr>
          <w:rFonts w:hint="eastAsia" w:asciiTheme="minorEastAsia" w:hAnsiTheme="minorEastAsia"/>
          <w:sz w:val="24"/>
          <w:highlight w:val="none"/>
        </w:rPr>
        <w:t>采购限价：</w:t>
      </w:r>
    </w:p>
    <w:p>
      <w:pPr>
        <w:pStyle w:val="15"/>
        <w:tabs>
          <w:tab w:val="left" w:pos="420"/>
        </w:tabs>
        <w:spacing w:line="360" w:lineRule="auto"/>
        <w:ind w:firstLine="480"/>
        <w:rPr>
          <w:rFonts w:hint="eastAsia" w:ascii="宋体" w:hAnsi="宋体" w:eastAsia="宋体" w:cs="宋体"/>
          <w:sz w:val="24"/>
          <w:szCs w:val="24"/>
          <w:highlight w:val="none"/>
          <w:lang w:eastAsia="zh-CN"/>
        </w:rPr>
      </w:pPr>
      <w:bookmarkStart w:id="0" w:name="_Hlk120442031"/>
      <w:r>
        <w:rPr>
          <w:rFonts w:ascii="宋体" w:hAnsi="宋体" w:eastAsia="宋体" w:cs="宋体"/>
          <w:sz w:val="24"/>
          <w:szCs w:val="24"/>
          <w:highlight w:val="none"/>
        </w:rPr>
        <w:t>1</w:t>
      </w:r>
      <w:r>
        <w:rPr>
          <w:rFonts w:hint="eastAsia" w:ascii="宋体" w:hAnsi="宋体" w:eastAsia="宋体" w:cs="宋体"/>
          <w:sz w:val="24"/>
          <w:szCs w:val="24"/>
          <w:highlight w:val="none"/>
        </w:rPr>
        <w:t>、平段电能量绝对价格</w:t>
      </w:r>
      <w:r>
        <w:rPr>
          <w:rFonts w:hint="eastAsia" w:ascii="宋体" w:hAnsi="宋体" w:eastAsia="宋体" w:cs="宋体"/>
          <w:b/>
          <w:bCs/>
          <w:sz w:val="24"/>
          <w:szCs w:val="24"/>
          <w:highlight w:val="none"/>
        </w:rPr>
        <w:t>最高限价</w:t>
      </w:r>
      <w:r>
        <w:rPr>
          <w:rFonts w:hint="eastAsia" w:ascii="宋体" w:hAnsi="宋体" w:eastAsia="宋体" w:cs="宋体"/>
          <w:sz w:val="24"/>
          <w:szCs w:val="24"/>
          <w:highlight w:val="none"/>
        </w:rPr>
        <w:t>为</w:t>
      </w:r>
      <w:r>
        <w:rPr>
          <w:rFonts w:hint="eastAsia"/>
          <w:sz w:val="24"/>
          <w:highlight w:val="none"/>
          <w:u w:val="single"/>
        </w:rPr>
        <w:t>￥0</w:t>
      </w:r>
      <w:r>
        <w:rPr>
          <w:sz w:val="24"/>
          <w:highlight w:val="none"/>
          <w:u w:val="single"/>
        </w:rPr>
        <w:t>.</w:t>
      </w:r>
      <w:r>
        <w:rPr>
          <w:rFonts w:hint="eastAsia"/>
          <w:sz w:val="24"/>
          <w:highlight w:val="none"/>
          <w:u w:val="single"/>
          <w:lang w:val="en-US" w:eastAsia="zh-CN"/>
        </w:rPr>
        <w:t>480</w:t>
      </w:r>
      <w:r>
        <w:rPr>
          <w:rFonts w:hint="eastAsia"/>
          <w:sz w:val="24"/>
          <w:highlight w:val="none"/>
          <w:u w:val="single"/>
        </w:rPr>
        <w:t>元/</w:t>
      </w:r>
      <w:r>
        <w:rPr>
          <w:rFonts w:hint="eastAsia" w:ascii="宋体" w:hAnsi="宋体" w:eastAsia="宋体" w:cs="宋体"/>
          <w:sz w:val="24"/>
          <w:szCs w:val="24"/>
          <w:highlight w:val="none"/>
        </w:rPr>
        <w:t>千瓦时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含税）</w:t>
      </w:r>
    </w:p>
    <w:p>
      <w:pPr>
        <w:pStyle w:val="15"/>
        <w:tabs>
          <w:tab w:val="left" w:pos="420"/>
        </w:tabs>
        <w:spacing w:line="360" w:lineRule="auto"/>
        <w:ind w:firstLine="480"/>
        <w:rPr>
          <w:rFonts w:ascii="宋体" w:hAnsi="宋体" w:eastAsia="宋体" w:cs="宋体"/>
          <w:color w:val="FF0000"/>
          <w:sz w:val="24"/>
          <w:highlight w:val="none"/>
          <w:u w:val="single"/>
        </w:rPr>
      </w:pPr>
      <w:r>
        <w:rPr>
          <w:rFonts w:ascii="宋体" w:hAnsi="宋体" w:eastAsia="宋体" w:cs="宋体"/>
          <w:sz w:val="24"/>
          <w:szCs w:val="24"/>
          <w:highlight w:val="none"/>
        </w:rPr>
        <w:t>2</w:t>
      </w:r>
      <w:r>
        <w:rPr>
          <w:rFonts w:hint="eastAsia" w:ascii="宋体" w:hAnsi="宋体" w:eastAsia="宋体" w:cs="宋体"/>
          <w:sz w:val="24"/>
          <w:szCs w:val="24"/>
          <w:highlight w:val="none"/>
        </w:rPr>
        <w:t>、</w:t>
      </w:r>
      <w:r>
        <w:rPr>
          <w:rFonts w:hint="eastAsia"/>
          <w:sz w:val="24"/>
          <w:highlight w:val="none"/>
        </w:rPr>
        <w:t>按实际用电量收取服务费</w:t>
      </w:r>
      <w:r>
        <w:rPr>
          <w:rFonts w:hint="eastAsia"/>
          <w:b/>
          <w:bCs/>
          <w:sz w:val="24"/>
          <w:highlight w:val="none"/>
        </w:rPr>
        <w:t>不超过</w:t>
      </w:r>
      <w:r>
        <w:rPr>
          <w:rFonts w:hint="eastAsia"/>
          <w:sz w:val="24"/>
          <w:highlight w:val="none"/>
          <w:u w:val="single"/>
        </w:rPr>
        <w:t xml:space="preserve"> ￥0.</w:t>
      </w:r>
      <w:r>
        <w:rPr>
          <w:sz w:val="24"/>
          <w:highlight w:val="none"/>
          <w:u w:val="single"/>
        </w:rPr>
        <w:t>0</w:t>
      </w:r>
      <w:r>
        <w:rPr>
          <w:rFonts w:hint="eastAsia"/>
          <w:sz w:val="24"/>
          <w:highlight w:val="none"/>
          <w:u w:val="single"/>
          <w:lang w:val="en-US" w:eastAsia="zh-CN"/>
        </w:rPr>
        <w:t>04</w:t>
      </w:r>
      <w:r>
        <w:rPr>
          <w:rFonts w:hint="eastAsia"/>
          <w:sz w:val="24"/>
          <w:highlight w:val="none"/>
          <w:u w:val="single"/>
        </w:rPr>
        <w:t>元</w:t>
      </w:r>
      <w:r>
        <w:rPr>
          <w:rFonts w:hint="eastAsia"/>
          <w:sz w:val="24"/>
          <w:highlight w:val="none"/>
        </w:rPr>
        <w:t>/千瓦时</w:t>
      </w:r>
      <w:bookmarkEnd w:id="0"/>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含税）</w:t>
      </w:r>
    </w:p>
    <w:p>
      <w:pPr>
        <w:pStyle w:val="15"/>
        <w:tabs>
          <w:tab w:val="left" w:pos="420"/>
        </w:tabs>
        <w:spacing w:line="360" w:lineRule="auto"/>
        <w:ind w:left="900" w:firstLine="0" w:firstLineChars="0"/>
        <w:rPr>
          <w:rFonts w:asciiTheme="minorEastAsia" w:hAnsiTheme="minorEastAsia"/>
          <w:sz w:val="24"/>
          <w:highlight w:val="none"/>
        </w:rPr>
      </w:pPr>
      <w:r>
        <w:rPr>
          <w:rFonts w:hint="eastAsia" w:asciiTheme="minorEastAsia" w:hAnsiTheme="minorEastAsia"/>
          <w:sz w:val="24"/>
          <w:highlight w:val="none"/>
        </w:rPr>
        <w:t>（投标报价超过采购限价为无效投标）。</w:t>
      </w:r>
    </w:p>
    <w:p>
      <w:pPr>
        <w:pStyle w:val="15"/>
        <w:numPr>
          <w:ilvl w:val="0"/>
          <w:numId w:val="2"/>
        </w:numPr>
        <w:tabs>
          <w:tab w:val="left" w:pos="420"/>
        </w:tabs>
        <w:spacing w:line="360" w:lineRule="auto"/>
        <w:ind w:firstLineChars="0"/>
        <w:rPr>
          <w:rFonts w:asciiTheme="minorEastAsia" w:hAnsiTheme="minorEastAsia"/>
          <w:sz w:val="24"/>
          <w:highlight w:val="none"/>
        </w:rPr>
      </w:pPr>
      <w:r>
        <w:rPr>
          <w:rFonts w:hint="eastAsia" w:asciiTheme="minorEastAsia" w:hAnsiTheme="minorEastAsia"/>
          <w:sz w:val="24"/>
          <w:highlight w:val="none"/>
        </w:rPr>
        <w:t>项目概况：</w:t>
      </w:r>
    </w:p>
    <w:p>
      <w:pPr>
        <w:pStyle w:val="15"/>
        <w:tabs>
          <w:tab w:val="left" w:pos="420"/>
        </w:tabs>
        <w:spacing w:line="360" w:lineRule="auto"/>
        <w:ind w:firstLine="566" w:firstLineChars="236"/>
        <w:rPr>
          <w:rFonts w:cs="Arial" w:asciiTheme="minorEastAsia" w:hAnsiTheme="minorEastAsia"/>
          <w:color w:val="000000"/>
          <w:sz w:val="24"/>
          <w:highlight w:val="none"/>
        </w:rPr>
      </w:pPr>
      <w:r>
        <w:rPr>
          <w:rFonts w:hint="eastAsia"/>
          <w:sz w:val="24"/>
          <w:highlight w:val="none"/>
        </w:rPr>
        <w:t>采购人下属的第二冷站、第三冷站、第四冷站、杂用水厂</w:t>
      </w:r>
      <w:r>
        <w:rPr>
          <w:rFonts w:hint="eastAsia"/>
          <w:sz w:val="24"/>
          <w:highlight w:val="none"/>
          <w:lang w:eastAsia="zh-CN"/>
        </w:rPr>
        <w:t>、</w:t>
      </w:r>
      <w:r>
        <w:rPr>
          <w:rFonts w:hint="eastAsia"/>
          <w:sz w:val="24"/>
          <w:highlight w:val="none"/>
          <w:lang w:val="en-US" w:eastAsia="zh-CN"/>
        </w:rPr>
        <w:t>超算公司</w:t>
      </w:r>
      <w:r>
        <w:rPr>
          <w:rFonts w:hint="eastAsia"/>
          <w:sz w:val="24"/>
          <w:highlight w:val="none"/>
        </w:rPr>
        <w:t>的生产用电属于直接参与市场化交易。采购人</w:t>
      </w:r>
      <w:r>
        <w:rPr>
          <w:rFonts w:cs="Arial" w:asciiTheme="minorEastAsia" w:hAnsiTheme="minorEastAsia"/>
          <w:color w:val="000000"/>
          <w:sz w:val="24"/>
          <w:highlight w:val="none"/>
        </w:rPr>
        <w:t>参与 202</w:t>
      </w:r>
      <w:r>
        <w:rPr>
          <w:rFonts w:hint="eastAsia" w:cs="Arial" w:asciiTheme="minorEastAsia" w:hAnsiTheme="minorEastAsia"/>
          <w:color w:val="000000"/>
          <w:sz w:val="24"/>
          <w:highlight w:val="none"/>
          <w:lang w:val="en-US" w:eastAsia="zh-CN"/>
        </w:rPr>
        <w:t>4</w:t>
      </w:r>
      <w:r>
        <w:rPr>
          <w:rFonts w:cs="Arial" w:asciiTheme="minorEastAsia" w:hAnsiTheme="minorEastAsia"/>
          <w:color w:val="000000"/>
          <w:sz w:val="24"/>
          <w:highlight w:val="none"/>
        </w:rPr>
        <w:t xml:space="preserve"> 年度广东电力交易中心的市场化交易，</w:t>
      </w:r>
      <w:r>
        <w:rPr>
          <w:rFonts w:hint="eastAsia" w:cs="Arial" w:asciiTheme="minorEastAsia" w:hAnsiTheme="minorEastAsia"/>
          <w:color w:val="000000"/>
          <w:sz w:val="24"/>
          <w:highlight w:val="none"/>
        </w:rPr>
        <w:t>与中标人</w:t>
      </w:r>
      <w:r>
        <w:rPr>
          <w:rFonts w:cs="Arial" w:asciiTheme="minorEastAsia" w:hAnsiTheme="minorEastAsia"/>
          <w:color w:val="000000"/>
          <w:sz w:val="24"/>
          <w:highlight w:val="none"/>
        </w:rPr>
        <w:t>按实际交易电量，采用绝对价格结算（与市场联动电量为实际交易总电量的 10%）</w:t>
      </w:r>
      <w:r>
        <w:rPr>
          <w:rFonts w:hint="eastAsia" w:cs="Arial" w:asciiTheme="minorEastAsia" w:hAnsiTheme="minorEastAsia"/>
          <w:color w:val="000000"/>
          <w:sz w:val="24"/>
          <w:highlight w:val="none"/>
        </w:rPr>
        <w:t xml:space="preserve">。 </w:t>
      </w:r>
    </w:p>
    <w:p>
      <w:pPr>
        <w:pStyle w:val="15"/>
        <w:numPr>
          <w:ilvl w:val="0"/>
          <w:numId w:val="1"/>
        </w:numPr>
        <w:spacing w:line="360" w:lineRule="auto"/>
        <w:ind w:left="0" w:firstLine="482"/>
        <w:rPr>
          <w:rFonts w:asciiTheme="minorEastAsia" w:hAnsiTheme="minorEastAsia"/>
          <w:b/>
          <w:sz w:val="24"/>
          <w:highlight w:val="none"/>
        </w:rPr>
      </w:pPr>
      <w:r>
        <w:rPr>
          <w:rFonts w:hint="eastAsia" w:asciiTheme="minorEastAsia" w:hAnsiTheme="minorEastAsia"/>
          <w:b/>
          <w:sz w:val="24"/>
          <w:highlight w:val="none"/>
        </w:rPr>
        <w:t>合格供应商资格要求</w:t>
      </w:r>
    </w:p>
    <w:p>
      <w:pPr>
        <w:pStyle w:val="18"/>
        <w:numPr>
          <w:ilvl w:val="0"/>
          <w:numId w:val="3"/>
        </w:numPr>
        <w:tabs>
          <w:tab w:val="left" w:pos="709"/>
          <w:tab w:val="left" w:pos="851"/>
        </w:tabs>
        <w:spacing w:line="360" w:lineRule="auto"/>
        <w:ind w:left="0" w:firstLine="560" w:firstLineChars="0"/>
        <w:rPr>
          <w:rFonts w:asciiTheme="minorEastAsia" w:hAnsiTheme="minorEastAsia"/>
          <w:sz w:val="24"/>
          <w:highlight w:val="none"/>
        </w:rPr>
      </w:pPr>
      <w:r>
        <w:rPr>
          <w:rFonts w:cs="Arial" w:asciiTheme="minorEastAsia" w:hAnsiTheme="minorEastAsia"/>
          <w:color w:val="000000"/>
          <w:sz w:val="24"/>
          <w:highlight w:val="none"/>
        </w:rPr>
        <w:t>必须是具有独立承担民事责任能力的在中华人民共和国境内注册的法人，</w:t>
      </w:r>
      <w:r>
        <w:rPr>
          <w:rFonts w:hint="eastAsia" w:cs="Arial" w:asciiTheme="minorEastAsia" w:hAnsiTheme="minorEastAsia"/>
          <w:color w:val="000000"/>
          <w:sz w:val="24"/>
          <w:highlight w:val="none"/>
        </w:rPr>
        <w:t>具备有效的工商营业执照、企业法人组织机构代码证书、税务登记证书（或三证合一），按国家法律经营。</w:t>
      </w:r>
    </w:p>
    <w:p>
      <w:pPr>
        <w:pStyle w:val="18"/>
        <w:numPr>
          <w:ilvl w:val="0"/>
          <w:numId w:val="3"/>
        </w:numPr>
        <w:tabs>
          <w:tab w:val="left" w:pos="709"/>
          <w:tab w:val="left" w:pos="851"/>
        </w:tabs>
        <w:spacing w:line="360" w:lineRule="auto"/>
        <w:ind w:left="0" w:firstLine="560" w:firstLineChars="0"/>
        <w:rPr>
          <w:rFonts w:cs="Arial" w:asciiTheme="minorEastAsia" w:hAnsiTheme="minorEastAsia"/>
          <w:color w:val="000000"/>
          <w:sz w:val="24"/>
          <w:highlight w:val="none"/>
        </w:rPr>
      </w:pPr>
      <w:r>
        <w:rPr>
          <w:rFonts w:hint="eastAsia" w:cs="Arial" w:asciiTheme="minorEastAsia" w:hAnsiTheme="minorEastAsia"/>
          <w:color w:val="000000"/>
          <w:sz w:val="24"/>
          <w:highlight w:val="none"/>
        </w:rPr>
        <w:t>投标人未被列入“信用中国”网站（</w:t>
      </w:r>
      <w:r>
        <w:rPr>
          <w:rFonts w:cs="Arial" w:asciiTheme="minorEastAsia" w:hAnsiTheme="minorEastAsia"/>
          <w:color w:val="000000"/>
          <w:sz w:val="24"/>
          <w:highlight w:val="none"/>
        </w:rPr>
        <w:t>www.creditchina.gov.cn）记录失信被执行人或重大税收违法案件当事人名单，投标人须提供《信用记录承诺函》附“信用中国”网站（www.creditchina.gov.cn）的信用记录查询结果截图并打印页面加盖公章。</w:t>
      </w:r>
    </w:p>
    <w:p>
      <w:pPr>
        <w:pStyle w:val="18"/>
        <w:numPr>
          <w:ilvl w:val="0"/>
          <w:numId w:val="3"/>
        </w:numPr>
        <w:tabs>
          <w:tab w:val="left" w:pos="709"/>
          <w:tab w:val="left" w:pos="851"/>
        </w:tabs>
        <w:spacing w:line="360" w:lineRule="auto"/>
        <w:ind w:left="0" w:firstLine="560" w:firstLineChars="0"/>
        <w:rPr>
          <w:rFonts w:cs="Arial" w:asciiTheme="minorEastAsia" w:hAnsiTheme="minorEastAsia"/>
          <w:color w:val="000000"/>
          <w:sz w:val="24"/>
          <w:highlight w:val="none"/>
        </w:rPr>
      </w:pPr>
      <w:r>
        <w:rPr>
          <w:rFonts w:hint="eastAsia" w:cs="Arial" w:asciiTheme="minorEastAsia" w:hAnsiTheme="minorEastAsia"/>
          <w:color w:val="000000"/>
          <w:sz w:val="24"/>
          <w:highlight w:val="none"/>
        </w:rPr>
        <w:t>投标人没有处于被责令停业或破产状态，且资产未被重组、接管和冻结，声明在投标活动中</w:t>
      </w:r>
      <w:r>
        <w:rPr>
          <w:rFonts w:cs="Arial" w:asciiTheme="minorEastAsia" w:hAnsiTheme="minorEastAsia"/>
          <w:color w:val="000000"/>
          <w:sz w:val="24"/>
          <w:highlight w:val="none"/>
        </w:rPr>
        <w:t>3年内没有重大违法活动和涉嫌违规行为（格式自拟）</w:t>
      </w:r>
      <w:r>
        <w:rPr>
          <w:rFonts w:hint="eastAsia" w:cs="Arial" w:asciiTheme="minorEastAsia" w:hAnsiTheme="minorEastAsia"/>
          <w:color w:val="000000"/>
          <w:sz w:val="24"/>
          <w:highlight w:val="none"/>
          <w:lang w:eastAsia="zh-CN"/>
        </w:rPr>
        <w:t>。</w:t>
      </w:r>
    </w:p>
    <w:p>
      <w:pPr>
        <w:pStyle w:val="15"/>
        <w:numPr>
          <w:ilvl w:val="0"/>
          <w:numId w:val="3"/>
        </w:numPr>
        <w:spacing w:line="360" w:lineRule="auto"/>
        <w:ind w:left="0" w:firstLine="567" w:firstLineChars="0"/>
        <w:rPr>
          <w:rFonts w:ascii="宋体" w:hAnsi="宋体" w:eastAsia="宋体" w:cs="宋体"/>
          <w:sz w:val="24"/>
          <w:highlight w:val="none"/>
        </w:rPr>
      </w:pPr>
      <w:bookmarkStart w:id="1" w:name="_Hlk120442395"/>
      <w:r>
        <w:rPr>
          <w:rFonts w:hint="eastAsia" w:ascii="宋体" w:hAnsi="宋体" w:eastAsia="宋体" w:cs="宋体"/>
          <w:sz w:val="24"/>
          <w:highlight w:val="none"/>
        </w:rPr>
        <w:t>必须是</w:t>
      </w:r>
      <w:bookmarkStart w:id="2" w:name="_Hlk120443877"/>
      <w:r>
        <w:rPr>
          <w:rFonts w:hint="eastAsia" w:ascii="宋体" w:hAnsi="宋体" w:eastAsia="宋体" w:cs="宋体"/>
          <w:sz w:val="24"/>
          <w:highlight w:val="none"/>
        </w:rPr>
        <w:t>广东省电力市场交易中心公布目录内完成注册和备案、具备</w:t>
      </w:r>
      <w:bookmarkStart w:id="3" w:name="_Hlk120442437"/>
      <w:r>
        <w:rPr>
          <w:rFonts w:hint="eastAsia" w:ascii="宋体" w:hAnsi="宋体" w:eastAsia="宋体" w:cs="宋体"/>
          <w:sz w:val="24"/>
          <w:highlight w:val="none"/>
        </w:rPr>
        <w:t>交易资格的售电公司</w:t>
      </w:r>
      <w:bookmarkEnd w:id="3"/>
      <w:r>
        <w:rPr>
          <w:rFonts w:hint="eastAsia" w:ascii="宋体" w:hAnsi="宋体" w:eastAsia="宋体" w:cs="宋体"/>
          <w:sz w:val="24"/>
          <w:highlight w:val="none"/>
        </w:rPr>
        <w:t>，具有广东省经济和信息化委员会颁发的合法售电牌照（提供最新的广东电力交易中心官网售电公司名称的截图）</w:t>
      </w:r>
      <w:r>
        <w:rPr>
          <w:rFonts w:hint="eastAsia" w:ascii="宋体" w:hAnsi="宋体" w:eastAsia="宋体" w:cs="宋体"/>
          <w:sz w:val="24"/>
          <w:highlight w:val="none"/>
          <w:lang w:eastAsia="zh-CN"/>
        </w:rPr>
        <w:t>。</w:t>
      </w:r>
    </w:p>
    <w:bookmarkEnd w:id="1"/>
    <w:bookmarkEnd w:id="2"/>
    <w:p>
      <w:pPr>
        <w:pStyle w:val="15"/>
        <w:numPr>
          <w:ilvl w:val="0"/>
          <w:numId w:val="3"/>
        </w:numPr>
        <w:spacing w:line="360" w:lineRule="auto"/>
        <w:ind w:left="0" w:firstLine="567" w:firstLineChars="0"/>
        <w:rPr>
          <w:rFonts w:ascii="宋体" w:hAnsi="宋体" w:eastAsia="宋体" w:cs="宋体"/>
          <w:sz w:val="24"/>
          <w:highlight w:val="none"/>
        </w:rPr>
      </w:pPr>
      <w:r>
        <w:rPr>
          <w:rFonts w:hint="eastAsia" w:ascii="宋体" w:hAnsi="宋体" w:eastAsia="宋体" w:cs="宋体"/>
          <w:sz w:val="24"/>
          <w:highlight w:val="none"/>
        </w:rPr>
        <w:t>投标人20</w:t>
      </w:r>
      <w:r>
        <w:rPr>
          <w:rFonts w:hint="eastAsia" w:ascii="宋体" w:hAnsi="宋体" w:eastAsia="宋体" w:cs="宋体"/>
          <w:sz w:val="24"/>
          <w:highlight w:val="none"/>
          <w:lang w:val="en-US" w:eastAsia="zh-CN"/>
        </w:rPr>
        <w:t>20</w:t>
      </w:r>
      <w:r>
        <w:rPr>
          <w:rFonts w:hint="eastAsia" w:ascii="宋体" w:hAnsi="宋体" w:eastAsia="宋体" w:cs="宋体"/>
          <w:sz w:val="24"/>
          <w:highlight w:val="none"/>
        </w:rPr>
        <w:t>年12月1日至今完成过质量合格的类似项目业绩（需提供合同、业主评价等相关证明材料复印件，完成时间以合同时间为准。</w:t>
      </w:r>
    </w:p>
    <w:p>
      <w:pPr>
        <w:pStyle w:val="18"/>
        <w:numPr>
          <w:ilvl w:val="0"/>
          <w:numId w:val="3"/>
        </w:numPr>
        <w:tabs>
          <w:tab w:val="left" w:pos="993"/>
        </w:tabs>
        <w:spacing w:line="360" w:lineRule="auto"/>
        <w:ind w:left="0" w:firstLine="560" w:firstLineChars="0"/>
        <w:rPr>
          <w:rFonts w:asciiTheme="minorEastAsia" w:hAnsiTheme="minorEastAsia"/>
          <w:sz w:val="24"/>
          <w:highlight w:val="none"/>
        </w:rPr>
      </w:pPr>
      <w:r>
        <w:rPr>
          <w:rFonts w:hint="eastAsia" w:asciiTheme="minorEastAsia" w:hAnsiTheme="minorEastAsia"/>
          <w:sz w:val="24"/>
          <w:highlight w:val="none"/>
        </w:rPr>
        <w:t>本项目不接受联合体报价。</w:t>
      </w:r>
    </w:p>
    <w:p>
      <w:pPr>
        <w:pStyle w:val="15"/>
        <w:numPr>
          <w:ilvl w:val="0"/>
          <w:numId w:val="1"/>
        </w:numPr>
        <w:spacing w:line="360" w:lineRule="auto"/>
        <w:ind w:left="0" w:firstLine="482"/>
        <w:rPr>
          <w:rFonts w:asciiTheme="minorEastAsia" w:hAnsiTheme="minorEastAsia"/>
          <w:b/>
          <w:sz w:val="24"/>
          <w:highlight w:val="none"/>
        </w:rPr>
      </w:pPr>
      <w:r>
        <w:rPr>
          <w:rFonts w:hint="eastAsia" w:asciiTheme="minorEastAsia" w:hAnsiTheme="minorEastAsia"/>
          <w:b/>
          <w:sz w:val="24"/>
          <w:highlight w:val="none"/>
        </w:rPr>
        <w:t>采购内容及需求</w:t>
      </w:r>
    </w:p>
    <w:p>
      <w:pPr>
        <w:pStyle w:val="15"/>
        <w:numPr>
          <w:ilvl w:val="1"/>
          <w:numId w:val="4"/>
        </w:numPr>
        <w:spacing w:line="360" w:lineRule="auto"/>
        <w:ind w:left="0" w:firstLine="567" w:firstLineChars="0"/>
        <w:rPr>
          <w:rFonts w:asciiTheme="minorEastAsia" w:hAnsiTheme="minorEastAsia"/>
          <w:bCs/>
          <w:color w:val="FF0000"/>
          <w:sz w:val="24"/>
          <w:highlight w:val="none"/>
        </w:rPr>
      </w:pPr>
      <w:r>
        <w:rPr>
          <w:rFonts w:hint="eastAsia" w:asciiTheme="minorEastAsia" w:hAnsiTheme="minorEastAsia"/>
          <w:bCs/>
          <w:color w:val="000000" w:themeColor="text1"/>
          <w:sz w:val="24"/>
          <w:highlight w:val="none"/>
          <w14:textFill>
            <w14:solidFill>
              <w14:schemeClr w14:val="tx1"/>
            </w14:solidFill>
          </w14:textFill>
        </w:rPr>
        <w:t>服务内容：</w:t>
      </w:r>
      <w:r>
        <w:rPr>
          <w:rFonts w:hint="eastAsia"/>
          <w:color w:val="000000" w:themeColor="text1"/>
          <w:sz w:val="24"/>
          <w:highlight w:val="none"/>
          <w14:textFill>
            <w14:solidFill>
              <w14:schemeClr w14:val="tx1"/>
            </w14:solidFill>
          </w14:textFill>
        </w:rPr>
        <w:t>采购人下属的第二冷站、第三冷站、第四冷站、杂用水</w:t>
      </w:r>
      <w:r>
        <w:rPr>
          <w:rFonts w:hint="eastAsia"/>
          <w:sz w:val="24"/>
          <w:highlight w:val="none"/>
        </w:rPr>
        <w:t>厂</w:t>
      </w:r>
      <w:r>
        <w:rPr>
          <w:rFonts w:hint="eastAsia"/>
          <w:sz w:val="24"/>
          <w:highlight w:val="none"/>
          <w:lang w:eastAsia="zh-CN"/>
        </w:rPr>
        <w:t>、</w:t>
      </w:r>
      <w:r>
        <w:rPr>
          <w:rFonts w:hint="eastAsia"/>
          <w:sz w:val="24"/>
          <w:highlight w:val="none"/>
          <w:lang w:val="en-US" w:eastAsia="zh-CN"/>
        </w:rPr>
        <w:t>超算公司</w:t>
      </w:r>
      <w:r>
        <w:rPr>
          <w:rFonts w:hint="eastAsia"/>
          <w:sz w:val="24"/>
          <w:highlight w:val="none"/>
        </w:rPr>
        <w:t>的生产用电</w:t>
      </w:r>
      <w:r>
        <w:rPr>
          <w:rFonts w:hint="eastAsia" w:asciiTheme="minorEastAsia" w:hAnsiTheme="minorEastAsia"/>
          <w:bCs/>
          <w:sz w:val="24"/>
          <w:highlight w:val="none"/>
        </w:rPr>
        <w:t>直购电交易服务；</w:t>
      </w:r>
      <w:r>
        <w:rPr>
          <w:rFonts w:hint="eastAsia" w:asciiTheme="minorEastAsia" w:hAnsiTheme="minorEastAsia"/>
          <w:bCs/>
          <w:color w:val="FF0000"/>
          <w:sz w:val="24"/>
          <w:highlight w:val="none"/>
        </w:rPr>
        <w:t xml:space="preserve"> </w:t>
      </w:r>
    </w:p>
    <w:p>
      <w:pPr>
        <w:pStyle w:val="15"/>
        <w:numPr>
          <w:ilvl w:val="1"/>
          <w:numId w:val="4"/>
        </w:numPr>
        <w:spacing w:line="360" w:lineRule="auto"/>
        <w:ind w:left="0" w:firstLine="567" w:firstLineChars="0"/>
        <w:rPr>
          <w:rFonts w:asciiTheme="minorEastAsia" w:hAnsiTheme="minorEastAsia"/>
          <w:bCs/>
          <w:color w:val="FF0000"/>
          <w:sz w:val="24"/>
          <w:highlight w:val="none"/>
        </w:rPr>
      </w:pPr>
      <w:r>
        <w:rPr>
          <w:rFonts w:hint="eastAsia"/>
          <w:sz w:val="24"/>
          <w:highlight w:val="none"/>
        </w:rPr>
        <w:t>电力用户每月缴纳的电费是由电能量电费，输配电费，政府基金及附加，基本电费，无功考核，辅助服务费用，市场化分摊费用组成。除了电能电费外，其余费用按国家及电力市场相关政策及方案计算，本次采购需求只与售电公司约定电能量价格</w:t>
      </w:r>
      <w:r>
        <w:rPr>
          <w:rFonts w:hint="eastAsia"/>
          <w:sz w:val="24"/>
          <w:highlight w:val="none"/>
          <w:lang w:eastAsia="zh-CN"/>
        </w:rPr>
        <w:t>。</w:t>
      </w:r>
    </w:p>
    <w:p>
      <w:pPr>
        <w:pStyle w:val="15"/>
        <w:numPr>
          <w:ilvl w:val="1"/>
          <w:numId w:val="4"/>
        </w:numPr>
        <w:spacing w:line="360" w:lineRule="auto"/>
        <w:ind w:left="0" w:firstLine="567" w:firstLineChars="0"/>
        <w:rPr>
          <w:rFonts w:asciiTheme="minorEastAsia" w:hAnsiTheme="minorEastAsia"/>
          <w:bCs/>
          <w:sz w:val="24"/>
          <w:highlight w:val="none"/>
        </w:rPr>
      </w:pPr>
      <w:r>
        <w:rPr>
          <w:rFonts w:hint="eastAsia" w:asciiTheme="minorEastAsia" w:hAnsiTheme="minorEastAsia"/>
          <w:bCs/>
          <w:sz w:val="24"/>
          <w:highlight w:val="none"/>
        </w:rPr>
        <w:t>服务期限（交易周期）自202</w:t>
      </w:r>
      <w:r>
        <w:rPr>
          <w:rFonts w:hint="eastAsia" w:asciiTheme="minorEastAsia" w:hAnsiTheme="minorEastAsia"/>
          <w:bCs/>
          <w:sz w:val="24"/>
          <w:highlight w:val="none"/>
          <w:lang w:val="en-US" w:eastAsia="zh-CN"/>
        </w:rPr>
        <w:t>4</w:t>
      </w:r>
      <w:r>
        <w:rPr>
          <w:rFonts w:hint="eastAsia" w:asciiTheme="minorEastAsia" w:hAnsiTheme="minorEastAsia"/>
          <w:bCs/>
          <w:sz w:val="24"/>
          <w:highlight w:val="none"/>
        </w:rPr>
        <w:t>年1月1日起至202</w:t>
      </w:r>
      <w:r>
        <w:rPr>
          <w:rFonts w:hint="eastAsia" w:asciiTheme="minorEastAsia" w:hAnsiTheme="minorEastAsia"/>
          <w:bCs/>
          <w:sz w:val="24"/>
          <w:highlight w:val="none"/>
          <w:lang w:val="en-US" w:eastAsia="zh-CN"/>
        </w:rPr>
        <w:t>4</w:t>
      </w:r>
      <w:r>
        <w:rPr>
          <w:rFonts w:hint="eastAsia" w:asciiTheme="minorEastAsia" w:hAnsiTheme="minorEastAsia"/>
          <w:bCs/>
          <w:sz w:val="24"/>
          <w:highlight w:val="none"/>
        </w:rPr>
        <w:t>年12月31日止</w:t>
      </w:r>
      <w:r>
        <w:rPr>
          <w:rFonts w:hint="eastAsia" w:asciiTheme="minorEastAsia" w:hAnsiTheme="minorEastAsia"/>
          <w:bCs/>
          <w:sz w:val="24"/>
          <w:highlight w:val="none"/>
          <w:lang w:eastAsia="zh-CN"/>
        </w:rPr>
        <w:t>。</w:t>
      </w:r>
    </w:p>
    <w:p>
      <w:pPr>
        <w:pStyle w:val="15"/>
        <w:numPr>
          <w:ilvl w:val="1"/>
          <w:numId w:val="4"/>
        </w:numPr>
        <w:spacing w:line="360" w:lineRule="auto"/>
        <w:ind w:left="0" w:firstLine="567" w:firstLineChars="0"/>
        <w:rPr>
          <w:rFonts w:asciiTheme="minorEastAsia" w:hAnsiTheme="minorEastAsia"/>
          <w:bCs/>
          <w:sz w:val="24"/>
          <w:highlight w:val="none"/>
        </w:rPr>
      </w:pPr>
      <w:r>
        <w:rPr>
          <w:rFonts w:hint="eastAsia" w:asciiTheme="minorEastAsia" w:hAnsiTheme="minorEastAsia"/>
          <w:bCs/>
          <w:sz w:val="24"/>
          <w:highlight w:val="none"/>
        </w:rPr>
        <w:t>预计采购交易的总电量约为1</w:t>
      </w:r>
      <w:r>
        <w:rPr>
          <w:rFonts w:hint="eastAsia" w:asciiTheme="minorEastAsia" w:hAnsiTheme="minorEastAsia"/>
          <w:bCs/>
          <w:sz w:val="24"/>
          <w:highlight w:val="none"/>
          <w:lang w:val="en-US" w:eastAsia="zh-CN"/>
        </w:rPr>
        <w:t>.1</w:t>
      </w:r>
      <w:r>
        <w:rPr>
          <w:rFonts w:hint="eastAsia" w:asciiTheme="minorEastAsia" w:hAnsiTheme="minorEastAsia"/>
          <w:bCs/>
          <w:sz w:val="24"/>
          <w:highlight w:val="none"/>
        </w:rPr>
        <w:t>亿（千瓦时）（具体用电量以实际产生的为准）。</w:t>
      </w:r>
    </w:p>
    <w:p>
      <w:pPr>
        <w:pStyle w:val="15"/>
        <w:numPr>
          <w:ilvl w:val="1"/>
          <w:numId w:val="4"/>
        </w:numPr>
        <w:spacing w:line="360" w:lineRule="auto"/>
        <w:ind w:left="0" w:firstLine="567" w:firstLineChars="0"/>
        <w:rPr>
          <w:rFonts w:asciiTheme="minorEastAsia" w:hAnsiTheme="minorEastAsia"/>
          <w:bCs/>
          <w:sz w:val="24"/>
          <w:highlight w:val="none"/>
        </w:rPr>
      </w:pPr>
      <w:r>
        <w:rPr>
          <w:rFonts w:hint="eastAsia"/>
          <w:sz w:val="24"/>
          <w:highlight w:val="none"/>
        </w:rPr>
        <w:t>与售电公司签订的电量交易合同，在广东电力市场按现货模式运行期间，按照《广东电力市场结算实施细则》（最新版）以及现货运行有关要求进行结算</w:t>
      </w:r>
      <w:r>
        <w:rPr>
          <w:rFonts w:hint="eastAsia"/>
          <w:sz w:val="24"/>
          <w:highlight w:val="none"/>
          <w:lang w:eastAsia="zh-CN"/>
        </w:rPr>
        <w:t>。</w:t>
      </w:r>
    </w:p>
    <w:p>
      <w:pPr>
        <w:pStyle w:val="15"/>
        <w:numPr>
          <w:ilvl w:val="1"/>
          <w:numId w:val="4"/>
        </w:numPr>
        <w:spacing w:line="360" w:lineRule="auto"/>
        <w:ind w:left="0" w:firstLine="567" w:firstLineChars="0"/>
        <w:rPr>
          <w:rFonts w:asciiTheme="minorEastAsia" w:hAnsiTheme="minorEastAsia"/>
          <w:bCs/>
          <w:sz w:val="24"/>
          <w:highlight w:val="none"/>
        </w:rPr>
      </w:pPr>
      <w:r>
        <w:rPr>
          <w:rFonts w:hint="eastAsia"/>
          <w:sz w:val="24"/>
          <w:highlight w:val="none"/>
        </w:rPr>
        <w:t>电能量价格采用绝对价机制，实际结算电量以供电企业电力计量装置采集并推送至广东电力交易中心发布的实际用电量为准。现货运行期间，与售电公司约定我司电能量电费支出按约定比例参照等于固定价格+市场联动+上浮电费的零售模式进行月度结算，不选择煤电联动模式。</w:t>
      </w:r>
    </w:p>
    <w:p>
      <w:pPr>
        <w:pStyle w:val="15"/>
        <w:numPr>
          <w:ilvl w:val="1"/>
          <w:numId w:val="4"/>
        </w:numPr>
        <w:spacing w:line="360" w:lineRule="auto"/>
        <w:ind w:left="0" w:firstLine="567" w:firstLineChars="0"/>
        <w:rPr>
          <w:sz w:val="24"/>
          <w:highlight w:val="none"/>
        </w:rPr>
      </w:pPr>
      <w:r>
        <w:rPr>
          <w:rFonts w:hint="eastAsia"/>
          <w:sz w:val="24"/>
          <w:highlight w:val="none"/>
        </w:rPr>
        <w:t>具体量价比例：固定价格电量占比</w:t>
      </w:r>
      <w:r>
        <w:rPr>
          <w:rFonts w:hint="eastAsia"/>
          <w:sz w:val="24"/>
          <w:highlight w:val="none"/>
          <w:u w:val="single"/>
        </w:rPr>
        <w:t xml:space="preserve">  90  </w:t>
      </w:r>
      <w:r>
        <w:rPr>
          <w:rFonts w:hint="eastAsia"/>
          <w:sz w:val="24"/>
          <w:highlight w:val="none"/>
        </w:rPr>
        <w:t xml:space="preserve">%；联动价格电量占比 </w:t>
      </w:r>
      <w:r>
        <w:rPr>
          <w:rFonts w:hint="eastAsia"/>
          <w:sz w:val="24"/>
          <w:highlight w:val="none"/>
          <w:u w:val="single"/>
        </w:rPr>
        <w:t xml:space="preserve">10  </w:t>
      </w:r>
      <w:r>
        <w:rPr>
          <w:rFonts w:hint="eastAsia"/>
          <w:sz w:val="24"/>
          <w:highlight w:val="none"/>
        </w:rPr>
        <w:t>%。</w:t>
      </w:r>
    </w:p>
    <w:p>
      <w:pPr>
        <w:pStyle w:val="15"/>
        <w:spacing w:line="360" w:lineRule="auto"/>
        <w:ind w:firstLine="566" w:firstLineChars="236"/>
        <w:rPr>
          <w:sz w:val="24"/>
          <w:highlight w:val="none"/>
        </w:rPr>
      </w:pPr>
      <w:r>
        <w:rPr>
          <w:rFonts w:hint="eastAsia"/>
          <w:sz w:val="24"/>
          <w:highlight w:val="none"/>
        </w:rPr>
        <w:t>（1）固定价格部分：</w:t>
      </w:r>
      <w:r>
        <w:rPr>
          <w:rFonts w:hint="eastAsia" w:ascii="宋体" w:hAnsi="宋体" w:eastAsia="宋体" w:cs="宋体"/>
          <w:color w:val="FF0000"/>
          <w:sz w:val="24"/>
          <w:highlight w:val="none"/>
          <w:u w:val="single"/>
        </w:rPr>
        <w:t>平段电能量绝对价格</w:t>
      </w:r>
      <w:r>
        <w:rPr>
          <w:rFonts w:hint="eastAsia"/>
          <w:sz w:val="24"/>
          <w:highlight w:val="none"/>
        </w:rPr>
        <w:t>采购限价不高于</w:t>
      </w:r>
      <w:r>
        <w:rPr>
          <w:rFonts w:hint="eastAsia" w:ascii="宋体" w:hAnsi="宋体" w:eastAsia="宋体" w:cs="宋体"/>
          <w:color w:val="FF0000"/>
          <w:sz w:val="24"/>
          <w:highlight w:val="none"/>
          <w:u w:val="single"/>
        </w:rPr>
        <w:t>为￥0.</w:t>
      </w:r>
      <w:r>
        <w:rPr>
          <w:rFonts w:hint="eastAsia" w:ascii="宋体" w:hAnsi="宋体" w:eastAsia="宋体" w:cs="宋体"/>
          <w:color w:val="FF0000"/>
          <w:sz w:val="24"/>
          <w:highlight w:val="none"/>
          <w:u w:val="single"/>
          <w:lang w:val="en-US" w:eastAsia="zh-CN"/>
        </w:rPr>
        <w:t>480</w:t>
      </w:r>
      <w:r>
        <w:rPr>
          <w:rFonts w:hint="eastAsia" w:ascii="宋体" w:hAnsi="宋体" w:eastAsia="宋体" w:cs="宋体"/>
          <w:color w:val="FF0000"/>
          <w:sz w:val="24"/>
          <w:highlight w:val="none"/>
          <w:u w:val="single"/>
        </w:rPr>
        <w:t>元/千瓦时</w:t>
      </w:r>
      <w:r>
        <w:rPr>
          <w:rFonts w:hint="eastAsia"/>
          <w:sz w:val="24"/>
          <w:highlight w:val="none"/>
        </w:rPr>
        <w:t>。冷站用电参照蓄冷电户峰平谷比例执行，杂用水厂参照大工业用电峰平谷比例执行</w:t>
      </w:r>
      <w:r>
        <w:rPr>
          <w:rFonts w:hint="eastAsia"/>
          <w:sz w:val="24"/>
          <w:highlight w:val="none"/>
          <w:lang w:eastAsia="zh-CN"/>
        </w:rPr>
        <w:t>，超算公司参照大工业用电，不分峰平谷比例</w:t>
      </w:r>
      <w:r>
        <w:rPr>
          <w:rFonts w:hint="eastAsia"/>
          <w:sz w:val="24"/>
          <w:highlight w:val="none"/>
        </w:rPr>
        <w:t>。（以相关政府部门发布的最新文件为准）</w:t>
      </w:r>
    </w:p>
    <w:p>
      <w:pPr>
        <w:pStyle w:val="15"/>
        <w:spacing w:line="360" w:lineRule="auto"/>
        <w:ind w:firstLine="566" w:firstLineChars="236"/>
        <w:rPr>
          <w:color w:val="FF0000"/>
          <w:sz w:val="24"/>
          <w:highlight w:val="none"/>
          <w:u w:val="single"/>
        </w:rPr>
      </w:pPr>
      <w:r>
        <w:rPr>
          <w:rFonts w:hint="eastAsia"/>
          <w:sz w:val="24"/>
          <w:highlight w:val="none"/>
        </w:rPr>
        <w:t>（2）市场联动价格部分推荐：</w:t>
      </w:r>
      <w:r>
        <w:rPr>
          <w:rFonts w:hint="eastAsia"/>
          <w:color w:val="FF0000"/>
          <w:sz w:val="24"/>
          <w:highlight w:val="none"/>
          <w:u w:val="single"/>
        </w:rPr>
        <w:t>5%参照月度中长期交易综合价；5%参照日前市场月度综合价。</w:t>
      </w:r>
    </w:p>
    <w:p>
      <w:pPr>
        <w:pStyle w:val="15"/>
        <w:numPr>
          <w:ilvl w:val="1"/>
          <w:numId w:val="4"/>
        </w:numPr>
        <w:spacing w:line="360" w:lineRule="auto"/>
        <w:ind w:left="0" w:firstLine="567" w:firstLineChars="0"/>
        <w:rPr>
          <w:sz w:val="24"/>
          <w:highlight w:val="none"/>
        </w:rPr>
      </w:pPr>
      <w:r>
        <w:rPr>
          <w:rFonts w:hint="eastAsia"/>
          <w:sz w:val="24"/>
          <w:highlight w:val="none"/>
        </w:rPr>
        <w:t>上浮电费：中标人按实际用电量收取的服务费</w:t>
      </w:r>
      <w:r>
        <w:rPr>
          <w:rFonts w:hint="eastAsia" w:ascii="宋体" w:hAnsi="宋体" w:eastAsia="宋体" w:cs="宋体"/>
          <w:color w:val="FF0000"/>
          <w:sz w:val="24"/>
          <w:highlight w:val="none"/>
          <w:u w:val="single"/>
        </w:rPr>
        <w:t>不超过 ￥0.0</w:t>
      </w:r>
      <w:r>
        <w:rPr>
          <w:rFonts w:hint="eastAsia" w:ascii="宋体" w:hAnsi="宋体" w:eastAsia="宋体" w:cs="宋体"/>
          <w:color w:val="FF0000"/>
          <w:sz w:val="24"/>
          <w:highlight w:val="none"/>
          <w:u w:val="single"/>
          <w:lang w:val="en-US" w:eastAsia="zh-CN"/>
        </w:rPr>
        <w:t>04</w:t>
      </w:r>
      <w:r>
        <w:rPr>
          <w:rFonts w:hint="eastAsia" w:ascii="宋体" w:hAnsi="宋体" w:eastAsia="宋体" w:cs="宋体"/>
          <w:color w:val="FF0000"/>
          <w:sz w:val="24"/>
          <w:highlight w:val="none"/>
          <w:u w:val="single"/>
        </w:rPr>
        <w:t>元/千瓦时</w:t>
      </w:r>
      <w:r>
        <w:rPr>
          <w:rFonts w:hint="eastAsia"/>
          <w:sz w:val="24"/>
          <w:highlight w:val="none"/>
        </w:rPr>
        <w:t>。</w:t>
      </w:r>
    </w:p>
    <w:p>
      <w:pPr>
        <w:pStyle w:val="15"/>
        <w:numPr>
          <w:ilvl w:val="1"/>
          <w:numId w:val="4"/>
        </w:numPr>
        <w:spacing w:line="360" w:lineRule="auto"/>
        <w:ind w:left="0" w:firstLine="567" w:firstLineChars="0"/>
        <w:rPr>
          <w:sz w:val="24"/>
          <w:highlight w:val="none"/>
        </w:rPr>
      </w:pPr>
      <w:r>
        <w:rPr>
          <w:rFonts w:hint="eastAsia"/>
          <w:sz w:val="24"/>
          <w:highlight w:val="none"/>
        </w:rPr>
        <w:t>如</w:t>
      </w:r>
      <w:r>
        <w:rPr>
          <w:rFonts w:hint="eastAsia"/>
          <w:sz w:val="24"/>
          <w:highlight w:val="none"/>
          <w:lang w:val="en-US" w:eastAsia="zh-CN"/>
        </w:rPr>
        <w:t>采购人</w:t>
      </w:r>
      <w:r>
        <w:rPr>
          <w:rFonts w:hint="eastAsia"/>
          <w:sz w:val="24"/>
          <w:highlight w:val="none"/>
        </w:rPr>
        <w:t>平段电量结算价格较市场月度加权平均价超出 30%，则</w:t>
      </w:r>
      <w:r>
        <w:rPr>
          <w:rFonts w:hint="eastAsia"/>
          <w:sz w:val="24"/>
          <w:highlight w:val="none"/>
          <w:lang w:val="en-US" w:eastAsia="zh-CN"/>
        </w:rPr>
        <w:t>采购人</w:t>
      </w:r>
      <w:r>
        <w:rPr>
          <w:rFonts w:hint="eastAsia"/>
          <w:sz w:val="24"/>
          <w:highlight w:val="none"/>
        </w:rPr>
        <w:t>电能量电费平段价格按照 1.3 倍市场月度加权平均价计算（峰、谷系统自动计算）；若</w:t>
      </w:r>
      <w:r>
        <w:rPr>
          <w:rFonts w:hint="eastAsia"/>
          <w:sz w:val="24"/>
          <w:highlight w:val="none"/>
          <w:lang w:val="en-US" w:eastAsia="zh-CN"/>
        </w:rPr>
        <w:t>采购人</w:t>
      </w:r>
      <w:r>
        <w:rPr>
          <w:rFonts w:hint="eastAsia"/>
          <w:sz w:val="24"/>
          <w:highlight w:val="none"/>
        </w:rPr>
        <w:t>平段电量结算价格较市场月度加权平均价低于 20%，则</w:t>
      </w:r>
      <w:r>
        <w:rPr>
          <w:rFonts w:hint="eastAsia"/>
          <w:sz w:val="24"/>
          <w:highlight w:val="none"/>
          <w:lang w:val="en-US" w:eastAsia="zh-CN"/>
        </w:rPr>
        <w:t>采购人</w:t>
      </w:r>
      <w:r>
        <w:rPr>
          <w:rFonts w:hint="eastAsia"/>
          <w:sz w:val="24"/>
          <w:highlight w:val="none"/>
        </w:rPr>
        <w:t>电能量电费平段价格按照 0.8 倍市场月度加权平均价计算（峰、谷系统自动计算）</w:t>
      </w:r>
    </w:p>
    <w:p>
      <w:pPr>
        <w:pStyle w:val="15"/>
        <w:numPr>
          <w:ilvl w:val="1"/>
          <w:numId w:val="4"/>
        </w:numPr>
        <w:spacing w:line="360" w:lineRule="auto"/>
        <w:ind w:left="0" w:firstLine="567" w:firstLineChars="0"/>
        <w:rPr>
          <w:sz w:val="24"/>
          <w:highlight w:val="none"/>
        </w:rPr>
      </w:pPr>
      <w:r>
        <w:rPr>
          <w:rFonts w:hint="eastAsia"/>
          <w:sz w:val="24"/>
          <w:highlight w:val="none"/>
        </w:rPr>
        <w:t>每月因偏差电量而产生的考核电费全部由中标人承担。</w:t>
      </w:r>
    </w:p>
    <w:p>
      <w:pPr>
        <w:pStyle w:val="15"/>
        <w:numPr>
          <w:ilvl w:val="1"/>
          <w:numId w:val="4"/>
        </w:numPr>
        <w:spacing w:line="360" w:lineRule="auto"/>
        <w:ind w:left="0" w:firstLine="567" w:firstLineChars="0"/>
        <w:rPr>
          <w:sz w:val="24"/>
          <w:highlight w:val="none"/>
        </w:rPr>
      </w:pPr>
      <w:r>
        <w:rPr>
          <w:rFonts w:hint="eastAsia"/>
          <w:sz w:val="24"/>
          <w:highlight w:val="none"/>
        </w:rPr>
        <w:t>202</w:t>
      </w:r>
      <w:r>
        <w:rPr>
          <w:rFonts w:hint="eastAsia"/>
          <w:sz w:val="24"/>
          <w:highlight w:val="none"/>
          <w:lang w:val="en-US" w:eastAsia="zh-CN"/>
        </w:rPr>
        <w:t>4</w:t>
      </w:r>
      <w:r>
        <w:rPr>
          <w:rFonts w:hint="eastAsia"/>
          <w:sz w:val="24"/>
          <w:highlight w:val="none"/>
        </w:rPr>
        <w:t>年电量交易手续费全部由中标人承担。</w:t>
      </w:r>
    </w:p>
    <w:p>
      <w:pPr>
        <w:pStyle w:val="15"/>
        <w:numPr>
          <w:ilvl w:val="1"/>
          <w:numId w:val="4"/>
        </w:numPr>
        <w:spacing w:line="360" w:lineRule="auto"/>
        <w:ind w:left="0" w:firstLine="567" w:firstLineChars="0"/>
        <w:rPr>
          <w:sz w:val="24"/>
          <w:highlight w:val="none"/>
        </w:rPr>
      </w:pPr>
      <w:r>
        <w:rPr>
          <w:rFonts w:hint="eastAsia"/>
          <w:sz w:val="24"/>
          <w:highlight w:val="none"/>
        </w:rPr>
        <w:t>不约定开展可再生能源电力零售交易。</w:t>
      </w:r>
    </w:p>
    <w:p>
      <w:pPr>
        <w:pStyle w:val="15"/>
        <w:numPr>
          <w:ilvl w:val="0"/>
          <w:numId w:val="1"/>
        </w:numPr>
        <w:spacing w:line="360" w:lineRule="auto"/>
        <w:ind w:left="0" w:firstLine="482"/>
        <w:rPr>
          <w:rFonts w:asciiTheme="minorEastAsia" w:hAnsiTheme="minorEastAsia"/>
          <w:b/>
          <w:sz w:val="24"/>
          <w:highlight w:val="none"/>
        </w:rPr>
      </w:pPr>
      <w:r>
        <w:rPr>
          <w:rFonts w:hint="eastAsia" w:asciiTheme="minorEastAsia" w:hAnsiTheme="minorEastAsia"/>
          <w:b/>
          <w:sz w:val="24"/>
          <w:highlight w:val="none"/>
        </w:rPr>
        <w:t>费用和支付方式</w:t>
      </w:r>
    </w:p>
    <w:p>
      <w:pPr>
        <w:pStyle w:val="15"/>
        <w:numPr>
          <w:ilvl w:val="1"/>
          <w:numId w:val="5"/>
        </w:numPr>
        <w:spacing w:line="360" w:lineRule="auto"/>
        <w:ind w:left="0" w:firstLine="567" w:firstLineChars="0"/>
        <w:rPr>
          <w:rFonts w:asciiTheme="minorEastAsia" w:hAnsiTheme="minorEastAsia"/>
          <w:bCs/>
          <w:sz w:val="24"/>
          <w:highlight w:val="none"/>
        </w:rPr>
      </w:pPr>
      <w:r>
        <w:rPr>
          <w:rFonts w:hint="eastAsia" w:asciiTheme="minorEastAsia" w:hAnsiTheme="minorEastAsia"/>
          <w:bCs/>
          <w:sz w:val="24"/>
          <w:highlight w:val="none"/>
        </w:rPr>
        <w:t>参照《广东电力市场结算实施细则》（最新版）以及现货运行有关要求执行。</w:t>
      </w:r>
    </w:p>
    <w:p>
      <w:pPr>
        <w:pStyle w:val="15"/>
        <w:numPr>
          <w:ilvl w:val="1"/>
          <w:numId w:val="5"/>
        </w:numPr>
        <w:spacing w:line="360" w:lineRule="auto"/>
        <w:ind w:left="0" w:firstLine="567" w:firstLineChars="0"/>
        <w:rPr>
          <w:rFonts w:asciiTheme="minorEastAsia" w:hAnsiTheme="minorEastAsia"/>
          <w:bCs/>
          <w:sz w:val="24"/>
          <w:highlight w:val="none"/>
        </w:rPr>
      </w:pPr>
      <w:r>
        <w:rPr>
          <w:rFonts w:hint="eastAsia" w:asciiTheme="minorEastAsia" w:hAnsiTheme="minorEastAsia"/>
          <w:bCs/>
          <w:sz w:val="24"/>
          <w:highlight w:val="none"/>
        </w:rPr>
        <w:t>参照《广东电力市场售电公司与电力用户零售交易合同（202</w:t>
      </w:r>
      <w:r>
        <w:rPr>
          <w:rFonts w:hint="eastAsia" w:asciiTheme="minorEastAsia" w:hAnsiTheme="minorEastAsia"/>
          <w:bCs/>
          <w:sz w:val="24"/>
          <w:highlight w:val="none"/>
          <w:lang w:val="en-US" w:eastAsia="zh-CN"/>
        </w:rPr>
        <w:t>4</w:t>
      </w:r>
      <w:r>
        <w:rPr>
          <w:rFonts w:hint="eastAsia" w:asciiTheme="minorEastAsia" w:hAnsiTheme="minorEastAsia"/>
          <w:bCs/>
          <w:sz w:val="24"/>
          <w:highlight w:val="none"/>
        </w:rPr>
        <w:t>年版）》有关要求执行。</w:t>
      </w:r>
    </w:p>
    <w:p>
      <w:pPr>
        <w:pStyle w:val="15"/>
        <w:numPr>
          <w:ilvl w:val="1"/>
          <w:numId w:val="5"/>
        </w:numPr>
        <w:spacing w:line="360" w:lineRule="auto"/>
        <w:ind w:left="0" w:firstLine="567" w:firstLineChars="0"/>
        <w:rPr>
          <w:rFonts w:asciiTheme="minorEastAsia" w:hAnsiTheme="minorEastAsia"/>
          <w:bCs/>
          <w:sz w:val="24"/>
          <w:highlight w:val="none"/>
        </w:rPr>
      </w:pPr>
      <w:r>
        <w:rPr>
          <w:rFonts w:hint="eastAsia" w:asciiTheme="minorEastAsia" w:hAnsiTheme="minorEastAsia"/>
          <w:bCs/>
          <w:sz w:val="24"/>
          <w:highlight w:val="none"/>
        </w:rPr>
        <w:t>参照《广东省能源局 国家能源局南方监管局关于202</w:t>
      </w:r>
      <w:r>
        <w:rPr>
          <w:rFonts w:hint="eastAsia" w:asciiTheme="minorEastAsia" w:hAnsiTheme="minorEastAsia"/>
          <w:bCs/>
          <w:sz w:val="24"/>
          <w:highlight w:val="none"/>
          <w:lang w:val="en-US" w:eastAsia="zh-CN"/>
        </w:rPr>
        <w:t>4</w:t>
      </w:r>
      <w:r>
        <w:rPr>
          <w:rFonts w:hint="eastAsia" w:asciiTheme="minorEastAsia" w:hAnsiTheme="minorEastAsia"/>
          <w:bCs/>
          <w:sz w:val="24"/>
          <w:highlight w:val="none"/>
        </w:rPr>
        <w:t>年电力市场交易有关事项的通知》要求执行。</w:t>
      </w:r>
    </w:p>
    <w:p>
      <w:pPr>
        <w:pStyle w:val="15"/>
        <w:numPr>
          <w:ilvl w:val="0"/>
          <w:numId w:val="1"/>
        </w:numPr>
        <w:spacing w:line="360" w:lineRule="auto"/>
        <w:ind w:left="0" w:firstLine="482"/>
        <w:rPr>
          <w:rFonts w:asciiTheme="minorEastAsia" w:hAnsiTheme="minorEastAsia"/>
          <w:b/>
          <w:sz w:val="24"/>
          <w:highlight w:val="none"/>
        </w:rPr>
      </w:pPr>
      <w:r>
        <w:rPr>
          <w:rFonts w:hint="eastAsia" w:asciiTheme="minorEastAsia" w:hAnsiTheme="minorEastAsia"/>
          <w:b/>
          <w:sz w:val="24"/>
          <w:highlight w:val="none"/>
        </w:rPr>
        <w:t>投标文件</w:t>
      </w:r>
    </w:p>
    <w:p>
      <w:pPr>
        <w:pStyle w:val="15"/>
        <w:spacing w:line="360" w:lineRule="auto"/>
        <w:ind w:firstLine="480"/>
        <w:rPr>
          <w:rFonts w:asciiTheme="minorEastAsia" w:hAnsiTheme="minorEastAsia"/>
          <w:sz w:val="24"/>
          <w:highlight w:val="none"/>
        </w:rPr>
      </w:pPr>
      <w:r>
        <w:rPr>
          <w:rFonts w:hint="eastAsia" w:asciiTheme="minorEastAsia" w:hAnsiTheme="minorEastAsia"/>
          <w:sz w:val="24"/>
          <w:highlight w:val="none"/>
        </w:rPr>
        <w:t>根据采购人要求的投标文件格式编制，进行密封报价（盖章）。投标文件应包含以下内容：</w:t>
      </w:r>
    </w:p>
    <w:p>
      <w:pPr>
        <w:pStyle w:val="15"/>
        <w:numPr>
          <w:ilvl w:val="0"/>
          <w:numId w:val="6"/>
        </w:numPr>
        <w:spacing w:line="360" w:lineRule="auto"/>
        <w:ind w:firstLine="480"/>
        <w:rPr>
          <w:rFonts w:asciiTheme="minorEastAsia" w:hAnsiTheme="minorEastAsia"/>
          <w:sz w:val="24"/>
          <w:highlight w:val="none"/>
        </w:rPr>
      </w:pPr>
      <w:r>
        <w:rPr>
          <w:rFonts w:hint="eastAsia" w:asciiTheme="minorEastAsia" w:hAnsiTheme="minorEastAsia"/>
          <w:sz w:val="24"/>
          <w:highlight w:val="none"/>
        </w:rPr>
        <w:t>价格文件（格式见附件</w:t>
      </w:r>
      <w:r>
        <w:rPr>
          <w:rFonts w:asciiTheme="minorEastAsia" w:hAnsiTheme="minorEastAsia"/>
          <w:sz w:val="24"/>
          <w:highlight w:val="none"/>
        </w:rPr>
        <w:t>1</w:t>
      </w:r>
      <w:r>
        <w:rPr>
          <w:rFonts w:hint="eastAsia" w:asciiTheme="minorEastAsia" w:hAnsiTheme="minorEastAsia"/>
          <w:sz w:val="24"/>
          <w:highlight w:val="none"/>
        </w:rPr>
        <w:t>，加盖公章）</w:t>
      </w:r>
    </w:p>
    <w:p>
      <w:pPr>
        <w:pStyle w:val="18"/>
        <w:numPr>
          <w:ilvl w:val="0"/>
          <w:numId w:val="7"/>
        </w:numPr>
        <w:spacing w:line="360" w:lineRule="auto"/>
        <w:ind w:left="851" w:hanging="291" w:firstLineChars="0"/>
        <w:rPr>
          <w:rFonts w:cs="Arial" w:asciiTheme="minorEastAsia" w:hAnsiTheme="minorEastAsia"/>
          <w:color w:val="000000"/>
          <w:sz w:val="24"/>
          <w:highlight w:val="none"/>
        </w:rPr>
      </w:pPr>
      <w:r>
        <w:rPr>
          <w:rFonts w:hint="eastAsia" w:cs="Arial" w:asciiTheme="minorEastAsia" w:hAnsiTheme="minorEastAsia"/>
          <w:color w:val="000000"/>
          <w:sz w:val="24"/>
          <w:highlight w:val="none"/>
        </w:rPr>
        <w:t>报价一览表</w:t>
      </w:r>
    </w:p>
    <w:p>
      <w:pPr>
        <w:pStyle w:val="15"/>
        <w:numPr>
          <w:ilvl w:val="0"/>
          <w:numId w:val="6"/>
        </w:numPr>
        <w:spacing w:line="360" w:lineRule="auto"/>
        <w:ind w:firstLine="480"/>
        <w:rPr>
          <w:rFonts w:asciiTheme="minorEastAsia" w:hAnsiTheme="minorEastAsia"/>
          <w:sz w:val="24"/>
          <w:highlight w:val="none"/>
        </w:rPr>
      </w:pPr>
      <w:r>
        <w:rPr>
          <w:rFonts w:hint="eastAsia" w:asciiTheme="minorEastAsia" w:hAnsiTheme="minorEastAsia"/>
          <w:sz w:val="24"/>
          <w:highlight w:val="none"/>
        </w:rPr>
        <w:t>商务部分</w:t>
      </w:r>
    </w:p>
    <w:p>
      <w:pPr>
        <w:pStyle w:val="18"/>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有效的企业工商营业执照、企业法人组织机构代码证书、税务登记证书（或三证合一）；</w:t>
      </w:r>
    </w:p>
    <w:p>
      <w:pPr>
        <w:pStyle w:val="18"/>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“信用中国”网站（www.creditchina.gov.cn）的信用记录查询结果截图并打印页面加盖公章。</w:t>
      </w:r>
    </w:p>
    <w:p>
      <w:pPr>
        <w:pStyle w:val="18"/>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在投标活动中3年内没有重大违法活动和涉嫌违规行为声明。（格式自拟）</w:t>
      </w:r>
    </w:p>
    <w:p>
      <w:pPr>
        <w:pStyle w:val="18"/>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供应商调查表（格式见附件2）；</w:t>
      </w:r>
    </w:p>
    <w:p>
      <w:pPr>
        <w:pStyle w:val="18"/>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法定代表人证明书、法定代表人授权委托书原件（格式见附件3和附件4）；</w:t>
      </w:r>
    </w:p>
    <w:p>
      <w:pPr>
        <w:pStyle w:val="18"/>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具有广东省经济和信息化委员会颁发的合法售电牌照。（提供最新的广东电力交易中心官网售电公司名称的截图）</w:t>
      </w:r>
    </w:p>
    <w:p>
      <w:pPr>
        <w:pStyle w:val="18"/>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拟派项目负责人简历表</w:t>
      </w:r>
      <w:r>
        <w:rPr>
          <w:rFonts w:asciiTheme="minorEastAsia" w:hAnsiTheme="minorEastAsia"/>
          <w:sz w:val="24"/>
          <w:highlight w:val="none"/>
        </w:rPr>
        <w:t>（包括姓名、部门和职务、</w:t>
      </w:r>
      <w:r>
        <w:rPr>
          <w:rFonts w:hint="eastAsia" w:asciiTheme="minorEastAsia" w:hAnsiTheme="minorEastAsia"/>
          <w:sz w:val="24"/>
          <w:highlight w:val="none"/>
        </w:rPr>
        <w:t>所学专业和</w:t>
      </w:r>
      <w:r>
        <w:rPr>
          <w:rFonts w:asciiTheme="minorEastAsia" w:hAnsiTheme="minorEastAsia"/>
          <w:sz w:val="24"/>
          <w:highlight w:val="none"/>
        </w:rPr>
        <w:t>毕业</w:t>
      </w:r>
      <w:r>
        <w:rPr>
          <w:rFonts w:hint="eastAsia" w:asciiTheme="minorEastAsia" w:hAnsiTheme="minorEastAsia"/>
          <w:sz w:val="24"/>
          <w:highlight w:val="none"/>
        </w:rPr>
        <w:t>院校名称及毕业</w:t>
      </w:r>
      <w:r>
        <w:rPr>
          <w:rFonts w:asciiTheme="minorEastAsia" w:hAnsiTheme="minorEastAsia"/>
          <w:sz w:val="24"/>
          <w:highlight w:val="none"/>
        </w:rPr>
        <w:t>时间、主要资历、经验及承担过的</w:t>
      </w:r>
      <w:r>
        <w:rPr>
          <w:rFonts w:hint="eastAsia" w:asciiTheme="minorEastAsia" w:hAnsiTheme="minorEastAsia"/>
          <w:sz w:val="24"/>
          <w:highlight w:val="none"/>
        </w:rPr>
        <w:t>类似</w:t>
      </w:r>
      <w:r>
        <w:rPr>
          <w:rFonts w:asciiTheme="minorEastAsia" w:hAnsiTheme="minorEastAsia"/>
          <w:sz w:val="24"/>
          <w:highlight w:val="none"/>
        </w:rPr>
        <w:t>项目</w:t>
      </w:r>
      <w:r>
        <w:rPr>
          <w:rFonts w:hint="eastAsia" w:asciiTheme="minorEastAsia" w:hAnsiTheme="minorEastAsia"/>
          <w:sz w:val="24"/>
          <w:highlight w:val="none"/>
        </w:rPr>
        <w:t>，</w:t>
      </w:r>
      <w:r>
        <w:rPr>
          <w:rFonts w:asciiTheme="minorEastAsia" w:hAnsiTheme="minorEastAsia"/>
          <w:sz w:val="24"/>
          <w:highlight w:val="none"/>
        </w:rPr>
        <w:t>获得认证资质证书</w:t>
      </w:r>
      <w:r>
        <w:rPr>
          <w:rFonts w:hint="eastAsia" w:asciiTheme="minorEastAsia" w:hAnsiTheme="minorEastAsia"/>
          <w:sz w:val="24"/>
          <w:highlight w:val="none"/>
        </w:rPr>
        <w:t>及复印件</w:t>
      </w:r>
      <w:r>
        <w:rPr>
          <w:rFonts w:asciiTheme="minorEastAsia" w:hAnsiTheme="minorEastAsia"/>
          <w:sz w:val="24"/>
          <w:highlight w:val="none"/>
        </w:rPr>
        <w:t>）</w:t>
      </w:r>
      <w:r>
        <w:rPr>
          <w:rFonts w:hint="eastAsia" w:asciiTheme="minorEastAsia" w:hAnsiTheme="minorEastAsia"/>
          <w:sz w:val="24"/>
          <w:highlight w:val="none"/>
        </w:rPr>
        <w:t>；</w:t>
      </w:r>
    </w:p>
    <w:p>
      <w:pPr>
        <w:pStyle w:val="18"/>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拟派项目团队成员的简历表</w:t>
      </w:r>
      <w:r>
        <w:rPr>
          <w:rFonts w:asciiTheme="minorEastAsia" w:hAnsiTheme="minorEastAsia"/>
          <w:sz w:val="24"/>
          <w:highlight w:val="none"/>
        </w:rPr>
        <w:t>（包括姓名、部门和职务、</w:t>
      </w:r>
      <w:r>
        <w:rPr>
          <w:rFonts w:hint="eastAsia" w:asciiTheme="minorEastAsia" w:hAnsiTheme="minorEastAsia"/>
          <w:sz w:val="24"/>
          <w:highlight w:val="none"/>
        </w:rPr>
        <w:t>所学专业和</w:t>
      </w:r>
      <w:r>
        <w:rPr>
          <w:rFonts w:asciiTheme="minorEastAsia" w:hAnsiTheme="minorEastAsia"/>
          <w:sz w:val="24"/>
          <w:highlight w:val="none"/>
        </w:rPr>
        <w:t>毕业</w:t>
      </w:r>
      <w:r>
        <w:rPr>
          <w:rFonts w:hint="eastAsia" w:asciiTheme="minorEastAsia" w:hAnsiTheme="minorEastAsia"/>
          <w:sz w:val="24"/>
          <w:highlight w:val="none"/>
        </w:rPr>
        <w:t>院校名称及毕业</w:t>
      </w:r>
      <w:r>
        <w:rPr>
          <w:rFonts w:asciiTheme="minorEastAsia" w:hAnsiTheme="minorEastAsia"/>
          <w:sz w:val="24"/>
          <w:highlight w:val="none"/>
        </w:rPr>
        <w:t>时间、主要资历、经验及承担过的</w:t>
      </w:r>
      <w:r>
        <w:rPr>
          <w:rFonts w:hint="eastAsia" w:asciiTheme="minorEastAsia" w:hAnsiTheme="minorEastAsia"/>
          <w:sz w:val="24"/>
          <w:highlight w:val="none"/>
        </w:rPr>
        <w:t>类似</w:t>
      </w:r>
      <w:r>
        <w:rPr>
          <w:rFonts w:asciiTheme="minorEastAsia" w:hAnsiTheme="minorEastAsia"/>
          <w:sz w:val="24"/>
          <w:highlight w:val="none"/>
        </w:rPr>
        <w:t>项目</w:t>
      </w:r>
      <w:r>
        <w:rPr>
          <w:rFonts w:hint="eastAsia" w:asciiTheme="minorEastAsia" w:hAnsiTheme="minorEastAsia"/>
          <w:sz w:val="24"/>
          <w:highlight w:val="none"/>
        </w:rPr>
        <w:t>，</w:t>
      </w:r>
      <w:r>
        <w:rPr>
          <w:rFonts w:asciiTheme="minorEastAsia" w:hAnsiTheme="minorEastAsia"/>
          <w:sz w:val="24"/>
          <w:highlight w:val="none"/>
        </w:rPr>
        <w:t>获得认证资质证书</w:t>
      </w:r>
      <w:r>
        <w:rPr>
          <w:rFonts w:hint="eastAsia" w:asciiTheme="minorEastAsia" w:hAnsiTheme="minorEastAsia"/>
          <w:sz w:val="24"/>
          <w:highlight w:val="none"/>
        </w:rPr>
        <w:t>及复印件</w:t>
      </w:r>
      <w:r>
        <w:rPr>
          <w:rFonts w:asciiTheme="minorEastAsia" w:hAnsiTheme="minorEastAsia"/>
          <w:sz w:val="24"/>
          <w:highlight w:val="none"/>
        </w:rPr>
        <w:t>）</w:t>
      </w:r>
      <w:r>
        <w:rPr>
          <w:rFonts w:hint="eastAsia" w:asciiTheme="minorEastAsia" w:hAnsiTheme="minorEastAsia"/>
          <w:sz w:val="24"/>
          <w:highlight w:val="none"/>
        </w:rPr>
        <w:t>等</w:t>
      </w:r>
    </w:p>
    <w:p>
      <w:pPr>
        <w:pStyle w:val="18"/>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20</w:t>
      </w:r>
      <w:r>
        <w:rPr>
          <w:rFonts w:hint="eastAsia" w:asciiTheme="minorEastAsia" w:hAnsiTheme="minorEastAsia"/>
          <w:sz w:val="24"/>
          <w:highlight w:val="none"/>
          <w:lang w:val="en-US" w:eastAsia="zh-CN"/>
        </w:rPr>
        <w:t>20</w:t>
      </w:r>
      <w:r>
        <w:rPr>
          <w:rFonts w:hint="eastAsia" w:asciiTheme="minorEastAsia" w:hAnsiTheme="minorEastAsia"/>
          <w:sz w:val="24"/>
          <w:highlight w:val="none"/>
        </w:rPr>
        <w:t>年12月1日至今完成过类似项目业绩（提供合同复印件、业主评价等材料）；</w:t>
      </w:r>
    </w:p>
    <w:p>
      <w:pPr>
        <w:pStyle w:val="18"/>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投标人认为有必要的其他资质等材料复印件。</w:t>
      </w:r>
    </w:p>
    <w:p>
      <w:pPr>
        <w:pStyle w:val="15"/>
        <w:numPr>
          <w:ilvl w:val="0"/>
          <w:numId w:val="6"/>
        </w:numPr>
        <w:spacing w:line="360" w:lineRule="auto"/>
        <w:ind w:firstLine="480"/>
        <w:rPr>
          <w:rFonts w:asciiTheme="minorEastAsia" w:hAnsiTheme="minorEastAsia"/>
          <w:sz w:val="24"/>
          <w:highlight w:val="none"/>
        </w:rPr>
      </w:pPr>
      <w:r>
        <w:rPr>
          <w:rFonts w:hint="eastAsia" w:asciiTheme="minorEastAsia" w:hAnsiTheme="minorEastAsia"/>
          <w:sz w:val="24"/>
          <w:highlight w:val="none"/>
        </w:rPr>
        <w:t>技术部分（如有，格式自定，加盖公章）</w:t>
      </w:r>
    </w:p>
    <w:p>
      <w:pPr>
        <w:pStyle w:val="15"/>
        <w:numPr>
          <w:ilvl w:val="255"/>
          <w:numId w:val="0"/>
        </w:numPr>
        <w:spacing w:line="360" w:lineRule="auto"/>
        <w:ind w:left="420" w:leftChars="200"/>
        <w:rPr>
          <w:rFonts w:asciiTheme="minorEastAsia" w:hAnsiTheme="minorEastAsia"/>
          <w:sz w:val="24"/>
          <w:highlight w:val="none"/>
        </w:rPr>
      </w:pPr>
      <w:r>
        <w:rPr>
          <w:rFonts w:hint="eastAsia" w:asciiTheme="minorEastAsia" w:hAnsiTheme="minorEastAsia"/>
          <w:sz w:val="24"/>
          <w:highlight w:val="none"/>
        </w:rPr>
        <w:t>服务方案：供应商应针对本项目制定切实可行的服务方案，包括但不限于：</w:t>
      </w:r>
    </w:p>
    <w:p>
      <w:pPr>
        <w:pStyle w:val="18"/>
        <w:numPr>
          <w:ilvl w:val="3"/>
          <w:numId w:val="6"/>
        </w:numPr>
        <w:spacing w:line="360" w:lineRule="auto"/>
        <w:ind w:left="851" w:hanging="425" w:firstLineChars="0"/>
        <w:rPr>
          <w:rFonts w:asciiTheme="minorEastAsia" w:hAnsiTheme="minorEastAsia"/>
          <w:sz w:val="24"/>
          <w:highlight w:val="none"/>
        </w:rPr>
      </w:pPr>
      <w:r>
        <w:rPr>
          <w:rFonts w:hint="eastAsia" w:asciiTheme="minorEastAsia" w:hAnsiTheme="minorEastAsia"/>
          <w:sz w:val="24"/>
          <w:highlight w:val="none"/>
        </w:rPr>
        <w:t>总体售电方案（必须包含联动价格计价方案）；</w:t>
      </w:r>
    </w:p>
    <w:p>
      <w:pPr>
        <w:pStyle w:val="18"/>
        <w:numPr>
          <w:ilvl w:val="3"/>
          <w:numId w:val="6"/>
        </w:numPr>
        <w:spacing w:line="360" w:lineRule="auto"/>
        <w:ind w:left="0" w:firstLine="426" w:firstLineChars="0"/>
        <w:rPr>
          <w:rFonts w:asciiTheme="minorEastAsia" w:hAnsiTheme="minorEastAsia"/>
          <w:sz w:val="24"/>
          <w:highlight w:val="none"/>
        </w:rPr>
      </w:pPr>
      <w:r>
        <w:rPr>
          <w:rFonts w:hint="eastAsia"/>
          <w:sz w:val="24"/>
          <w:highlight w:val="none"/>
        </w:rPr>
        <w:t>投标人应具有良好的合同履行能力，丰富的电量交易服务经验，良好的电力市场履约能力</w:t>
      </w:r>
      <w:r>
        <w:rPr>
          <w:rFonts w:hint="eastAsia" w:asciiTheme="minorEastAsia" w:hAnsiTheme="minorEastAsia"/>
          <w:sz w:val="24"/>
          <w:highlight w:val="none"/>
        </w:rPr>
        <w:t>，并提供相关承诺函，承诺函内容自拟。</w:t>
      </w:r>
      <w:r>
        <w:rPr>
          <w:rFonts w:asciiTheme="minorEastAsia" w:hAnsiTheme="minorEastAsia"/>
          <w:sz w:val="24"/>
          <w:highlight w:val="none"/>
        </w:rPr>
        <w:t xml:space="preserve"> </w:t>
      </w:r>
    </w:p>
    <w:p>
      <w:pPr>
        <w:pStyle w:val="18"/>
        <w:numPr>
          <w:ilvl w:val="3"/>
          <w:numId w:val="6"/>
        </w:numPr>
        <w:spacing w:line="360" w:lineRule="auto"/>
        <w:ind w:left="0" w:firstLine="426" w:firstLineChars="0"/>
        <w:rPr>
          <w:sz w:val="24"/>
          <w:highlight w:val="none"/>
        </w:rPr>
      </w:pPr>
      <w:r>
        <w:rPr>
          <w:rFonts w:hint="eastAsia"/>
          <w:sz w:val="24"/>
          <w:highlight w:val="none"/>
        </w:rPr>
        <w:t>投标人对本项目的理解和认识，针对本项目提出有效可行的服务方案和产品方案；</w:t>
      </w:r>
    </w:p>
    <w:p>
      <w:pPr>
        <w:pStyle w:val="18"/>
        <w:numPr>
          <w:ilvl w:val="3"/>
          <w:numId w:val="6"/>
        </w:numPr>
        <w:spacing w:line="360" w:lineRule="auto"/>
        <w:ind w:left="0" w:firstLine="426" w:firstLineChars="0"/>
        <w:rPr>
          <w:sz w:val="24"/>
          <w:highlight w:val="none"/>
        </w:rPr>
      </w:pPr>
      <w:r>
        <w:rPr>
          <w:rFonts w:hint="eastAsia"/>
          <w:sz w:val="24"/>
          <w:highlight w:val="none"/>
        </w:rPr>
        <w:t>针对本项目提供风险防范措施等；</w:t>
      </w:r>
    </w:p>
    <w:p>
      <w:pPr>
        <w:pStyle w:val="18"/>
        <w:numPr>
          <w:ilvl w:val="3"/>
          <w:numId w:val="6"/>
        </w:numPr>
        <w:spacing w:line="360" w:lineRule="auto"/>
        <w:ind w:left="0" w:firstLine="426" w:firstLineChars="0"/>
        <w:rPr>
          <w:sz w:val="24"/>
          <w:highlight w:val="none"/>
        </w:rPr>
      </w:pPr>
      <w:r>
        <w:rPr>
          <w:rFonts w:hint="eastAsia"/>
          <w:sz w:val="24"/>
          <w:highlight w:val="none"/>
        </w:rPr>
        <w:t>投标人认为其它需要说明的文字。</w:t>
      </w:r>
    </w:p>
    <w:p>
      <w:pPr>
        <w:pStyle w:val="15"/>
        <w:numPr>
          <w:ilvl w:val="0"/>
          <w:numId w:val="1"/>
        </w:numPr>
        <w:spacing w:line="360" w:lineRule="auto"/>
        <w:ind w:left="0" w:firstLine="482"/>
        <w:rPr>
          <w:rFonts w:asciiTheme="minorEastAsia" w:hAnsiTheme="minorEastAsia"/>
          <w:b/>
          <w:sz w:val="24"/>
          <w:highlight w:val="none"/>
        </w:rPr>
      </w:pPr>
      <w:r>
        <w:rPr>
          <w:rFonts w:hint="eastAsia" w:asciiTheme="minorEastAsia" w:hAnsiTheme="minorEastAsia"/>
          <w:b/>
          <w:sz w:val="24"/>
          <w:highlight w:val="none"/>
        </w:rPr>
        <w:t>评标方法</w:t>
      </w:r>
    </w:p>
    <w:p>
      <w:pPr>
        <w:spacing w:line="360" w:lineRule="auto"/>
        <w:ind w:firstLine="480" w:firstLineChars="200"/>
        <w:rPr>
          <w:rFonts w:asciiTheme="minorEastAsia" w:hAnsiTheme="minorEastAsia"/>
          <w:sz w:val="24"/>
          <w:highlight w:val="none"/>
        </w:rPr>
      </w:pPr>
      <w:r>
        <w:rPr>
          <w:rFonts w:hint="eastAsia" w:asciiTheme="minorEastAsia" w:hAnsiTheme="minorEastAsia"/>
          <w:sz w:val="24"/>
          <w:highlight w:val="none"/>
        </w:rPr>
        <w:t>本项目采用综合评估法，对投标人进行价格、商务、技术和信用评审，其中价格评审部分占50%，商务评审部分占</w:t>
      </w:r>
      <w:r>
        <w:rPr>
          <w:rFonts w:asciiTheme="minorEastAsia" w:hAnsiTheme="minorEastAsia"/>
          <w:sz w:val="24"/>
          <w:highlight w:val="none"/>
        </w:rPr>
        <w:t>2</w:t>
      </w:r>
      <w:r>
        <w:rPr>
          <w:rFonts w:hint="eastAsia" w:asciiTheme="minorEastAsia" w:hAnsiTheme="minorEastAsia"/>
          <w:sz w:val="24"/>
          <w:highlight w:val="none"/>
          <w:lang w:val="en-US" w:eastAsia="zh-CN"/>
        </w:rPr>
        <w:t>4</w:t>
      </w:r>
      <w:r>
        <w:rPr>
          <w:rFonts w:asciiTheme="minorEastAsia" w:hAnsiTheme="minorEastAsia"/>
          <w:sz w:val="24"/>
          <w:highlight w:val="none"/>
        </w:rPr>
        <w:t>%</w:t>
      </w:r>
      <w:r>
        <w:rPr>
          <w:rFonts w:hint="eastAsia" w:asciiTheme="minorEastAsia" w:hAnsiTheme="minorEastAsia"/>
          <w:sz w:val="24"/>
          <w:highlight w:val="none"/>
        </w:rPr>
        <w:t>，技术评审占</w:t>
      </w:r>
      <w:r>
        <w:rPr>
          <w:rFonts w:asciiTheme="minorEastAsia" w:hAnsiTheme="minorEastAsia"/>
          <w:sz w:val="24"/>
          <w:highlight w:val="none"/>
        </w:rPr>
        <w:t>2</w:t>
      </w:r>
      <w:r>
        <w:rPr>
          <w:rFonts w:hint="eastAsia" w:asciiTheme="minorEastAsia" w:hAnsiTheme="minorEastAsia"/>
          <w:sz w:val="24"/>
          <w:highlight w:val="none"/>
          <w:lang w:val="en-US" w:eastAsia="zh-CN"/>
        </w:rPr>
        <w:t>6</w:t>
      </w:r>
      <w:r>
        <w:rPr>
          <w:rFonts w:asciiTheme="minorEastAsia" w:hAnsiTheme="minorEastAsia"/>
          <w:sz w:val="24"/>
          <w:highlight w:val="none"/>
        </w:rPr>
        <w:t>%</w:t>
      </w:r>
      <w:r>
        <w:rPr>
          <w:rFonts w:hint="eastAsia" w:asciiTheme="minorEastAsia" w:hAnsiTheme="minorEastAsia"/>
          <w:sz w:val="24"/>
          <w:highlight w:val="none"/>
        </w:rPr>
        <w:t>，投标人评审得分=价格得分</w:t>
      </w:r>
      <w:r>
        <w:rPr>
          <w:rFonts w:asciiTheme="minorEastAsia" w:hAnsiTheme="minorEastAsia"/>
          <w:sz w:val="24"/>
          <w:highlight w:val="none"/>
        </w:rPr>
        <w:t>+</w:t>
      </w:r>
      <w:r>
        <w:rPr>
          <w:rFonts w:hint="eastAsia" w:asciiTheme="minorEastAsia" w:hAnsiTheme="minorEastAsia"/>
          <w:sz w:val="24"/>
          <w:highlight w:val="none"/>
        </w:rPr>
        <w:t>商务得分+技术得分，评分标准见附件</w:t>
      </w:r>
      <w:r>
        <w:rPr>
          <w:rFonts w:hint="eastAsia" w:asciiTheme="minorEastAsia" w:hAnsiTheme="minorEastAsia"/>
          <w:sz w:val="24"/>
          <w:highlight w:val="none"/>
          <w:lang w:val="en-US" w:eastAsia="zh-CN"/>
        </w:rPr>
        <w:t>6</w:t>
      </w:r>
      <w:r>
        <w:rPr>
          <w:rFonts w:hint="eastAsia" w:asciiTheme="minorEastAsia" w:hAnsiTheme="minorEastAsia"/>
          <w:sz w:val="24"/>
          <w:highlight w:val="none"/>
        </w:rPr>
        <w:t>。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pStyle w:val="15"/>
        <w:numPr>
          <w:ilvl w:val="0"/>
          <w:numId w:val="1"/>
        </w:numPr>
        <w:spacing w:line="360" w:lineRule="auto"/>
        <w:ind w:left="0" w:firstLine="482"/>
        <w:rPr>
          <w:rFonts w:asciiTheme="minorEastAsia" w:hAnsiTheme="minorEastAsia"/>
          <w:b/>
          <w:sz w:val="24"/>
          <w:highlight w:val="none"/>
        </w:rPr>
      </w:pPr>
      <w:r>
        <w:rPr>
          <w:rFonts w:hint="eastAsia" w:asciiTheme="minorEastAsia" w:hAnsiTheme="minorEastAsia"/>
          <w:b/>
          <w:sz w:val="24"/>
          <w:highlight w:val="none"/>
        </w:rPr>
        <w:t>递交投标文件</w:t>
      </w:r>
    </w:p>
    <w:p>
      <w:pPr>
        <w:pStyle w:val="18"/>
        <w:numPr>
          <w:ilvl w:val="2"/>
          <w:numId w:val="9"/>
        </w:numPr>
        <w:spacing w:line="360" w:lineRule="auto"/>
        <w:ind w:left="0" w:firstLine="480" w:firstLineChars="0"/>
        <w:rPr>
          <w:rFonts w:asciiTheme="minorEastAsia" w:hAnsiTheme="minorEastAsia"/>
          <w:sz w:val="24"/>
          <w:highlight w:val="none"/>
        </w:rPr>
      </w:pPr>
      <w:r>
        <w:rPr>
          <w:rFonts w:hint="eastAsia" w:asciiTheme="minorEastAsia" w:hAnsiTheme="minorEastAsia"/>
          <w:sz w:val="24"/>
          <w:highlight w:val="none"/>
        </w:rPr>
        <w:t>投标文件纸质文件一式一份，盖章扫描件电子版一份。纸质文件递交截止时间：20</w:t>
      </w:r>
      <w:r>
        <w:rPr>
          <w:rFonts w:hint="eastAsia" w:asciiTheme="minorEastAsia" w:hAnsiTheme="minorEastAsia"/>
          <w:sz w:val="24"/>
          <w:highlight w:val="none"/>
          <w:lang w:val="en-US" w:eastAsia="zh-CN"/>
        </w:rPr>
        <w:t>23</w:t>
      </w:r>
      <w:r>
        <w:rPr>
          <w:rFonts w:hint="eastAsia" w:asciiTheme="minorEastAsia" w:hAnsiTheme="minorEastAsia"/>
          <w:sz w:val="24"/>
          <w:highlight w:val="none"/>
        </w:rPr>
        <w:t>年</w:t>
      </w:r>
      <w:r>
        <w:rPr>
          <w:rFonts w:hint="eastAsia" w:asciiTheme="minorEastAsia" w:hAnsiTheme="minorEastAsia"/>
          <w:sz w:val="24"/>
          <w:highlight w:val="none"/>
          <w:lang w:val="en-US" w:eastAsia="zh-CN"/>
        </w:rPr>
        <w:t xml:space="preserve">12 </w:t>
      </w:r>
      <w:r>
        <w:rPr>
          <w:rFonts w:hint="eastAsia" w:asciiTheme="minorEastAsia" w:hAnsiTheme="minorEastAsia"/>
          <w:sz w:val="24"/>
          <w:highlight w:val="none"/>
        </w:rPr>
        <w:t>月</w:t>
      </w:r>
      <w:r>
        <w:rPr>
          <w:rFonts w:hint="eastAsia" w:asciiTheme="minorEastAsia" w:hAnsiTheme="minorEastAsia"/>
          <w:sz w:val="24"/>
          <w:highlight w:val="none"/>
          <w:lang w:val="en-US" w:eastAsia="zh-CN"/>
        </w:rPr>
        <w:t>4</w:t>
      </w:r>
      <w:r>
        <w:rPr>
          <w:rFonts w:hint="eastAsia" w:asciiTheme="minorEastAsia" w:hAnsiTheme="minorEastAsia"/>
          <w:sz w:val="24"/>
          <w:highlight w:val="none"/>
        </w:rPr>
        <w:t>日</w:t>
      </w:r>
      <w:r>
        <w:rPr>
          <w:rFonts w:asciiTheme="minorEastAsia" w:hAnsiTheme="minorEastAsia"/>
          <w:sz w:val="24"/>
          <w:highlight w:val="none"/>
        </w:rPr>
        <w:t>1</w:t>
      </w:r>
      <w:r>
        <w:rPr>
          <w:rFonts w:hint="eastAsia" w:asciiTheme="minorEastAsia" w:hAnsiTheme="minorEastAsia"/>
          <w:sz w:val="24"/>
          <w:highlight w:val="none"/>
        </w:rPr>
        <w:t>4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eastAsia="宋体" w:cs="宋体"/>
          <w:sz w:val="24"/>
          <w:highlight w:val="none"/>
          <w:u w:val="single"/>
        </w:rPr>
        <w:t>202</w:t>
      </w:r>
      <w:r>
        <w:rPr>
          <w:rFonts w:hint="eastAsia" w:ascii="宋体" w:hAnsi="宋体" w:eastAsia="宋体" w:cs="宋体"/>
          <w:sz w:val="24"/>
          <w:highlight w:val="none"/>
          <w:u w:val="single"/>
          <w:lang w:val="en-US" w:eastAsia="zh-CN"/>
        </w:rPr>
        <w:t>4</w:t>
      </w:r>
      <w:r>
        <w:rPr>
          <w:rFonts w:hint="eastAsia" w:ascii="宋体" w:hAnsi="宋体" w:eastAsia="宋体" w:cs="宋体"/>
          <w:sz w:val="24"/>
          <w:highlight w:val="none"/>
          <w:u w:val="single"/>
        </w:rPr>
        <w:t>年度市场化电量采购</w:t>
      </w:r>
      <w:r>
        <w:rPr>
          <w:rFonts w:hint="eastAsia" w:asciiTheme="minorEastAsia" w:hAnsiTheme="minorEastAsia"/>
          <w:sz w:val="24"/>
          <w:highlight w:val="none"/>
        </w:rPr>
        <w:t>”字样。电子版可随纸质文件一同投递，或在截标后24小时内以电子邮件方式投递到邮箱：</w:t>
      </w:r>
      <w:r>
        <w:rPr>
          <w:rFonts w:hint="eastAsia" w:asciiTheme="minorEastAsia" w:hAnsiTheme="minorEastAsia"/>
          <w:sz w:val="24"/>
          <w:highlight w:val="none"/>
          <w:lang w:val="en-US" w:eastAsia="zh-CN"/>
        </w:rPr>
        <w:t>87594595</w:t>
      </w:r>
      <w:r>
        <w:rPr>
          <w:rFonts w:hint="eastAsia" w:asciiTheme="minorEastAsia" w:hAnsiTheme="minorEastAsia"/>
          <w:sz w:val="24"/>
          <w:highlight w:val="none"/>
        </w:rPr>
        <w:t>@qq.com。投标供应商递交投标文件后，请联系采购人确认。</w:t>
      </w:r>
    </w:p>
    <w:p>
      <w:pPr>
        <w:pStyle w:val="18"/>
        <w:numPr>
          <w:ilvl w:val="2"/>
          <w:numId w:val="9"/>
        </w:numPr>
        <w:spacing w:line="360" w:lineRule="auto"/>
        <w:ind w:left="0" w:firstLine="480" w:firstLineChars="0"/>
        <w:rPr>
          <w:rFonts w:asciiTheme="minorEastAsia" w:hAnsiTheme="minorEastAsia"/>
          <w:sz w:val="24"/>
          <w:highlight w:val="none"/>
        </w:rPr>
      </w:pPr>
      <w:r>
        <w:rPr>
          <w:rFonts w:hint="eastAsia" w:asciiTheme="minorEastAsia" w:hAnsiTheme="minorEastAsia"/>
          <w:sz w:val="24"/>
          <w:highlight w:val="none"/>
        </w:rPr>
        <w:t>投标文件逾期递交、未送达指定地点的、或未按要求密封的，采购人有权不予受理。</w:t>
      </w:r>
    </w:p>
    <w:p>
      <w:pPr>
        <w:spacing w:line="360" w:lineRule="auto"/>
        <w:ind w:firstLine="482" w:firstLineChars="200"/>
        <w:rPr>
          <w:rFonts w:asciiTheme="minorEastAsia" w:hAnsiTheme="minorEastAsia"/>
          <w:b/>
          <w:sz w:val="24"/>
          <w:highlight w:val="none"/>
        </w:rPr>
      </w:pPr>
      <w:r>
        <w:rPr>
          <w:rFonts w:hint="eastAsia" w:asciiTheme="minorEastAsia" w:hAnsiTheme="minorEastAsia"/>
          <w:b/>
          <w:sz w:val="24"/>
          <w:highlight w:val="none"/>
        </w:rPr>
        <w:t>九、竞选文件公示</w:t>
      </w:r>
    </w:p>
    <w:p>
      <w:pPr>
        <w:spacing w:line="360" w:lineRule="auto"/>
        <w:ind w:firstLine="480" w:firstLineChars="200"/>
        <w:rPr>
          <w:rFonts w:cs="Arial" w:asciiTheme="minorEastAsia" w:hAnsiTheme="minorEastAsia"/>
          <w:color w:val="000000"/>
          <w:sz w:val="24"/>
          <w:highlight w:val="none"/>
        </w:rPr>
      </w:pPr>
      <w:r>
        <w:rPr>
          <w:rFonts w:hint="eastAsia" w:cs="Arial" w:asciiTheme="minorEastAsia" w:hAnsiTheme="minorEastAsia"/>
          <w:color w:val="000000"/>
          <w:sz w:val="24"/>
          <w:highlight w:val="none"/>
        </w:rPr>
        <w:t>本竞选文件</w:t>
      </w:r>
      <w:r>
        <w:rPr>
          <w:rFonts w:hint="eastAsia" w:asciiTheme="minorEastAsia" w:hAnsiTheme="minorEastAsia"/>
          <w:sz w:val="24"/>
          <w:highlight w:val="none"/>
        </w:rPr>
        <w:t>在广州国企阳光采购发布平台（http://ygcg.gzggzy.cn）、</w:t>
      </w:r>
      <w:r>
        <w:rPr>
          <w:rFonts w:hint="eastAsia" w:cs="Arial" w:asciiTheme="minorEastAsia" w:hAnsiTheme="minorEastAsia"/>
          <w:color w:val="000000"/>
          <w:sz w:val="24"/>
          <w:highlight w:val="none"/>
          <w:lang w:eastAsia="zh-CN"/>
        </w:rPr>
        <w:t>广州城投综合能源投资经营管理有限公司</w:t>
      </w:r>
      <w:r>
        <w:rPr>
          <w:rFonts w:hint="eastAsia" w:cs="Arial" w:asciiTheme="minorEastAsia" w:hAnsiTheme="minorEastAsia"/>
          <w:color w:val="000000"/>
          <w:sz w:val="24"/>
          <w:highlight w:val="none"/>
        </w:rPr>
        <w:t>网站（网址：</w:t>
      </w:r>
      <w:r>
        <w:rPr>
          <w:rFonts w:cs="Arial" w:asciiTheme="minorEastAsia" w:hAnsiTheme="minorEastAsia"/>
          <w:color w:val="000000"/>
          <w:sz w:val="24"/>
          <w:highlight w:val="none"/>
        </w:rPr>
        <w:t>https://www.gzuci.com/</w:t>
      </w:r>
      <w:r>
        <w:rPr>
          <w:rFonts w:hint="eastAsia" w:cs="Arial" w:asciiTheme="minorEastAsia" w:hAnsiTheme="minorEastAsia"/>
          <w:color w:val="000000"/>
          <w:sz w:val="24"/>
          <w:highlight w:val="none"/>
        </w:rPr>
        <w:t>）同时发布。本竞选文件在各媒体发布的文本如有不同之处，以在</w:t>
      </w:r>
      <w:r>
        <w:rPr>
          <w:rFonts w:hint="eastAsia" w:cs="Arial" w:asciiTheme="minorEastAsia" w:hAnsiTheme="minorEastAsia"/>
          <w:color w:val="000000"/>
          <w:sz w:val="24"/>
          <w:highlight w:val="none"/>
          <w:lang w:eastAsia="zh-CN"/>
        </w:rPr>
        <w:t>广州城投综合能源投资经营管理有限公司</w:t>
      </w:r>
      <w:r>
        <w:rPr>
          <w:rFonts w:hint="eastAsia" w:cs="Arial" w:asciiTheme="minorEastAsia" w:hAnsiTheme="minorEastAsia"/>
          <w:color w:val="000000"/>
          <w:sz w:val="24"/>
          <w:highlight w:val="none"/>
        </w:rPr>
        <w:t>网站发布的文本为准。</w:t>
      </w:r>
    </w:p>
    <w:p>
      <w:pPr>
        <w:spacing w:line="360" w:lineRule="auto"/>
        <w:ind w:firstLine="482" w:firstLineChars="200"/>
        <w:rPr>
          <w:rFonts w:asciiTheme="minorEastAsia" w:hAnsiTheme="minorEastAsia"/>
          <w:b/>
          <w:sz w:val="24"/>
          <w:highlight w:val="none"/>
        </w:rPr>
      </w:pPr>
      <w:r>
        <w:rPr>
          <w:rFonts w:hint="eastAsia" w:asciiTheme="minorEastAsia" w:hAnsiTheme="minorEastAsia"/>
          <w:b/>
          <w:sz w:val="24"/>
          <w:highlight w:val="none"/>
        </w:rPr>
        <w:t>十、采购人地址和联系方式</w:t>
      </w:r>
    </w:p>
    <w:p>
      <w:pPr>
        <w:pStyle w:val="18"/>
        <w:numPr>
          <w:ilvl w:val="0"/>
          <w:numId w:val="10"/>
        </w:numPr>
        <w:spacing w:line="360" w:lineRule="auto"/>
        <w:ind w:firstLineChars="0"/>
        <w:rPr>
          <w:rFonts w:asciiTheme="minorEastAsia" w:hAnsiTheme="minorEastAsia"/>
          <w:sz w:val="24"/>
          <w:highlight w:val="none"/>
        </w:rPr>
      </w:pPr>
      <w:r>
        <w:rPr>
          <w:rFonts w:hint="eastAsia" w:asciiTheme="minorEastAsia" w:hAnsiTheme="minorEastAsia"/>
          <w:sz w:val="24"/>
          <w:highlight w:val="none"/>
        </w:rPr>
        <w:t>采购单位：</w:t>
      </w:r>
      <w:r>
        <w:rPr>
          <w:rFonts w:hint="eastAsia" w:asciiTheme="minorEastAsia" w:hAnsiTheme="minorEastAsia"/>
          <w:sz w:val="24"/>
          <w:highlight w:val="none"/>
          <w:lang w:eastAsia="zh-CN"/>
        </w:rPr>
        <w:t>广州城投综合能源投资经营管理有限公司</w:t>
      </w:r>
    </w:p>
    <w:p>
      <w:pPr>
        <w:pStyle w:val="18"/>
        <w:numPr>
          <w:ilvl w:val="0"/>
          <w:numId w:val="10"/>
        </w:numPr>
        <w:spacing w:line="360" w:lineRule="auto"/>
        <w:ind w:firstLineChars="0"/>
        <w:rPr>
          <w:rFonts w:asciiTheme="minorEastAsia" w:hAnsiTheme="minorEastAsia"/>
          <w:sz w:val="24"/>
          <w:highlight w:val="none"/>
        </w:rPr>
      </w:pPr>
      <w:r>
        <w:rPr>
          <w:rFonts w:hint="eastAsia" w:asciiTheme="minorEastAsia" w:hAnsiTheme="minorEastAsia"/>
          <w:sz w:val="24"/>
          <w:highlight w:val="none"/>
        </w:rPr>
        <w:t>联系地址：广州市番禺区大学城明志街1号信息枢纽楼9楼</w:t>
      </w:r>
    </w:p>
    <w:p>
      <w:pPr>
        <w:pStyle w:val="15"/>
        <w:numPr>
          <w:ilvl w:val="0"/>
          <w:numId w:val="10"/>
        </w:numPr>
        <w:spacing w:line="360" w:lineRule="auto"/>
        <w:ind w:left="0" w:firstLine="480" w:firstLineChars="0"/>
        <w:rPr>
          <w:rFonts w:asciiTheme="minorEastAsia" w:hAnsiTheme="minorEastAsia"/>
          <w:sz w:val="24"/>
          <w:highlight w:val="none"/>
        </w:rPr>
      </w:pPr>
      <w:r>
        <w:rPr>
          <w:rFonts w:hint="eastAsia" w:asciiTheme="minorEastAsia" w:hAnsiTheme="minorEastAsia"/>
          <w:sz w:val="24"/>
          <w:highlight w:val="none"/>
        </w:rPr>
        <w:t>联系人：</w:t>
      </w:r>
      <w:r>
        <w:rPr>
          <w:rFonts w:hint="eastAsia" w:asciiTheme="minorEastAsia" w:hAnsiTheme="minorEastAsia"/>
          <w:sz w:val="24"/>
          <w:highlight w:val="none"/>
          <w:lang w:val="en-US" w:eastAsia="zh-CN"/>
        </w:rPr>
        <w:t>王小姐</w:t>
      </w:r>
      <w:r>
        <w:rPr>
          <w:rFonts w:hint="eastAsia" w:asciiTheme="minorEastAsia" w:hAnsiTheme="minorEastAsia"/>
          <w:sz w:val="24"/>
          <w:highlight w:val="none"/>
        </w:rPr>
        <w:t xml:space="preserve"> ，联系电话：020-393020</w:t>
      </w:r>
      <w:r>
        <w:rPr>
          <w:rFonts w:hint="eastAsia" w:asciiTheme="minorEastAsia" w:hAnsiTheme="minorEastAsia"/>
          <w:sz w:val="24"/>
          <w:highlight w:val="none"/>
          <w:lang w:val="en-US" w:eastAsia="zh-CN"/>
        </w:rPr>
        <w:t>78</w:t>
      </w:r>
      <w:r>
        <w:rPr>
          <w:rFonts w:hint="eastAsia" w:asciiTheme="minorEastAsia" w:hAnsiTheme="minorEastAsia"/>
          <w:sz w:val="24"/>
          <w:highlight w:val="none"/>
        </w:rPr>
        <w:t>，电子邮件：</w:t>
      </w:r>
      <w:r>
        <w:rPr>
          <w:rFonts w:hint="eastAsia" w:asciiTheme="minorEastAsia" w:hAnsiTheme="minorEastAsia"/>
          <w:sz w:val="24"/>
          <w:highlight w:val="none"/>
          <w:lang w:val="en-US" w:eastAsia="zh-CN"/>
        </w:rPr>
        <w:t>87594595</w:t>
      </w:r>
      <w:r>
        <w:rPr>
          <w:rFonts w:hint="eastAsia" w:asciiTheme="minorEastAsia" w:hAnsiTheme="minorEastAsia"/>
          <w:sz w:val="24"/>
          <w:highlight w:val="none"/>
        </w:rPr>
        <w:t>@qq.com</w:t>
      </w:r>
    </w:p>
    <w:p>
      <w:pPr>
        <w:pStyle w:val="15"/>
        <w:spacing w:line="360" w:lineRule="auto"/>
        <w:ind w:firstLine="480"/>
        <w:rPr>
          <w:rFonts w:asciiTheme="minorEastAsia" w:hAnsiTheme="minorEastAsia"/>
          <w:sz w:val="24"/>
          <w:highlight w:val="none"/>
        </w:rPr>
      </w:pPr>
      <w:r>
        <w:rPr>
          <w:rFonts w:hint="eastAsia" w:asciiTheme="minorEastAsia" w:hAnsiTheme="minorEastAsia"/>
          <w:sz w:val="24"/>
          <w:highlight w:val="none"/>
        </w:rPr>
        <w:t>附件</w:t>
      </w:r>
      <w:r>
        <w:rPr>
          <w:rFonts w:asciiTheme="minorEastAsia" w:hAnsiTheme="minorEastAsia"/>
          <w:sz w:val="24"/>
          <w:highlight w:val="none"/>
        </w:rPr>
        <w:t>1</w:t>
      </w:r>
      <w:r>
        <w:rPr>
          <w:rFonts w:hint="eastAsia" w:asciiTheme="minorEastAsia" w:hAnsiTheme="minorEastAsia"/>
          <w:sz w:val="24"/>
          <w:highlight w:val="none"/>
        </w:rPr>
        <w:t>、报价文件</w:t>
      </w:r>
    </w:p>
    <w:p>
      <w:pPr>
        <w:pStyle w:val="15"/>
        <w:spacing w:line="360" w:lineRule="auto"/>
        <w:ind w:firstLine="480"/>
        <w:rPr>
          <w:rFonts w:asciiTheme="minorEastAsia" w:hAnsiTheme="minorEastAsia"/>
          <w:sz w:val="24"/>
          <w:highlight w:val="none"/>
        </w:rPr>
      </w:pPr>
      <w:r>
        <w:rPr>
          <w:rFonts w:hint="eastAsia" w:asciiTheme="minorEastAsia" w:hAnsiTheme="minorEastAsia"/>
          <w:sz w:val="24"/>
          <w:highlight w:val="none"/>
        </w:rPr>
        <w:t>附件</w:t>
      </w:r>
      <w:r>
        <w:rPr>
          <w:rFonts w:asciiTheme="minorEastAsia" w:hAnsiTheme="minorEastAsia"/>
          <w:sz w:val="24"/>
          <w:highlight w:val="none"/>
        </w:rPr>
        <w:t>2、</w:t>
      </w:r>
      <w:r>
        <w:rPr>
          <w:rFonts w:hint="eastAsia" w:asciiTheme="minorEastAsia" w:hAnsiTheme="minorEastAsia"/>
          <w:sz w:val="24"/>
          <w:highlight w:val="none"/>
        </w:rPr>
        <w:t xml:space="preserve"> </w:t>
      </w:r>
      <w:r>
        <w:rPr>
          <w:rFonts w:asciiTheme="minorEastAsia" w:hAnsiTheme="minorEastAsia"/>
          <w:sz w:val="24"/>
          <w:highlight w:val="none"/>
        </w:rPr>
        <w:t>供应商调查表</w:t>
      </w:r>
      <w:r>
        <w:rPr>
          <w:rFonts w:hint="eastAsia" w:asciiTheme="minorEastAsia" w:hAnsiTheme="minorEastAsia"/>
          <w:sz w:val="24"/>
          <w:highlight w:val="none"/>
        </w:rPr>
        <w:t>（需另外提供可编辑电子版word或excle格式一份）</w:t>
      </w:r>
    </w:p>
    <w:p>
      <w:pPr>
        <w:pStyle w:val="15"/>
        <w:spacing w:line="360" w:lineRule="auto"/>
        <w:ind w:firstLine="480"/>
        <w:rPr>
          <w:rFonts w:asciiTheme="minorEastAsia" w:hAnsiTheme="minorEastAsia"/>
          <w:sz w:val="24"/>
          <w:highlight w:val="none"/>
        </w:rPr>
      </w:pPr>
      <w:r>
        <w:rPr>
          <w:rFonts w:hint="eastAsia" w:asciiTheme="minorEastAsia" w:hAnsiTheme="minorEastAsia"/>
          <w:sz w:val="24"/>
          <w:highlight w:val="none"/>
        </w:rPr>
        <w:t>附件</w:t>
      </w:r>
      <w:r>
        <w:rPr>
          <w:rFonts w:asciiTheme="minorEastAsia" w:hAnsiTheme="minorEastAsia"/>
          <w:sz w:val="24"/>
          <w:highlight w:val="none"/>
        </w:rPr>
        <w:t>3</w:t>
      </w:r>
      <w:r>
        <w:rPr>
          <w:rFonts w:hint="eastAsia" w:asciiTheme="minorEastAsia" w:hAnsiTheme="minorEastAsia"/>
          <w:sz w:val="24"/>
          <w:highlight w:val="none"/>
        </w:rPr>
        <w:t>、法定代表人证明书</w:t>
      </w:r>
    </w:p>
    <w:p>
      <w:pPr>
        <w:pStyle w:val="15"/>
        <w:spacing w:line="360" w:lineRule="auto"/>
        <w:ind w:firstLine="480"/>
        <w:rPr>
          <w:rFonts w:asciiTheme="minorEastAsia" w:hAnsiTheme="minorEastAsia"/>
          <w:sz w:val="24"/>
          <w:highlight w:val="none"/>
        </w:rPr>
      </w:pPr>
      <w:r>
        <w:rPr>
          <w:rFonts w:hint="eastAsia" w:asciiTheme="minorEastAsia" w:hAnsiTheme="minorEastAsia"/>
          <w:sz w:val="24"/>
          <w:highlight w:val="none"/>
        </w:rPr>
        <w:t>附件</w:t>
      </w:r>
      <w:r>
        <w:rPr>
          <w:rFonts w:asciiTheme="minorEastAsia" w:hAnsiTheme="minorEastAsia"/>
          <w:sz w:val="24"/>
          <w:highlight w:val="none"/>
        </w:rPr>
        <w:t>4</w:t>
      </w:r>
      <w:r>
        <w:rPr>
          <w:rFonts w:hint="eastAsia" w:asciiTheme="minorEastAsia" w:hAnsiTheme="minorEastAsia"/>
          <w:sz w:val="24"/>
          <w:highlight w:val="none"/>
        </w:rPr>
        <w:t>、法定代表人授权委托证明书</w:t>
      </w:r>
    </w:p>
    <w:p>
      <w:pPr>
        <w:pStyle w:val="15"/>
        <w:spacing w:line="360" w:lineRule="auto"/>
        <w:ind w:firstLine="480"/>
        <w:rPr>
          <w:rFonts w:asciiTheme="minorEastAsia" w:hAnsiTheme="minorEastAsia"/>
          <w:sz w:val="24"/>
          <w:highlight w:val="none"/>
        </w:rPr>
      </w:pPr>
      <w:r>
        <w:rPr>
          <w:rFonts w:hint="eastAsia" w:asciiTheme="minorEastAsia" w:hAnsiTheme="minorEastAsia"/>
          <w:sz w:val="24"/>
          <w:highlight w:val="none"/>
        </w:rPr>
        <w:t>附件</w:t>
      </w:r>
      <w:r>
        <w:rPr>
          <w:rFonts w:asciiTheme="minorEastAsia" w:hAnsiTheme="minorEastAsia"/>
          <w:sz w:val="24"/>
          <w:highlight w:val="none"/>
        </w:rPr>
        <w:t>5、资格性和有效性审查表</w:t>
      </w:r>
    </w:p>
    <w:p>
      <w:pPr>
        <w:pStyle w:val="15"/>
        <w:spacing w:line="360" w:lineRule="auto"/>
        <w:ind w:firstLine="480"/>
        <w:rPr>
          <w:rFonts w:asciiTheme="minorEastAsia" w:hAnsiTheme="minorEastAsia"/>
          <w:sz w:val="24"/>
          <w:highlight w:val="none"/>
        </w:rPr>
      </w:pPr>
      <w:r>
        <w:rPr>
          <w:rFonts w:hint="eastAsia" w:asciiTheme="minorEastAsia" w:hAnsiTheme="minorEastAsia"/>
          <w:sz w:val="24"/>
          <w:highlight w:val="none"/>
        </w:rPr>
        <w:t>附件</w:t>
      </w:r>
      <w:r>
        <w:rPr>
          <w:rFonts w:asciiTheme="minorEastAsia" w:hAnsiTheme="minorEastAsia"/>
          <w:sz w:val="24"/>
          <w:highlight w:val="none"/>
        </w:rPr>
        <w:t>6</w:t>
      </w:r>
      <w:r>
        <w:rPr>
          <w:rFonts w:hint="eastAsia" w:asciiTheme="minorEastAsia" w:hAnsiTheme="minorEastAsia"/>
          <w:sz w:val="24"/>
          <w:highlight w:val="none"/>
        </w:rPr>
        <w:t>、评分细则</w:t>
      </w:r>
    </w:p>
    <w:p>
      <w:pPr>
        <w:pStyle w:val="15"/>
        <w:spacing w:line="360" w:lineRule="auto"/>
        <w:ind w:firstLine="480"/>
        <w:jc w:val="center"/>
        <w:rPr>
          <w:rFonts w:asciiTheme="minorEastAsia" w:hAnsiTheme="minorEastAsia"/>
          <w:sz w:val="24"/>
          <w:highlight w:val="none"/>
        </w:rPr>
      </w:pPr>
    </w:p>
    <w:p>
      <w:pPr>
        <w:pStyle w:val="15"/>
        <w:spacing w:line="360" w:lineRule="auto"/>
        <w:ind w:firstLine="480"/>
        <w:jc w:val="center"/>
        <w:rPr>
          <w:rFonts w:hint="eastAsia" w:asciiTheme="minorEastAsia" w:hAnsiTheme="minorEastAsia" w:eastAsiaTheme="minorEastAsia"/>
          <w:sz w:val="24"/>
          <w:highlight w:val="none"/>
          <w:lang w:eastAsia="zh-CN"/>
        </w:rPr>
      </w:pPr>
      <w:r>
        <w:rPr>
          <w:rFonts w:hint="eastAsia" w:asciiTheme="minorEastAsia" w:hAnsiTheme="minorEastAsia"/>
          <w:sz w:val="24"/>
          <w:highlight w:val="none"/>
        </w:rPr>
        <w:t>采购人：</w:t>
      </w:r>
      <w:r>
        <w:rPr>
          <w:rFonts w:hint="eastAsia" w:asciiTheme="minorEastAsia" w:hAnsiTheme="minorEastAsia"/>
          <w:sz w:val="24"/>
          <w:highlight w:val="none"/>
          <w:lang w:eastAsia="zh-CN"/>
        </w:rPr>
        <w:t>广州城投综合能源投资经营管理有限公司</w:t>
      </w:r>
    </w:p>
    <w:p>
      <w:pPr>
        <w:pStyle w:val="15"/>
        <w:spacing w:line="360" w:lineRule="auto"/>
        <w:ind w:right="960" w:firstLine="4260" w:firstLineChars="1775"/>
        <w:rPr>
          <w:rFonts w:asciiTheme="minorEastAsia" w:hAnsiTheme="minorEastAsia"/>
          <w:sz w:val="24"/>
          <w:highlight w:val="none"/>
        </w:rPr>
      </w:pPr>
      <w:r>
        <w:rPr>
          <w:rFonts w:hint="eastAsia" w:asciiTheme="minorEastAsia" w:hAnsiTheme="minorEastAsia"/>
          <w:sz w:val="24"/>
          <w:highlight w:val="none"/>
        </w:rPr>
        <w:t>202</w:t>
      </w:r>
      <w:r>
        <w:rPr>
          <w:rFonts w:hint="eastAsia" w:asciiTheme="minorEastAsia" w:hAnsiTheme="minorEastAsia"/>
          <w:sz w:val="24"/>
          <w:highlight w:val="none"/>
          <w:lang w:val="en-US" w:eastAsia="zh-CN"/>
        </w:rPr>
        <w:t>3</w:t>
      </w:r>
      <w:r>
        <w:rPr>
          <w:rFonts w:hint="eastAsia" w:asciiTheme="minorEastAsia" w:hAnsiTheme="minorEastAsia"/>
          <w:sz w:val="24"/>
          <w:highlight w:val="none"/>
        </w:rPr>
        <w:t>年</w:t>
      </w:r>
      <w:r>
        <w:rPr>
          <w:rFonts w:hint="eastAsia" w:asciiTheme="minorEastAsia" w:hAnsiTheme="minorEastAsia"/>
          <w:sz w:val="24"/>
          <w:highlight w:val="none"/>
          <w:lang w:val="en-US" w:eastAsia="zh-CN"/>
        </w:rPr>
        <w:t xml:space="preserve">11 </w:t>
      </w:r>
      <w:r>
        <w:rPr>
          <w:rFonts w:hint="eastAsia" w:asciiTheme="minorEastAsia" w:hAnsiTheme="minorEastAsia"/>
          <w:sz w:val="24"/>
          <w:highlight w:val="none"/>
        </w:rPr>
        <w:t>月</w:t>
      </w:r>
      <w:r>
        <w:rPr>
          <w:rFonts w:hint="eastAsia" w:asciiTheme="minorEastAsia" w:hAnsiTheme="minorEastAsia"/>
          <w:sz w:val="24"/>
          <w:highlight w:val="none"/>
          <w:lang w:val="en-US" w:eastAsia="zh-CN"/>
        </w:rPr>
        <w:t>24</w:t>
      </w:r>
      <w:bookmarkStart w:id="5" w:name="_GoBack"/>
      <w:bookmarkEnd w:id="5"/>
      <w:r>
        <w:rPr>
          <w:rFonts w:hint="eastAsia" w:asciiTheme="minorEastAsia" w:hAnsiTheme="minorEastAsia"/>
          <w:sz w:val="24"/>
          <w:highlight w:val="none"/>
        </w:rPr>
        <w:t>日</w:t>
      </w:r>
    </w:p>
    <w:p>
      <w:pPr>
        <w:widowControl/>
        <w:jc w:val="left"/>
        <w:rPr>
          <w:highlight w:val="none"/>
        </w:rPr>
      </w:pPr>
    </w:p>
    <w:p>
      <w:pPr>
        <w:widowControl/>
        <w:jc w:val="left"/>
        <w:rPr>
          <w:highlight w:val="none"/>
        </w:rPr>
      </w:pPr>
      <w:r>
        <w:rPr>
          <w:rFonts w:ascii="宋体" w:hAnsi="宋体"/>
          <w:sz w:val="32"/>
          <w:highlight w:val="none"/>
        </w:rPr>
        <w:br w:type="page"/>
      </w:r>
    </w:p>
    <w:p>
      <w:pPr>
        <w:pStyle w:val="18"/>
        <w:widowControl/>
        <w:spacing w:line="360" w:lineRule="auto"/>
        <w:ind w:firstLine="480"/>
        <w:rPr>
          <w:rFonts w:cs="仿宋" w:asciiTheme="minorEastAsia" w:hAnsiTheme="minorEastAsia"/>
          <w:sz w:val="24"/>
          <w:highlight w:val="none"/>
        </w:rPr>
        <w:sectPr>
          <w:pgSz w:w="11906" w:h="16838"/>
          <w:pgMar w:top="1440" w:right="1800" w:bottom="1440" w:left="1800" w:header="851" w:footer="850" w:gutter="0"/>
          <w:cols w:space="720" w:num="1"/>
          <w:docGrid w:linePitch="312" w:charSpace="0"/>
        </w:sectPr>
      </w:pPr>
    </w:p>
    <w:p>
      <w:pPr>
        <w:widowControl/>
        <w:jc w:val="left"/>
        <w:rPr>
          <w:rFonts w:hAnsi="宋体"/>
          <w:highlight w:val="none"/>
        </w:rPr>
      </w:pPr>
      <w:r>
        <w:rPr>
          <w:rFonts w:hint="eastAsia" w:ascii="宋体" w:hAnsi="宋体"/>
          <w:sz w:val="32"/>
          <w:highlight w:val="none"/>
        </w:rPr>
        <w:t>附件</w:t>
      </w:r>
      <w:r>
        <w:rPr>
          <w:rFonts w:ascii="宋体" w:hAnsi="宋体"/>
          <w:sz w:val="32"/>
          <w:highlight w:val="none"/>
        </w:rPr>
        <w:t>1</w:t>
      </w:r>
    </w:p>
    <w:p>
      <w:pPr>
        <w:spacing w:line="360" w:lineRule="auto"/>
        <w:jc w:val="center"/>
        <w:rPr>
          <w:rFonts w:ascii="宋体" w:hAnsi="宋体"/>
          <w:sz w:val="32"/>
          <w:highlight w:val="none"/>
        </w:rPr>
      </w:pPr>
      <w:r>
        <w:rPr>
          <w:rFonts w:hint="eastAsia" w:ascii="宋体" w:hAnsi="宋体"/>
          <w:sz w:val="32"/>
          <w:highlight w:val="none"/>
        </w:rPr>
        <w:t>报价一览表</w:t>
      </w:r>
    </w:p>
    <w:p>
      <w:pPr>
        <w:widowControl/>
        <w:spacing w:before="156" w:beforeLines="50" w:after="156" w:afterLines="50" w:line="360" w:lineRule="auto"/>
        <w:rPr>
          <w:rFonts w:cs="仿宋" w:asciiTheme="minorEastAsia" w:hAnsiTheme="minorEastAsia"/>
          <w:bCs/>
          <w:sz w:val="24"/>
          <w:highlight w:val="none"/>
        </w:rPr>
      </w:pPr>
      <w:r>
        <w:rPr>
          <w:rFonts w:hint="eastAsia" w:ascii="宋体" w:hAnsi="宋体"/>
          <w:highlight w:val="none"/>
        </w:rPr>
        <w:t>项目名称202</w:t>
      </w:r>
      <w:r>
        <w:rPr>
          <w:rFonts w:hint="eastAsia" w:ascii="宋体" w:hAnsi="宋体"/>
          <w:highlight w:val="none"/>
          <w:lang w:val="en-US" w:eastAsia="zh-CN"/>
        </w:rPr>
        <w:t>4</w:t>
      </w:r>
      <w:r>
        <w:rPr>
          <w:rFonts w:hint="eastAsia" w:ascii="宋体" w:hAnsi="宋体"/>
          <w:highlight w:val="none"/>
        </w:rPr>
        <w:t>年度市场化电量采购</w:t>
      </w:r>
    </w:p>
    <w:tbl>
      <w:tblPr>
        <w:tblStyle w:val="10"/>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24"/>
        <w:gridCol w:w="2410"/>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04" w:type="dxa"/>
            <w:vAlign w:val="center"/>
          </w:tcPr>
          <w:p>
            <w:pPr>
              <w:spacing w:line="360" w:lineRule="auto"/>
              <w:jc w:val="center"/>
              <w:rPr>
                <w:rFonts w:hAnsi="宋体"/>
                <w:bCs/>
                <w:sz w:val="24"/>
                <w:highlight w:val="none"/>
              </w:rPr>
            </w:pPr>
            <w:r>
              <w:rPr>
                <w:rFonts w:hint="eastAsia" w:hAnsi="宋体"/>
                <w:bCs/>
                <w:sz w:val="24"/>
                <w:highlight w:val="none"/>
              </w:rPr>
              <w:t>序号</w:t>
            </w:r>
          </w:p>
        </w:tc>
        <w:tc>
          <w:tcPr>
            <w:tcW w:w="1924" w:type="dxa"/>
            <w:vAlign w:val="center"/>
          </w:tcPr>
          <w:p>
            <w:pPr>
              <w:spacing w:line="360" w:lineRule="auto"/>
              <w:jc w:val="center"/>
              <w:rPr>
                <w:rFonts w:hAnsi="宋体"/>
                <w:bCs/>
                <w:sz w:val="24"/>
                <w:highlight w:val="none"/>
              </w:rPr>
            </w:pPr>
            <w:r>
              <w:rPr>
                <w:rFonts w:hint="eastAsia" w:hAnsi="宋体"/>
                <w:bCs/>
                <w:sz w:val="24"/>
                <w:highlight w:val="none"/>
              </w:rPr>
              <w:t>项目名称</w:t>
            </w:r>
          </w:p>
        </w:tc>
        <w:tc>
          <w:tcPr>
            <w:tcW w:w="6594" w:type="dxa"/>
            <w:gridSpan w:val="2"/>
            <w:vAlign w:val="center"/>
          </w:tcPr>
          <w:p>
            <w:pPr>
              <w:spacing w:line="360" w:lineRule="auto"/>
              <w:jc w:val="center"/>
              <w:rPr>
                <w:rFonts w:hAnsi="宋体"/>
                <w:bCs/>
                <w:sz w:val="24"/>
                <w:highlight w:val="none"/>
              </w:rPr>
            </w:pPr>
            <w:r>
              <w:rPr>
                <w:rFonts w:hint="eastAsia" w:hAnsi="宋体"/>
                <w:bCs/>
                <w:sz w:val="24"/>
                <w:highlight w:val="none"/>
              </w:rPr>
              <w:t>投标价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04" w:type="dxa"/>
            <w:vAlign w:val="center"/>
          </w:tcPr>
          <w:p>
            <w:pPr>
              <w:spacing w:line="360" w:lineRule="auto"/>
              <w:jc w:val="center"/>
              <w:rPr>
                <w:rFonts w:hAnsi="宋体"/>
                <w:sz w:val="24"/>
                <w:highlight w:val="none"/>
              </w:rPr>
            </w:pPr>
            <w:r>
              <w:rPr>
                <w:rFonts w:hint="eastAsia" w:hAnsi="宋体"/>
                <w:sz w:val="24"/>
                <w:highlight w:val="none"/>
              </w:rPr>
              <w:t>1</w:t>
            </w:r>
          </w:p>
        </w:tc>
        <w:tc>
          <w:tcPr>
            <w:tcW w:w="1924" w:type="dxa"/>
            <w:vAlign w:val="center"/>
          </w:tcPr>
          <w:p>
            <w:pPr>
              <w:spacing w:line="360" w:lineRule="auto"/>
              <w:jc w:val="center"/>
              <w:rPr>
                <w:rFonts w:hAnsi="宋体"/>
                <w:sz w:val="24"/>
                <w:highlight w:val="none"/>
              </w:rPr>
            </w:pPr>
            <w:r>
              <w:rPr>
                <w:rFonts w:hint="eastAsia" w:ascii="宋体" w:hAnsi="宋体" w:eastAsia="宋体" w:cs="宋体"/>
                <w:sz w:val="24"/>
                <w:highlight w:val="none"/>
              </w:rPr>
              <w:t>平段电能量绝对价格</w:t>
            </w:r>
            <w:r>
              <w:rPr>
                <w:rFonts w:hint="eastAsia" w:hAnsi="宋体"/>
                <w:sz w:val="24"/>
                <w:highlight w:val="none"/>
              </w:rPr>
              <w:t>（含税）</w:t>
            </w:r>
          </w:p>
        </w:tc>
        <w:tc>
          <w:tcPr>
            <w:tcW w:w="6594" w:type="dxa"/>
            <w:gridSpan w:val="2"/>
            <w:vAlign w:val="center"/>
          </w:tcPr>
          <w:p>
            <w:pPr>
              <w:spacing w:line="360" w:lineRule="auto"/>
              <w:rPr>
                <w:rFonts w:hAnsi="宋体"/>
                <w:sz w:val="24"/>
                <w:highlight w:val="none"/>
              </w:rPr>
            </w:pPr>
            <w:r>
              <w:rPr>
                <w:rFonts w:hint="eastAsia" w:ascii="宋体" w:hAnsi="宋体"/>
                <w:sz w:val="24"/>
                <w:highlight w:val="none"/>
              </w:rPr>
              <w:t>大写</w:t>
            </w:r>
            <w:r>
              <w:rPr>
                <w:rFonts w:hint="eastAsia" w:hAnsi="宋体"/>
                <w:sz w:val="24"/>
                <w:highlight w:val="none"/>
              </w:rPr>
              <w:t>：</w:t>
            </w:r>
            <w:r>
              <w:rPr>
                <w:rFonts w:hint="eastAsia" w:hAnsi="宋体"/>
                <w:sz w:val="24"/>
                <w:highlight w:val="none"/>
                <w:u w:val="single"/>
              </w:rPr>
              <w:t xml:space="preserve"> </w:t>
            </w:r>
            <w:r>
              <w:rPr>
                <w:rFonts w:hAnsi="宋体"/>
                <w:sz w:val="24"/>
                <w:highlight w:val="none"/>
                <w:u w:val="single"/>
              </w:rPr>
              <w:t xml:space="preserve">                 </w:t>
            </w:r>
            <w:r>
              <w:rPr>
                <w:rFonts w:hAnsi="宋体"/>
                <w:sz w:val="24"/>
                <w:highlight w:val="none"/>
              </w:rPr>
              <w:t xml:space="preserve"> </w:t>
            </w:r>
            <w:r>
              <w:rPr>
                <w:rFonts w:hint="eastAsia" w:hAnsi="宋体"/>
                <w:sz w:val="24"/>
                <w:highlight w:val="none"/>
              </w:rPr>
              <w:t>元/千瓦时</w:t>
            </w:r>
            <w:r>
              <w:rPr>
                <w:rFonts w:hAnsi="宋体"/>
                <w:sz w:val="24"/>
                <w:highlight w:val="none"/>
              </w:rPr>
              <w:t xml:space="preserve">    </w:t>
            </w:r>
          </w:p>
          <w:p>
            <w:pPr>
              <w:spacing w:line="360" w:lineRule="auto"/>
              <w:rPr>
                <w:rFonts w:hAnsi="宋体"/>
                <w:sz w:val="24"/>
                <w:highlight w:val="none"/>
              </w:rPr>
            </w:pPr>
            <w:r>
              <w:rPr>
                <w:rFonts w:hint="eastAsia" w:hAnsi="宋体"/>
                <w:sz w:val="24"/>
                <w:highlight w:val="none"/>
              </w:rPr>
              <w:t>小写：</w:t>
            </w:r>
            <w:r>
              <w:rPr>
                <w:rFonts w:hint="eastAsia" w:hAnsi="宋体"/>
                <w:sz w:val="24"/>
                <w:highlight w:val="none"/>
                <w:u w:val="single"/>
              </w:rPr>
              <w:t xml:space="preserve"> </w:t>
            </w:r>
            <w:r>
              <w:rPr>
                <w:rFonts w:hAnsi="宋体"/>
                <w:sz w:val="24"/>
                <w:highlight w:val="none"/>
                <w:u w:val="single"/>
              </w:rPr>
              <w:t xml:space="preserve">                 </w:t>
            </w:r>
            <w:r>
              <w:rPr>
                <w:rFonts w:hAnsi="宋体"/>
                <w:sz w:val="24"/>
                <w:highlight w:val="none"/>
              </w:rPr>
              <w:t xml:space="preserve"> </w:t>
            </w:r>
            <w:r>
              <w:rPr>
                <w:rFonts w:hint="eastAsia" w:hAnsi="宋体"/>
                <w:sz w:val="24"/>
                <w:highlight w:val="none"/>
              </w:rPr>
              <w:t>元/千瓦时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04" w:type="dxa"/>
            <w:vAlign w:val="center"/>
          </w:tcPr>
          <w:p>
            <w:pPr>
              <w:spacing w:line="360" w:lineRule="auto"/>
              <w:jc w:val="center"/>
              <w:rPr>
                <w:rFonts w:hAnsi="宋体"/>
                <w:sz w:val="24"/>
                <w:highlight w:val="none"/>
              </w:rPr>
            </w:pPr>
            <w:r>
              <w:rPr>
                <w:rFonts w:hint="eastAsia" w:hAnsi="宋体"/>
                <w:sz w:val="24"/>
                <w:highlight w:val="none"/>
              </w:rPr>
              <w:t>2</w:t>
            </w:r>
          </w:p>
        </w:tc>
        <w:tc>
          <w:tcPr>
            <w:tcW w:w="1924" w:type="dxa"/>
            <w:vAlign w:val="center"/>
          </w:tcPr>
          <w:p>
            <w:pPr>
              <w:spacing w:line="360" w:lineRule="auto"/>
              <w:jc w:val="center"/>
              <w:rPr>
                <w:rFonts w:ascii="宋体" w:hAnsi="宋体" w:eastAsia="宋体" w:cs="宋体"/>
                <w:sz w:val="24"/>
                <w:highlight w:val="none"/>
              </w:rPr>
            </w:pPr>
            <w:r>
              <w:rPr>
                <w:rFonts w:hint="eastAsia"/>
                <w:sz w:val="24"/>
                <w:highlight w:val="none"/>
              </w:rPr>
              <w:t>按实际用电量 收取服务费</w:t>
            </w:r>
          </w:p>
        </w:tc>
        <w:tc>
          <w:tcPr>
            <w:tcW w:w="6594" w:type="dxa"/>
            <w:gridSpan w:val="2"/>
            <w:vAlign w:val="center"/>
          </w:tcPr>
          <w:p>
            <w:pPr>
              <w:spacing w:line="360" w:lineRule="auto"/>
              <w:rPr>
                <w:rFonts w:hAnsi="宋体"/>
                <w:sz w:val="24"/>
                <w:highlight w:val="none"/>
              </w:rPr>
            </w:pPr>
            <w:r>
              <w:rPr>
                <w:rFonts w:hint="eastAsia" w:ascii="宋体" w:hAnsi="宋体"/>
                <w:sz w:val="24"/>
                <w:highlight w:val="none"/>
              </w:rPr>
              <w:t>大写</w:t>
            </w:r>
            <w:r>
              <w:rPr>
                <w:rFonts w:hint="eastAsia" w:hAnsi="宋体"/>
                <w:sz w:val="24"/>
                <w:highlight w:val="none"/>
              </w:rPr>
              <w:t>：</w:t>
            </w:r>
            <w:r>
              <w:rPr>
                <w:rFonts w:hint="eastAsia" w:hAnsi="宋体"/>
                <w:sz w:val="24"/>
                <w:highlight w:val="none"/>
                <w:u w:val="single"/>
              </w:rPr>
              <w:t xml:space="preserve"> </w:t>
            </w:r>
            <w:r>
              <w:rPr>
                <w:rFonts w:hAnsi="宋体"/>
                <w:sz w:val="24"/>
                <w:highlight w:val="none"/>
                <w:u w:val="single"/>
              </w:rPr>
              <w:t xml:space="preserve">                 </w:t>
            </w:r>
            <w:r>
              <w:rPr>
                <w:rFonts w:hAnsi="宋体"/>
                <w:sz w:val="24"/>
                <w:highlight w:val="none"/>
              </w:rPr>
              <w:t xml:space="preserve"> </w:t>
            </w:r>
            <w:r>
              <w:rPr>
                <w:rFonts w:hint="eastAsia" w:hAnsi="宋体"/>
                <w:sz w:val="24"/>
                <w:highlight w:val="none"/>
              </w:rPr>
              <w:t>元/千瓦时</w:t>
            </w:r>
            <w:r>
              <w:rPr>
                <w:rFonts w:hAnsi="宋体"/>
                <w:sz w:val="24"/>
                <w:highlight w:val="none"/>
              </w:rPr>
              <w:t xml:space="preserve">    </w:t>
            </w:r>
          </w:p>
          <w:p>
            <w:pPr>
              <w:spacing w:line="360" w:lineRule="auto"/>
              <w:rPr>
                <w:rFonts w:ascii="宋体" w:hAnsi="宋体"/>
                <w:sz w:val="24"/>
                <w:highlight w:val="none"/>
              </w:rPr>
            </w:pPr>
            <w:r>
              <w:rPr>
                <w:rFonts w:hint="eastAsia" w:hAnsi="宋体"/>
                <w:sz w:val="24"/>
                <w:highlight w:val="none"/>
              </w:rPr>
              <w:t>小写：</w:t>
            </w:r>
            <w:r>
              <w:rPr>
                <w:rFonts w:hint="eastAsia" w:hAnsi="宋体"/>
                <w:sz w:val="24"/>
                <w:highlight w:val="none"/>
                <w:u w:val="single"/>
              </w:rPr>
              <w:t xml:space="preserve"> </w:t>
            </w:r>
            <w:r>
              <w:rPr>
                <w:rFonts w:hAnsi="宋体"/>
                <w:sz w:val="24"/>
                <w:highlight w:val="none"/>
                <w:u w:val="single"/>
              </w:rPr>
              <w:t xml:space="preserve">                 </w:t>
            </w:r>
            <w:r>
              <w:rPr>
                <w:rFonts w:hAnsi="宋体"/>
                <w:sz w:val="24"/>
                <w:highlight w:val="none"/>
              </w:rPr>
              <w:t xml:space="preserve"> </w:t>
            </w:r>
            <w:r>
              <w:rPr>
                <w:rFonts w:hint="eastAsia" w:hAnsi="宋体"/>
                <w:sz w:val="24"/>
                <w:highlight w:val="none"/>
              </w:rPr>
              <w:t>元/千瓦时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04" w:type="dxa"/>
            <w:vAlign w:val="center"/>
          </w:tcPr>
          <w:p>
            <w:pPr>
              <w:spacing w:line="360" w:lineRule="auto"/>
              <w:jc w:val="center"/>
              <w:rPr>
                <w:rFonts w:hAnsi="宋体"/>
                <w:sz w:val="24"/>
                <w:highlight w:val="none"/>
              </w:rPr>
            </w:pPr>
            <w:r>
              <w:rPr>
                <w:rFonts w:hint="eastAsia" w:hAnsi="宋体"/>
                <w:sz w:val="24"/>
                <w:highlight w:val="none"/>
              </w:rPr>
              <w:t>3</w:t>
            </w:r>
          </w:p>
        </w:tc>
        <w:tc>
          <w:tcPr>
            <w:tcW w:w="1924" w:type="dxa"/>
            <w:vAlign w:val="center"/>
          </w:tcPr>
          <w:p>
            <w:pPr>
              <w:spacing w:line="360" w:lineRule="auto"/>
              <w:jc w:val="center"/>
              <w:rPr>
                <w:sz w:val="24"/>
                <w:highlight w:val="none"/>
              </w:rPr>
            </w:pPr>
            <w:r>
              <w:rPr>
                <w:rFonts w:hint="eastAsia"/>
                <w:sz w:val="24"/>
                <w:highlight w:val="none"/>
              </w:rPr>
              <w:t>联动价格方案</w:t>
            </w:r>
          </w:p>
        </w:tc>
        <w:tc>
          <w:tcPr>
            <w:tcW w:w="6594" w:type="dxa"/>
            <w:gridSpan w:val="2"/>
            <w:vAlign w:val="center"/>
          </w:tcPr>
          <w:p>
            <w:pPr>
              <w:spacing w:line="360" w:lineRule="auto"/>
              <w:rPr>
                <w:sz w:val="24"/>
                <w:highlight w:val="none"/>
              </w:rPr>
            </w:pPr>
            <w:r>
              <w:rPr>
                <w:rFonts w:hint="eastAsia" w:asciiTheme="minorEastAsia" w:hAnsiTheme="minorEastAsia"/>
                <w:sz w:val="24"/>
                <w:highlight w:val="none"/>
              </w:rPr>
              <w:t>□</w:t>
            </w:r>
            <w:r>
              <w:rPr>
                <w:rFonts w:hint="eastAsia"/>
                <w:sz w:val="22"/>
                <w:szCs w:val="22"/>
                <w:highlight w:val="none"/>
              </w:rPr>
              <w:t>5</w:t>
            </w:r>
            <w:r>
              <w:rPr>
                <w:sz w:val="22"/>
                <w:szCs w:val="22"/>
                <w:highlight w:val="none"/>
              </w:rPr>
              <w:t>%</w:t>
            </w:r>
            <w:r>
              <w:rPr>
                <w:rFonts w:hint="eastAsia"/>
                <w:sz w:val="22"/>
                <w:szCs w:val="22"/>
                <w:highlight w:val="none"/>
              </w:rPr>
              <w:t>参照</w:t>
            </w:r>
            <w:r>
              <w:rPr>
                <w:rFonts w:hint="eastAsia"/>
                <w:sz w:val="22"/>
                <w:szCs w:val="22"/>
                <w:highlight w:val="none"/>
                <w:u w:val="single"/>
              </w:rPr>
              <w:t>月度中长期交易综合价</w:t>
            </w:r>
            <w:r>
              <w:rPr>
                <w:rFonts w:hint="eastAsia"/>
                <w:sz w:val="22"/>
                <w:szCs w:val="22"/>
                <w:highlight w:val="none"/>
              </w:rPr>
              <w:t>；5</w:t>
            </w:r>
            <w:r>
              <w:rPr>
                <w:sz w:val="22"/>
                <w:szCs w:val="22"/>
                <w:highlight w:val="none"/>
              </w:rPr>
              <w:t>%</w:t>
            </w:r>
            <w:r>
              <w:rPr>
                <w:rFonts w:hint="eastAsia"/>
                <w:sz w:val="22"/>
                <w:szCs w:val="22"/>
                <w:highlight w:val="none"/>
              </w:rPr>
              <w:t>参照</w:t>
            </w:r>
            <w:r>
              <w:rPr>
                <w:rFonts w:hint="eastAsia"/>
                <w:sz w:val="22"/>
                <w:szCs w:val="22"/>
                <w:highlight w:val="none"/>
                <w:u w:val="single"/>
              </w:rPr>
              <w:t>日前市场月度综合价</w:t>
            </w:r>
            <w:r>
              <w:rPr>
                <w:rFonts w:hint="eastAsia"/>
                <w:sz w:val="22"/>
                <w:szCs w:val="22"/>
                <w:highlight w:val="none"/>
              </w:rPr>
              <w:t>。</w:t>
            </w:r>
          </w:p>
          <w:p>
            <w:pPr>
              <w:spacing w:line="360" w:lineRule="auto"/>
              <w:rPr>
                <w:sz w:val="24"/>
                <w:highlight w:val="none"/>
              </w:rPr>
            </w:pPr>
            <w:r>
              <w:rPr>
                <w:rFonts w:hint="eastAsia" w:asciiTheme="minorEastAsia" w:hAnsiTheme="minorEastAsia"/>
                <w:sz w:val="24"/>
                <w:highlight w:val="none"/>
              </w:rPr>
              <w:t>□其他：</w:t>
            </w:r>
            <w:r>
              <w:rPr>
                <w:rFonts w:hint="eastAsia"/>
                <w:sz w:val="24"/>
                <w:highlight w:val="none"/>
              </w:rPr>
              <w:t>（自拟）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Ansi="宋体"/>
                <w:sz w:val="24"/>
                <w:highlight w:val="none"/>
              </w:rPr>
            </w:pPr>
            <w:r>
              <w:rPr>
                <w:rFonts w:hint="eastAsia" w:hAnsi="宋体"/>
                <w:sz w:val="24"/>
                <w:highlight w:val="none"/>
              </w:rPr>
              <w:t>3</w:t>
            </w:r>
          </w:p>
        </w:tc>
        <w:tc>
          <w:tcPr>
            <w:tcW w:w="1924" w:type="dxa"/>
            <w:vMerge w:val="restart"/>
            <w:vAlign w:val="center"/>
          </w:tcPr>
          <w:p>
            <w:pPr>
              <w:spacing w:line="360" w:lineRule="auto"/>
              <w:jc w:val="center"/>
              <w:rPr>
                <w:rFonts w:hAnsi="宋体"/>
                <w:sz w:val="24"/>
                <w:highlight w:val="none"/>
              </w:rPr>
            </w:pPr>
            <w:r>
              <w:rPr>
                <w:rFonts w:hint="eastAsia" w:hAnsi="宋体"/>
                <w:sz w:val="24"/>
                <w:highlight w:val="none"/>
              </w:rPr>
              <w:t>拟委派的项目</w:t>
            </w:r>
          </w:p>
          <w:p>
            <w:pPr>
              <w:spacing w:line="360" w:lineRule="auto"/>
              <w:jc w:val="center"/>
              <w:rPr>
                <w:rFonts w:hAnsi="宋体"/>
                <w:sz w:val="24"/>
                <w:highlight w:val="none"/>
              </w:rPr>
            </w:pPr>
            <w:r>
              <w:rPr>
                <w:rFonts w:hint="eastAsia" w:hAnsi="宋体"/>
                <w:sz w:val="24"/>
                <w:highlight w:val="none"/>
              </w:rPr>
              <w:t>负责人</w:t>
            </w:r>
          </w:p>
        </w:tc>
        <w:tc>
          <w:tcPr>
            <w:tcW w:w="2410" w:type="dxa"/>
            <w:vAlign w:val="center"/>
          </w:tcPr>
          <w:p>
            <w:pPr>
              <w:spacing w:line="360" w:lineRule="auto"/>
              <w:jc w:val="center"/>
              <w:rPr>
                <w:rFonts w:hAnsi="宋体"/>
                <w:sz w:val="24"/>
                <w:highlight w:val="none"/>
              </w:rPr>
            </w:pPr>
            <w:r>
              <w:rPr>
                <w:rFonts w:hint="eastAsia" w:hAnsi="宋体"/>
                <w:sz w:val="24"/>
                <w:highlight w:val="none"/>
              </w:rPr>
              <w:t>姓名</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主要工作经验</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联系方式</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Ansi="宋体"/>
                <w:sz w:val="24"/>
                <w:highlight w:val="none"/>
              </w:rPr>
            </w:pPr>
            <w:r>
              <w:rPr>
                <w:rFonts w:hint="eastAsia" w:hAnsi="宋体"/>
                <w:sz w:val="24"/>
                <w:highlight w:val="none"/>
              </w:rPr>
              <w:t>4</w:t>
            </w:r>
          </w:p>
        </w:tc>
        <w:tc>
          <w:tcPr>
            <w:tcW w:w="1924" w:type="dxa"/>
            <w:vMerge w:val="restart"/>
            <w:vAlign w:val="center"/>
          </w:tcPr>
          <w:p>
            <w:pPr>
              <w:spacing w:line="360" w:lineRule="auto"/>
              <w:jc w:val="center"/>
              <w:rPr>
                <w:rFonts w:hAnsi="宋体"/>
                <w:sz w:val="24"/>
                <w:highlight w:val="none"/>
              </w:rPr>
            </w:pPr>
            <w:r>
              <w:rPr>
                <w:rFonts w:hint="eastAsia" w:hAnsi="宋体"/>
                <w:sz w:val="24"/>
                <w:highlight w:val="none"/>
              </w:rPr>
              <w:t>拟委派的团队</w:t>
            </w:r>
          </w:p>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姓名</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主要工作经验</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联系方式</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姓名</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主要工作经验</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联系方式</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w:t>
            </w:r>
          </w:p>
        </w:tc>
        <w:tc>
          <w:tcPr>
            <w:tcW w:w="4184" w:type="dxa"/>
            <w:vAlign w:val="center"/>
          </w:tcPr>
          <w:p>
            <w:pPr>
              <w:spacing w:line="360" w:lineRule="auto"/>
              <w:jc w:val="center"/>
              <w:rPr>
                <w:rFonts w:hAnsi="宋体"/>
                <w:sz w:val="24"/>
                <w:highlight w:val="none"/>
              </w:rPr>
            </w:pPr>
          </w:p>
        </w:tc>
      </w:tr>
    </w:tbl>
    <w:p>
      <w:pPr>
        <w:spacing w:line="360" w:lineRule="auto"/>
        <w:ind w:firstLine="440"/>
        <w:rPr>
          <w:rFonts w:hAnsi="宋体"/>
          <w:highlight w:val="none"/>
        </w:rPr>
      </w:pPr>
      <w:r>
        <w:rPr>
          <w:rFonts w:hint="eastAsia" w:hAnsi="宋体"/>
          <w:highlight w:val="none"/>
        </w:rPr>
        <w:t>注：（1）投标总价为人民币报价。</w:t>
      </w:r>
    </w:p>
    <w:p>
      <w:pPr>
        <w:pStyle w:val="15"/>
        <w:spacing w:line="360" w:lineRule="auto"/>
        <w:rPr>
          <w:rFonts w:ascii="宋体" w:hAnsi="宋体"/>
          <w:sz w:val="24"/>
          <w:highlight w:val="none"/>
        </w:rPr>
      </w:pPr>
      <w:r>
        <w:rPr>
          <w:rFonts w:hint="eastAsia" w:hAnsi="宋体"/>
          <w:highlight w:val="none"/>
        </w:rPr>
        <w:t>（2）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w:t>
      </w:r>
    </w:p>
    <w:p>
      <w:pPr>
        <w:tabs>
          <w:tab w:val="left" w:pos="8364"/>
        </w:tabs>
        <w:spacing w:line="360" w:lineRule="auto"/>
        <w:ind w:firstLine="440"/>
        <w:rPr>
          <w:rFonts w:hAnsi="宋体"/>
          <w:highlight w:val="none"/>
        </w:rPr>
      </w:pPr>
      <w:r>
        <w:rPr>
          <w:rFonts w:hint="eastAsia" w:hAnsi="宋体"/>
          <w:highlight w:val="none"/>
        </w:rPr>
        <w:t>（3）若用小写表示的金额和用大写表示的金额不一致，以大写表示的金额为准。</w:t>
      </w:r>
    </w:p>
    <w:p>
      <w:pPr>
        <w:spacing w:before="93" w:beforeLines="30" w:line="400" w:lineRule="exact"/>
        <w:ind w:firstLine="3780" w:firstLineChars="1800"/>
        <w:rPr>
          <w:rFonts w:hAnsi="宋体"/>
          <w:highlight w:val="none"/>
        </w:rPr>
      </w:pPr>
      <w:r>
        <w:rPr>
          <w:rFonts w:hint="eastAsia" w:hAnsi="宋体"/>
          <w:highlight w:val="none"/>
        </w:rPr>
        <w:t>供应商名称（盖章）：</w:t>
      </w:r>
    </w:p>
    <w:p>
      <w:pPr>
        <w:spacing w:before="93" w:beforeLines="30" w:line="400" w:lineRule="exact"/>
        <w:ind w:firstLine="3780" w:firstLineChars="1800"/>
        <w:rPr>
          <w:rFonts w:hAnsi="宋体"/>
          <w:highlight w:val="none"/>
        </w:rPr>
      </w:pPr>
      <w:r>
        <w:rPr>
          <w:rFonts w:hint="eastAsia" w:hAnsi="宋体"/>
          <w:highlight w:val="none"/>
        </w:rPr>
        <w:t>日期：   年  月  日</w:t>
      </w:r>
    </w:p>
    <w:p>
      <w:pPr>
        <w:widowControl/>
        <w:jc w:val="left"/>
        <w:rPr>
          <w:rFonts w:ascii="宋体" w:hAnsi="宋体"/>
          <w:sz w:val="32"/>
          <w:highlight w:val="none"/>
        </w:rPr>
      </w:pPr>
      <w:r>
        <w:rPr>
          <w:rFonts w:hint="eastAsia" w:ascii="宋体" w:hAnsi="宋体"/>
          <w:sz w:val="32"/>
          <w:highlight w:val="none"/>
        </w:rPr>
        <w:t>附件</w:t>
      </w:r>
      <w:r>
        <w:rPr>
          <w:rFonts w:ascii="宋体" w:hAnsi="宋体"/>
          <w:sz w:val="32"/>
          <w:highlight w:val="none"/>
        </w:rPr>
        <w:t>2</w:t>
      </w:r>
    </w:p>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编号：TZ4-23</w:t>
      </w:r>
    </w:p>
    <w:tbl>
      <w:tblPr>
        <w:tblStyle w:val="10"/>
        <w:tblW w:w="9356" w:type="dxa"/>
        <w:tblInd w:w="-34" w:type="dxa"/>
        <w:tblLayout w:type="fixed"/>
        <w:tblCellMar>
          <w:top w:w="0" w:type="dxa"/>
          <w:left w:w="108" w:type="dxa"/>
          <w:bottom w:w="0" w:type="dxa"/>
          <w:right w:w="108" w:type="dxa"/>
        </w:tblCellMar>
      </w:tblPr>
      <w:tblGrid>
        <w:gridCol w:w="981"/>
        <w:gridCol w:w="91"/>
        <w:gridCol w:w="535"/>
        <w:gridCol w:w="95"/>
        <w:gridCol w:w="1417"/>
        <w:gridCol w:w="73"/>
        <w:gridCol w:w="1060"/>
        <w:gridCol w:w="568"/>
        <w:gridCol w:w="172"/>
        <w:gridCol w:w="1180"/>
        <w:gridCol w:w="207"/>
        <w:gridCol w:w="233"/>
        <w:gridCol w:w="236"/>
        <w:gridCol w:w="723"/>
        <w:gridCol w:w="1785"/>
      </w:tblGrid>
      <w:tr>
        <w:tblPrEx>
          <w:tblCellMar>
            <w:top w:w="0" w:type="dxa"/>
            <w:left w:w="108" w:type="dxa"/>
            <w:bottom w:w="0" w:type="dxa"/>
            <w:right w:w="108" w:type="dxa"/>
          </w:tblCellMar>
        </w:tblPrEx>
        <w:trPr>
          <w:trHeight w:val="444" w:hRule="atLeast"/>
        </w:trPr>
        <w:tc>
          <w:tcPr>
            <w:tcW w:w="9356" w:type="dxa"/>
            <w:gridSpan w:val="15"/>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highlight w:val="none"/>
              </w:rPr>
            </w:pPr>
            <w:r>
              <w:rPr>
                <w:rFonts w:hint="eastAsia" w:ascii="黑体" w:hAnsi="黑体" w:eastAsia="黑体" w:cs="宋体"/>
                <w:kern w:val="0"/>
                <w:sz w:val="44"/>
                <w:szCs w:val="44"/>
                <w:highlight w:val="none"/>
              </w:rPr>
              <w:t>供应商调查表</w:t>
            </w:r>
          </w:p>
        </w:tc>
      </w:tr>
      <w:tr>
        <w:tblPrEx>
          <w:tblCellMar>
            <w:top w:w="0" w:type="dxa"/>
            <w:left w:w="108" w:type="dxa"/>
            <w:bottom w:w="0" w:type="dxa"/>
            <w:right w:w="108" w:type="dxa"/>
          </w:tblCellMar>
        </w:tblPrEx>
        <w:trPr>
          <w:trHeight w:val="399" w:hRule="atLeast"/>
        </w:trPr>
        <w:tc>
          <w:tcPr>
            <w:tcW w:w="9356" w:type="dxa"/>
            <w:gridSpan w:val="15"/>
            <w:tcBorders>
              <w:top w:val="nil"/>
              <w:left w:val="nil"/>
              <w:bottom w:val="single" w:color="auto" w:sz="8" w:space="0"/>
              <w:right w:val="nil"/>
            </w:tcBorders>
            <w:shd w:val="clear" w:color="auto" w:fill="auto"/>
            <w:vAlign w:val="center"/>
          </w:tcPr>
          <w:p>
            <w:pPr>
              <w:spacing w:line="360" w:lineRule="auto"/>
              <w:ind w:left="1200" w:hanging="1200" w:hangingChars="500"/>
              <w:rPr>
                <w:rFonts w:hAnsi="宋体"/>
                <w:szCs w:val="21"/>
                <w:highlight w:val="none"/>
              </w:rPr>
            </w:pPr>
            <w:r>
              <w:rPr>
                <w:rFonts w:hint="eastAsia" w:ascii="宋体" w:hAnsi="宋体" w:cs="宋体"/>
                <w:kern w:val="0"/>
                <w:sz w:val="24"/>
                <w:szCs w:val="28"/>
                <w:highlight w:val="none"/>
              </w:rPr>
              <w:t>项目名称：</w:t>
            </w:r>
            <w:r>
              <w:rPr>
                <w:rFonts w:hint="eastAsia" w:ascii="宋体" w:hAnsi="宋体" w:eastAsia="宋体" w:cs="宋体"/>
                <w:sz w:val="24"/>
                <w:highlight w:val="none"/>
                <w:u w:val="single"/>
              </w:rPr>
              <w:t>202</w:t>
            </w:r>
            <w:r>
              <w:rPr>
                <w:rFonts w:hint="eastAsia" w:ascii="宋体" w:hAnsi="宋体" w:eastAsia="宋体" w:cs="宋体"/>
                <w:sz w:val="24"/>
                <w:highlight w:val="none"/>
                <w:u w:val="single"/>
                <w:lang w:val="en-US" w:eastAsia="zh-CN"/>
              </w:rPr>
              <w:t>4</w:t>
            </w:r>
            <w:r>
              <w:rPr>
                <w:rFonts w:hint="eastAsia" w:ascii="宋体" w:hAnsi="宋体" w:eastAsia="宋体" w:cs="宋体"/>
                <w:sz w:val="24"/>
                <w:highlight w:val="none"/>
                <w:u w:val="single"/>
              </w:rPr>
              <w:t>年度市场化电量采购</w:t>
            </w:r>
          </w:p>
        </w:tc>
      </w:tr>
      <w:tr>
        <w:tblPrEx>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xml:space="preserve">供应商名称 </w:t>
            </w:r>
          </w:p>
        </w:tc>
        <w:tc>
          <w:tcPr>
            <w:tcW w:w="467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详细地址</w:t>
            </w:r>
          </w:p>
        </w:tc>
        <w:tc>
          <w:tcPr>
            <w:tcW w:w="467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CellMar>
            <w:top w:w="0" w:type="dxa"/>
            <w:left w:w="108" w:type="dxa"/>
            <w:bottom w:w="0" w:type="dxa"/>
            <w:right w:w="108" w:type="dxa"/>
          </w:tblCellMar>
        </w:tblPrEx>
        <w:trPr>
          <w:trHeight w:val="477"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成立日期</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70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营业执照号码</w:t>
            </w: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固定电话号码</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70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传真号码</w:t>
            </w: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公司类型</w:t>
            </w:r>
          </w:p>
        </w:tc>
        <w:tc>
          <w:tcPr>
            <w:tcW w:w="311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机构性质</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r>
      <w:tr>
        <w:tblPrEx>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项目联系人</w:t>
            </w:r>
          </w:p>
        </w:tc>
        <w:tc>
          <w:tcPr>
            <w:tcW w:w="311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联系电话</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r>
      <w:tr>
        <w:tblPrEx>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经营范围</w:t>
            </w:r>
          </w:p>
        </w:tc>
        <w:tc>
          <w:tcPr>
            <w:tcW w:w="7654" w:type="dxa"/>
            <w:gridSpan w:val="11"/>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highlight w:val="none"/>
              </w:rPr>
            </w:pPr>
          </w:p>
          <w:p>
            <w:pPr>
              <w:widowControl/>
              <w:rPr>
                <w:rFonts w:ascii="宋体" w:hAnsi="宋体" w:cs="宋体"/>
                <w:b/>
                <w:bCs/>
                <w:kern w:val="0"/>
                <w:sz w:val="24"/>
                <w:highlight w:val="none"/>
              </w:rPr>
            </w:pPr>
          </w:p>
          <w:p>
            <w:pPr>
              <w:widowControl/>
              <w:rPr>
                <w:rFonts w:ascii="宋体" w:hAnsi="宋体" w:cs="宋体"/>
                <w:b/>
                <w:bCs/>
                <w:kern w:val="0"/>
                <w:sz w:val="24"/>
                <w:highlight w:val="none"/>
              </w:rPr>
            </w:pPr>
          </w:p>
          <w:p>
            <w:pPr>
              <w:widowControl/>
              <w:rPr>
                <w:rFonts w:ascii="宋体" w:hAnsi="宋体" w:cs="宋体"/>
                <w:b/>
                <w:bCs/>
                <w:kern w:val="0"/>
                <w:sz w:val="24"/>
                <w:highlight w:val="none"/>
              </w:rPr>
            </w:pP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序号</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资质证书（认证项目）名称</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发证机关</w:t>
            </w: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CellMar>
            <w:top w:w="0" w:type="dxa"/>
            <w:left w:w="108" w:type="dxa"/>
            <w:bottom w:w="0" w:type="dxa"/>
            <w:right w:w="108" w:type="dxa"/>
          </w:tblCellMar>
        </w:tblPrEx>
        <w:trPr>
          <w:trHeight w:val="397"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主要服务行业</w:t>
            </w:r>
          </w:p>
        </w:tc>
        <w:tc>
          <w:tcPr>
            <w:tcW w:w="25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212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主要客户</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CellMar>
            <w:top w:w="0" w:type="dxa"/>
            <w:left w:w="108" w:type="dxa"/>
            <w:bottom w:w="0" w:type="dxa"/>
            <w:right w:w="108" w:type="dxa"/>
          </w:tblCellMar>
        </w:tblPrEx>
        <w:trPr>
          <w:trHeight w:val="397" w:hRule="atLeast"/>
        </w:trPr>
        <w:tc>
          <w:tcPr>
            <w:tcW w:w="9356" w:type="dxa"/>
            <w:gridSpan w:val="1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近三年类似业绩</w:t>
            </w: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序号</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服务单位</w:t>
            </w: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项目内容</w:t>
            </w: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highlight w:val="none"/>
              </w:rPr>
            </w:pPr>
          </w:p>
        </w:tc>
      </w:tr>
      <w:tr>
        <w:tblPrEx>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53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585" w:type="dxa"/>
            <w:gridSpan w:val="3"/>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740"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440"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r>
      <w:tr>
        <w:tblPrEx>
          <w:tblCellMar>
            <w:top w:w="0" w:type="dxa"/>
            <w:left w:w="108" w:type="dxa"/>
            <w:bottom w:w="0" w:type="dxa"/>
            <w:right w:w="108" w:type="dxa"/>
          </w:tblCellMar>
        </w:tblPrEx>
        <w:trPr>
          <w:trHeight w:val="399" w:hRule="atLeast"/>
        </w:trPr>
        <w:tc>
          <w:tcPr>
            <w:tcW w:w="9356" w:type="dxa"/>
            <w:gridSpan w:val="15"/>
            <w:tcBorders>
              <w:top w:val="nil"/>
              <w:left w:val="nil"/>
              <w:bottom w:val="nil"/>
              <w:right w:val="nil"/>
            </w:tcBorders>
            <w:shd w:val="clear" w:color="auto" w:fill="auto"/>
            <w:vAlign w:val="center"/>
          </w:tcPr>
          <w:p>
            <w:pPr>
              <w:spacing w:line="400" w:lineRule="exact"/>
              <w:ind w:firstLine="200"/>
              <w:rPr>
                <w:sz w:val="28"/>
                <w:szCs w:val="28"/>
                <w:highlight w:val="none"/>
              </w:rPr>
            </w:pPr>
          </w:p>
          <w:p>
            <w:pPr>
              <w:spacing w:line="400" w:lineRule="exact"/>
              <w:rPr>
                <w:sz w:val="28"/>
                <w:szCs w:val="28"/>
                <w:highlight w:val="none"/>
              </w:rPr>
            </w:pPr>
            <w:r>
              <w:rPr>
                <w:rFonts w:hint="eastAsia"/>
                <w:sz w:val="28"/>
                <w:szCs w:val="28"/>
                <w:highlight w:val="none"/>
              </w:rPr>
              <w:t>供应商单位（盖章）：</w:t>
            </w:r>
          </w:p>
        </w:tc>
      </w:tr>
    </w:tbl>
    <w:p>
      <w:pPr>
        <w:spacing w:line="400" w:lineRule="exact"/>
        <w:ind w:left="560" w:hanging="560" w:hangingChars="200"/>
        <w:rPr>
          <w:sz w:val="28"/>
          <w:szCs w:val="28"/>
          <w:highlight w:val="none"/>
        </w:rPr>
      </w:pPr>
    </w:p>
    <w:p>
      <w:pPr>
        <w:spacing w:line="400" w:lineRule="exact"/>
        <w:ind w:left="560" w:hanging="560" w:hangingChars="200"/>
        <w:rPr>
          <w:sz w:val="28"/>
          <w:szCs w:val="28"/>
          <w:highlight w:val="none"/>
        </w:rPr>
      </w:pPr>
      <w:r>
        <w:rPr>
          <w:rFonts w:hint="eastAsia"/>
          <w:sz w:val="28"/>
          <w:szCs w:val="28"/>
          <w:highlight w:val="none"/>
        </w:rPr>
        <w:t>日期：202</w:t>
      </w:r>
      <w:r>
        <w:rPr>
          <w:rFonts w:hint="eastAsia"/>
          <w:sz w:val="28"/>
          <w:szCs w:val="28"/>
          <w:highlight w:val="none"/>
          <w:lang w:val="en-US" w:eastAsia="zh-CN"/>
        </w:rPr>
        <w:t>3</w:t>
      </w:r>
      <w:r>
        <w:rPr>
          <w:rFonts w:hint="eastAsia"/>
          <w:sz w:val="28"/>
          <w:szCs w:val="28"/>
          <w:highlight w:val="none"/>
        </w:rPr>
        <w:t>年   月   日</w:t>
      </w:r>
    </w:p>
    <w:p>
      <w:pPr>
        <w:widowControl/>
        <w:jc w:val="left"/>
        <w:rPr>
          <w:rFonts w:ascii="宋体" w:hAnsi="宋体"/>
          <w:sz w:val="32"/>
          <w:highlight w:val="none"/>
        </w:rPr>
      </w:pPr>
      <w:r>
        <w:rPr>
          <w:sz w:val="28"/>
          <w:szCs w:val="28"/>
          <w:highlight w:val="none"/>
        </w:rPr>
        <w:br w:type="page"/>
      </w:r>
      <w:r>
        <w:rPr>
          <w:rFonts w:hint="eastAsia" w:ascii="宋体" w:hAnsi="宋体"/>
          <w:sz w:val="32"/>
          <w:highlight w:val="none"/>
        </w:rPr>
        <w:t>附件</w:t>
      </w:r>
      <w:r>
        <w:rPr>
          <w:rFonts w:ascii="宋体" w:hAnsi="宋体"/>
          <w:sz w:val="32"/>
          <w:highlight w:val="none"/>
        </w:rPr>
        <w:t>3</w:t>
      </w:r>
    </w:p>
    <w:p>
      <w:pPr>
        <w:spacing w:line="500" w:lineRule="exact"/>
        <w:jc w:val="center"/>
        <w:rPr>
          <w:rFonts w:eastAsia="黑体"/>
          <w:b/>
          <w:bCs/>
          <w:sz w:val="36"/>
          <w:highlight w:val="none"/>
        </w:rPr>
      </w:pPr>
      <w:r>
        <w:rPr>
          <w:rFonts w:hint="eastAsia" w:eastAsia="黑体"/>
          <w:b/>
          <w:bCs/>
          <w:sz w:val="36"/>
          <w:highlight w:val="none"/>
        </w:rPr>
        <w:t>法定代表人证明书</w:t>
      </w:r>
    </w:p>
    <w:p>
      <w:pPr>
        <w:spacing w:line="500" w:lineRule="exact"/>
        <w:jc w:val="center"/>
        <w:rPr>
          <w:b/>
          <w:bCs/>
          <w:szCs w:val="21"/>
          <w:highlight w:val="none"/>
        </w:rPr>
      </w:pPr>
    </w:p>
    <w:p>
      <w:pPr>
        <w:spacing w:line="500" w:lineRule="exact"/>
        <w:ind w:firstLine="840" w:firstLineChars="300"/>
        <w:jc w:val="left"/>
        <w:rPr>
          <w:rFonts w:ascii="宋体" w:hAnsi="宋体" w:cs="宋体"/>
          <w:sz w:val="28"/>
          <w:highlight w:val="none"/>
        </w:rPr>
      </w:pPr>
      <w:r>
        <w:rPr>
          <w:rFonts w:hint="eastAsia" w:ascii="宋体" w:hAnsi="宋体" w:cs="宋体"/>
          <w:sz w:val="28"/>
          <w:highlight w:val="none"/>
        </w:rPr>
        <w:t>在我单位任职务，是我单位法定代表人，身份证号为，特此证明。</w:t>
      </w:r>
    </w:p>
    <w:p>
      <w:pPr>
        <w:spacing w:line="500" w:lineRule="exact"/>
        <w:ind w:firstLine="627" w:firstLineChars="224"/>
        <w:jc w:val="left"/>
        <w:rPr>
          <w:rFonts w:ascii="宋体" w:hAnsi="宋体" w:cs="宋体"/>
          <w:sz w:val="28"/>
          <w:highlight w:val="none"/>
        </w:rPr>
      </w:pPr>
    </w:p>
    <w:p>
      <w:pPr>
        <w:spacing w:line="500" w:lineRule="exact"/>
        <w:jc w:val="center"/>
        <w:rPr>
          <w:rFonts w:ascii="宋体" w:hAnsi="宋体" w:cs="宋体"/>
          <w:sz w:val="28"/>
          <w:highlight w:val="none"/>
        </w:rPr>
      </w:pPr>
      <w:r>
        <w:rPr>
          <w:rFonts w:hint="eastAsia" w:ascii="宋体" w:hAnsi="宋体" w:cs="宋体"/>
          <w:sz w:val="28"/>
          <w:highlight w:val="none"/>
        </w:rPr>
        <w:t>（单位盖章）</w:t>
      </w:r>
    </w:p>
    <w:p>
      <w:pPr>
        <w:spacing w:line="500" w:lineRule="exact"/>
        <w:ind w:firstLine="627" w:firstLineChars="224"/>
        <w:jc w:val="left"/>
        <w:rPr>
          <w:rFonts w:ascii="宋体" w:hAnsi="宋体" w:cs="宋体"/>
          <w:sz w:val="28"/>
          <w:highlight w:val="none"/>
        </w:rPr>
      </w:pPr>
      <w:r>
        <w:rPr>
          <w:rFonts w:hint="eastAsia" w:hAnsi="宋体" w:cs="宋体"/>
          <w:sz w:val="28"/>
          <w:szCs w:val="28"/>
          <w:highlight w:val="none"/>
        </w:rPr>
        <w:t>日期： 20  年   月   日</w:t>
      </w:r>
    </w:p>
    <w:p>
      <w:pPr>
        <w:spacing w:line="500" w:lineRule="exact"/>
        <w:jc w:val="left"/>
        <w:rPr>
          <w:rFonts w:ascii="宋体" w:hAnsi="宋体" w:cs="宋体"/>
          <w:sz w:val="28"/>
          <w:highlight w:val="none"/>
        </w:rPr>
      </w:pPr>
      <w:r>
        <w:rPr>
          <w:rFonts w:hint="eastAsia" w:ascii="宋体" w:hAnsi="宋体" w:cs="宋体"/>
          <w:sz w:val="28"/>
          <w:highlight w:val="none"/>
        </w:rPr>
        <w:t xml:space="preserve">单位通信地址：                                </w:t>
      </w:r>
    </w:p>
    <w:p>
      <w:pPr>
        <w:spacing w:line="500" w:lineRule="exact"/>
        <w:jc w:val="left"/>
        <w:rPr>
          <w:rFonts w:ascii="宋体" w:hAnsi="宋体" w:cs="宋体"/>
          <w:sz w:val="28"/>
          <w:highlight w:val="none"/>
        </w:rPr>
      </w:pPr>
      <w:r>
        <w:rPr>
          <w:rFonts w:hint="eastAsia" w:ascii="宋体" w:hAnsi="宋体" w:cs="宋体"/>
          <w:sz w:val="28"/>
          <w:highlight w:val="none"/>
        </w:rPr>
        <w:t xml:space="preserve">邮政编码：                 单位联系电话：   </w:t>
      </w:r>
    </w:p>
    <w:p>
      <w:pPr>
        <w:rPr>
          <w:highlight w:val="none"/>
        </w:rPr>
      </w:pPr>
    </w:p>
    <w:p>
      <w:pPr>
        <w:spacing w:line="360" w:lineRule="auto"/>
        <w:ind w:right="420"/>
        <w:jc w:val="left"/>
        <w:rPr>
          <w:rFonts w:ascii="宋体" w:hAnsi="宋体" w:cs="Arial"/>
          <w:color w:val="000000"/>
          <w:sz w:val="28"/>
          <w:szCs w:val="28"/>
          <w:highlight w:val="none"/>
        </w:rPr>
      </w:pPr>
      <w:r>
        <w:rPr>
          <w:rFonts w:hint="eastAsia" w:ascii="宋体" w:hAnsi="宋体" w:cs="Arial"/>
          <w:color w:val="000000"/>
          <w:sz w:val="28"/>
          <w:szCs w:val="28"/>
          <w:highlight w:val="none"/>
        </w:rPr>
        <w:t>附：法人代表身份证正反面或其他身份证明材料复印件</w:t>
      </w:r>
    </w:p>
    <w:p>
      <w:pPr>
        <w:spacing w:line="360" w:lineRule="auto"/>
        <w:ind w:right="420"/>
        <w:jc w:val="left"/>
        <w:rPr>
          <w:rFonts w:ascii="宋体" w:hAnsi="宋体" w:cs="Arial"/>
          <w:color w:val="000000"/>
          <w:sz w:val="28"/>
          <w:szCs w:val="28"/>
          <w:highlight w:val="none"/>
        </w:rPr>
      </w:pPr>
    </w:p>
    <w:p>
      <w:pPr>
        <w:spacing w:line="360" w:lineRule="auto"/>
        <w:ind w:right="420"/>
        <w:jc w:val="left"/>
        <w:rPr>
          <w:rFonts w:ascii="宋体" w:hAnsi="宋体" w:cs="Arial"/>
          <w:color w:val="000000"/>
          <w:sz w:val="28"/>
          <w:szCs w:val="28"/>
          <w:highlight w:val="none"/>
        </w:rPr>
      </w:pPr>
      <w:r>
        <w:rPr>
          <w:rFonts w:hint="eastAsia" w:ascii="宋体" w:hAnsi="宋体" w:cs="Arial"/>
          <w:color w:val="000000"/>
          <w:sz w:val="28"/>
          <w:szCs w:val="28"/>
          <w:highlight w:val="none"/>
        </w:rPr>
        <w:br w:type="page"/>
      </w:r>
    </w:p>
    <w:p>
      <w:pPr>
        <w:spacing w:line="360" w:lineRule="auto"/>
        <w:ind w:firstLine="560" w:firstLineChars="200"/>
        <w:jc w:val="left"/>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附件</w:t>
      </w:r>
      <w:r>
        <w:rPr>
          <w:rFonts w:ascii="黑体" w:hAnsi="黑体" w:eastAsia="黑体" w:cs="黑体"/>
          <w:color w:val="000000"/>
          <w:sz w:val="28"/>
          <w:szCs w:val="28"/>
          <w:highlight w:val="none"/>
        </w:rPr>
        <w:t>4</w:t>
      </w:r>
    </w:p>
    <w:p>
      <w:pPr>
        <w:spacing w:line="500" w:lineRule="exact"/>
        <w:jc w:val="center"/>
        <w:rPr>
          <w:rFonts w:eastAsia="黑体"/>
          <w:b/>
          <w:bCs/>
          <w:sz w:val="36"/>
          <w:highlight w:val="none"/>
        </w:rPr>
      </w:pPr>
      <w:r>
        <w:rPr>
          <w:rFonts w:hint="eastAsia" w:eastAsia="黑体"/>
          <w:b/>
          <w:bCs/>
          <w:sz w:val="36"/>
          <w:highlight w:val="none"/>
        </w:rPr>
        <w:t>法定代表人授权委托证明书</w:t>
      </w:r>
    </w:p>
    <w:p>
      <w:pPr>
        <w:pStyle w:val="23"/>
        <w:spacing w:line="360" w:lineRule="auto"/>
        <w:ind w:firstLine="424" w:firstLineChars="177"/>
        <w:rPr>
          <w:rFonts w:hAnsi="宋体"/>
          <w:bCs/>
          <w:sz w:val="24"/>
          <w:szCs w:val="24"/>
          <w:highlight w:val="none"/>
        </w:rPr>
      </w:pPr>
    </w:p>
    <w:p>
      <w:pPr>
        <w:pStyle w:val="23"/>
        <w:spacing w:line="360" w:lineRule="auto"/>
        <w:ind w:firstLine="480" w:firstLineChars="200"/>
        <w:rPr>
          <w:rFonts w:hAnsi="宋体"/>
          <w:sz w:val="24"/>
          <w:szCs w:val="24"/>
          <w:highlight w:val="none"/>
        </w:rPr>
      </w:pPr>
      <w:r>
        <w:rPr>
          <w:rFonts w:hint="eastAsia" w:hAnsi="宋体"/>
          <w:bCs/>
          <w:sz w:val="24"/>
          <w:szCs w:val="24"/>
          <w:highlight w:val="none"/>
        </w:rPr>
        <w:t>兹授权（委托代理人姓名）为我方委托代理人，其权限是：</w:t>
      </w:r>
      <w:r>
        <w:rPr>
          <w:rFonts w:hint="eastAsia" w:hAnsi="宋体"/>
          <w:sz w:val="24"/>
          <w:szCs w:val="24"/>
          <w:highlight w:val="none"/>
        </w:rPr>
        <w:t>办理                       （采购单位名称）组织的“</w:t>
      </w:r>
      <w:r>
        <w:rPr>
          <w:rFonts w:hint="eastAsia" w:hAnsi="宋体" w:cs="宋体"/>
          <w:sz w:val="24"/>
          <w:szCs w:val="24"/>
          <w:highlight w:val="none"/>
          <w:u w:val="single"/>
        </w:rPr>
        <w:t>202</w:t>
      </w:r>
      <w:r>
        <w:rPr>
          <w:rFonts w:hint="eastAsia" w:hAnsi="宋体" w:cs="宋体"/>
          <w:sz w:val="24"/>
          <w:szCs w:val="24"/>
          <w:highlight w:val="none"/>
          <w:u w:val="single"/>
          <w:lang w:val="en-US" w:eastAsia="zh-CN"/>
        </w:rPr>
        <w:t>4</w:t>
      </w:r>
      <w:r>
        <w:rPr>
          <w:rFonts w:hint="eastAsia" w:hAnsi="宋体" w:cs="宋体"/>
          <w:sz w:val="24"/>
          <w:szCs w:val="24"/>
          <w:highlight w:val="none"/>
          <w:u w:val="single"/>
        </w:rPr>
        <w:t>年度市场化电量采购</w:t>
      </w:r>
      <w:r>
        <w:rPr>
          <w:rFonts w:hint="eastAsia" w:hAnsi="宋体"/>
          <w:sz w:val="24"/>
          <w:szCs w:val="24"/>
          <w:highlight w:val="none"/>
        </w:rPr>
        <w:t>”的投标和合同执行，以我方的名义处理一切与之有关的事宜。</w:t>
      </w:r>
    </w:p>
    <w:p>
      <w:pPr>
        <w:pStyle w:val="23"/>
        <w:spacing w:line="360" w:lineRule="auto"/>
        <w:ind w:firstLine="480" w:firstLineChars="200"/>
        <w:rPr>
          <w:rFonts w:hAnsi="宋体"/>
          <w:bCs/>
          <w:sz w:val="24"/>
          <w:szCs w:val="24"/>
          <w:highlight w:val="none"/>
        </w:rPr>
      </w:pPr>
      <w:r>
        <w:rPr>
          <w:rFonts w:hint="eastAsia" w:hAnsi="宋体"/>
          <w:sz w:val="24"/>
          <w:szCs w:val="24"/>
          <w:highlight w:val="none"/>
          <w:lang w:val="en-GB"/>
        </w:rPr>
        <w:t>本</w:t>
      </w:r>
      <w:r>
        <w:rPr>
          <w:rFonts w:hint="eastAsia" w:hAnsi="宋体"/>
          <w:sz w:val="24"/>
          <w:szCs w:val="24"/>
          <w:highlight w:val="none"/>
        </w:rPr>
        <w:t>授权书</w:t>
      </w:r>
      <w:r>
        <w:rPr>
          <w:rFonts w:hint="eastAsia" w:hAnsi="宋体"/>
          <w:sz w:val="24"/>
          <w:szCs w:val="24"/>
          <w:highlight w:val="none"/>
          <w:lang w:val="en-GB"/>
        </w:rPr>
        <w:t>自</w:t>
      </w:r>
      <w:r>
        <w:rPr>
          <w:rFonts w:hint="eastAsia" w:hAnsi="宋体"/>
          <w:sz w:val="24"/>
          <w:szCs w:val="24"/>
          <w:highlight w:val="none"/>
        </w:rPr>
        <w:t>年月日</w:t>
      </w:r>
      <w:r>
        <w:rPr>
          <w:rFonts w:hint="eastAsia" w:hAnsi="宋体"/>
          <w:sz w:val="24"/>
          <w:szCs w:val="24"/>
          <w:highlight w:val="none"/>
          <w:lang w:val="en-GB"/>
        </w:rPr>
        <w:t>签章之日起生效，特此声明。</w:t>
      </w:r>
    </w:p>
    <w:p>
      <w:pPr>
        <w:pStyle w:val="23"/>
        <w:spacing w:line="360" w:lineRule="auto"/>
        <w:ind w:firstLine="480" w:firstLineChars="200"/>
        <w:rPr>
          <w:rFonts w:hAnsi="宋体"/>
          <w:sz w:val="24"/>
          <w:szCs w:val="24"/>
          <w:highlight w:val="none"/>
          <w:u w:val="single"/>
        </w:rPr>
      </w:pPr>
      <w:r>
        <w:rPr>
          <w:rFonts w:hint="eastAsia" w:hAnsi="宋体"/>
          <w:sz w:val="24"/>
          <w:szCs w:val="24"/>
          <w:highlight w:val="none"/>
        </w:rPr>
        <w:t>附：代理人性别：   年龄：   职务：</w:t>
      </w:r>
    </w:p>
    <w:p>
      <w:pPr>
        <w:pStyle w:val="23"/>
        <w:spacing w:line="360" w:lineRule="auto"/>
        <w:ind w:firstLine="480" w:firstLineChars="200"/>
        <w:rPr>
          <w:rFonts w:hAnsi="宋体"/>
          <w:sz w:val="24"/>
          <w:szCs w:val="24"/>
          <w:highlight w:val="none"/>
          <w:u w:val="single"/>
        </w:rPr>
      </w:pPr>
      <w:r>
        <w:rPr>
          <w:rFonts w:hint="eastAsia" w:hAnsi="宋体"/>
          <w:sz w:val="24"/>
          <w:szCs w:val="24"/>
          <w:highlight w:val="none"/>
        </w:rPr>
        <w:t>　　身份证号码：</w:t>
      </w:r>
    </w:p>
    <w:p>
      <w:pPr>
        <w:pStyle w:val="23"/>
        <w:spacing w:line="360" w:lineRule="auto"/>
        <w:ind w:firstLine="480" w:firstLineChars="200"/>
        <w:rPr>
          <w:rFonts w:hAnsi="宋体"/>
          <w:sz w:val="24"/>
          <w:szCs w:val="24"/>
          <w:highlight w:val="none"/>
          <w:u w:val="single"/>
        </w:rPr>
      </w:pPr>
      <w:r>
        <w:rPr>
          <w:rFonts w:hint="eastAsia" w:hAnsi="宋体"/>
          <w:sz w:val="24"/>
          <w:szCs w:val="24"/>
          <w:highlight w:val="none"/>
        </w:rPr>
        <w:t>　　（营业执照等）注册号码：</w:t>
      </w:r>
    </w:p>
    <w:p>
      <w:pPr>
        <w:pStyle w:val="23"/>
        <w:spacing w:line="360" w:lineRule="auto"/>
        <w:ind w:firstLine="480" w:firstLineChars="200"/>
        <w:rPr>
          <w:rFonts w:hAnsi="宋体"/>
          <w:sz w:val="24"/>
          <w:szCs w:val="24"/>
          <w:highlight w:val="none"/>
          <w:u w:val="single"/>
        </w:rPr>
      </w:pPr>
      <w:r>
        <w:rPr>
          <w:rFonts w:hint="eastAsia" w:hAnsi="宋体"/>
          <w:sz w:val="24"/>
          <w:szCs w:val="24"/>
          <w:highlight w:val="none"/>
        </w:rPr>
        <w:t>　　企业类型：</w:t>
      </w:r>
    </w:p>
    <w:p>
      <w:pPr>
        <w:pStyle w:val="23"/>
        <w:spacing w:line="360" w:lineRule="auto"/>
        <w:ind w:firstLine="480" w:firstLineChars="200"/>
        <w:rPr>
          <w:rFonts w:hAnsi="宋体"/>
          <w:sz w:val="24"/>
          <w:szCs w:val="24"/>
          <w:highlight w:val="none"/>
          <w:u w:val="single"/>
        </w:rPr>
      </w:pPr>
      <w:r>
        <w:rPr>
          <w:rFonts w:hint="eastAsia" w:hAnsi="宋体"/>
          <w:sz w:val="24"/>
          <w:szCs w:val="24"/>
          <w:highlight w:val="none"/>
        </w:rPr>
        <w:t>　　经营范围：</w:t>
      </w:r>
    </w:p>
    <w:p>
      <w:pPr>
        <w:pStyle w:val="23"/>
        <w:spacing w:line="360" w:lineRule="auto"/>
        <w:ind w:firstLine="480" w:firstLineChars="200"/>
        <w:rPr>
          <w:rFonts w:hAnsi="宋体"/>
          <w:sz w:val="24"/>
          <w:szCs w:val="24"/>
          <w:highlight w:val="none"/>
        </w:rPr>
      </w:pPr>
      <w:r>
        <w:rPr>
          <w:rFonts w:hint="eastAsia" w:hAnsi="宋体"/>
          <w:sz w:val="24"/>
          <w:szCs w:val="24"/>
          <w:highlight w:val="none"/>
        </w:rPr>
        <w:t>附：被授权人有效身份证正反面或其他身份证明材料复印　　　　　　　</w:t>
      </w:r>
    </w:p>
    <w:p>
      <w:pPr>
        <w:pStyle w:val="24"/>
        <w:spacing w:line="360" w:lineRule="auto"/>
        <w:rPr>
          <w:rFonts w:hAnsi="宋体"/>
          <w:sz w:val="24"/>
          <w:szCs w:val="24"/>
          <w:highlight w:val="none"/>
        </w:rPr>
      </w:pPr>
    </w:p>
    <w:p>
      <w:pPr>
        <w:pStyle w:val="24"/>
        <w:spacing w:line="360" w:lineRule="auto"/>
        <w:jc w:val="center"/>
        <w:rPr>
          <w:rFonts w:hAnsi="宋体" w:eastAsia="宋体" w:cs="宋体"/>
          <w:sz w:val="28"/>
          <w:highlight w:val="none"/>
        </w:rPr>
      </w:pPr>
    </w:p>
    <w:p>
      <w:pPr>
        <w:pStyle w:val="24"/>
        <w:spacing w:line="360" w:lineRule="auto"/>
        <w:jc w:val="center"/>
        <w:rPr>
          <w:rFonts w:hAnsi="宋体" w:eastAsia="宋体" w:cs="宋体"/>
          <w:sz w:val="28"/>
          <w:highlight w:val="none"/>
        </w:rPr>
      </w:pPr>
    </w:p>
    <w:p>
      <w:pPr>
        <w:pStyle w:val="24"/>
        <w:spacing w:line="360" w:lineRule="auto"/>
        <w:jc w:val="center"/>
        <w:rPr>
          <w:rFonts w:hAnsi="宋体" w:eastAsia="宋体" w:cs="宋体"/>
          <w:sz w:val="28"/>
          <w:highlight w:val="none"/>
        </w:rPr>
      </w:pPr>
    </w:p>
    <w:p>
      <w:pPr>
        <w:pStyle w:val="24"/>
        <w:spacing w:line="360" w:lineRule="auto"/>
        <w:rPr>
          <w:rFonts w:hAnsi="宋体" w:eastAsia="宋体" w:cs="宋体"/>
          <w:sz w:val="28"/>
          <w:highlight w:val="none"/>
        </w:rPr>
      </w:pPr>
    </w:p>
    <w:p>
      <w:pPr>
        <w:pStyle w:val="24"/>
        <w:spacing w:line="360" w:lineRule="auto"/>
        <w:rPr>
          <w:rFonts w:hAnsi="宋体" w:eastAsia="宋体" w:cs="宋体"/>
          <w:sz w:val="28"/>
          <w:szCs w:val="28"/>
          <w:highlight w:val="none"/>
        </w:rPr>
      </w:pPr>
      <w:r>
        <w:rPr>
          <w:rFonts w:hint="eastAsia" w:hAnsi="宋体" w:eastAsia="宋体" w:cs="宋体"/>
          <w:sz w:val="28"/>
          <w:highlight w:val="none"/>
        </w:rPr>
        <w:t>（单位盖章</w:t>
      </w:r>
      <w:r>
        <w:rPr>
          <w:rFonts w:hint="eastAsia" w:hAnsi="宋体" w:eastAsia="宋体" w:cs="宋体"/>
          <w:sz w:val="28"/>
          <w:szCs w:val="28"/>
          <w:highlight w:val="none"/>
        </w:rPr>
        <w:t>）：</w:t>
      </w:r>
    </w:p>
    <w:p>
      <w:pPr>
        <w:pStyle w:val="24"/>
        <w:spacing w:line="360" w:lineRule="auto"/>
        <w:rPr>
          <w:rFonts w:hAnsi="宋体" w:eastAsia="宋体" w:cs="宋体"/>
          <w:sz w:val="28"/>
          <w:szCs w:val="28"/>
          <w:highlight w:val="none"/>
        </w:rPr>
      </w:pPr>
    </w:p>
    <w:p>
      <w:pPr>
        <w:pStyle w:val="24"/>
        <w:spacing w:line="360" w:lineRule="auto"/>
        <w:rPr>
          <w:rFonts w:hAnsi="宋体" w:eastAsia="宋体" w:cs="宋体"/>
          <w:sz w:val="28"/>
          <w:szCs w:val="28"/>
          <w:highlight w:val="none"/>
        </w:rPr>
      </w:pPr>
      <w:r>
        <w:rPr>
          <w:rFonts w:hint="eastAsia" w:hAnsi="宋体" w:eastAsia="宋体" w:cs="宋体"/>
          <w:sz w:val="28"/>
          <w:szCs w:val="28"/>
          <w:highlight w:val="none"/>
        </w:rPr>
        <w:t>法定代表人（签字或盖章）：</w:t>
      </w:r>
    </w:p>
    <w:p>
      <w:pPr>
        <w:pStyle w:val="24"/>
        <w:spacing w:line="360" w:lineRule="auto"/>
        <w:rPr>
          <w:rFonts w:hAnsi="宋体" w:eastAsia="宋体" w:cs="宋体"/>
          <w:sz w:val="28"/>
          <w:szCs w:val="28"/>
          <w:highlight w:val="none"/>
        </w:rPr>
      </w:pPr>
      <w:r>
        <w:rPr>
          <w:rFonts w:hint="eastAsia" w:hAnsi="宋体" w:eastAsia="宋体" w:cs="宋体"/>
          <w:sz w:val="28"/>
          <w:szCs w:val="28"/>
          <w:highlight w:val="none"/>
        </w:rPr>
        <w:t>被授权人（签字或盖章）：</w:t>
      </w:r>
    </w:p>
    <w:p>
      <w:pPr>
        <w:pStyle w:val="24"/>
        <w:spacing w:line="360" w:lineRule="auto"/>
        <w:rPr>
          <w:rFonts w:hAnsi="宋体" w:eastAsia="宋体" w:cs="宋体"/>
          <w:sz w:val="28"/>
          <w:szCs w:val="28"/>
          <w:highlight w:val="none"/>
        </w:rPr>
      </w:pPr>
      <w:r>
        <w:rPr>
          <w:rFonts w:hint="eastAsia" w:hAnsi="宋体" w:eastAsia="宋体" w:cs="宋体"/>
          <w:sz w:val="28"/>
          <w:szCs w:val="28"/>
          <w:highlight w:val="none"/>
        </w:rPr>
        <w:t>日期： 20  年   月   日</w:t>
      </w:r>
    </w:p>
    <w:p>
      <w:pPr>
        <w:adjustRightInd w:val="0"/>
        <w:spacing w:line="460" w:lineRule="exact"/>
        <w:jc w:val="left"/>
        <w:rPr>
          <w:rFonts w:ascii="宋体" w:hAnsi="宋体"/>
          <w:b/>
          <w:sz w:val="32"/>
          <w:szCs w:val="32"/>
          <w:highlight w:val="none"/>
        </w:rPr>
      </w:pPr>
      <w:r>
        <w:rPr>
          <w:rFonts w:hint="eastAsia" w:hAnsi="宋体" w:cs="宋体"/>
          <w:sz w:val="28"/>
          <w:szCs w:val="28"/>
          <w:highlight w:val="none"/>
          <w:lang w:val="zh-CN"/>
        </w:rPr>
        <w:t>说明：法定代表人亲自办理投标事宜的，无需提交本证明书。</w:t>
      </w:r>
    </w:p>
    <w:p>
      <w:pPr>
        <w:adjustRightInd w:val="0"/>
        <w:spacing w:line="460" w:lineRule="exact"/>
        <w:jc w:val="left"/>
        <w:rPr>
          <w:rFonts w:ascii="宋体" w:hAnsi="宋体"/>
          <w:b/>
          <w:sz w:val="32"/>
          <w:szCs w:val="32"/>
          <w:highlight w:val="none"/>
        </w:rPr>
      </w:pPr>
      <w:r>
        <w:rPr>
          <w:rFonts w:hint="eastAsia" w:ascii="宋体" w:hAnsi="宋体"/>
          <w:b/>
          <w:sz w:val="32"/>
          <w:szCs w:val="32"/>
          <w:highlight w:val="none"/>
        </w:rPr>
        <w:br w:type="page"/>
      </w:r>
    </w:p>
    <w:p>
      <w:pPr>
        <w:widowControl/>
        <w:jc w:val="left"/>
        <w:rPr>
          <w:rFonts w:ascii="宋体" w:hAnsi="宋体"/>
          <w:sz w:val="24"/>
          <w:highlight w:val="none"/>
        </w:rPr>
      </w:pPr>
      <w:r>
        <w:rPr>
          <w:rFonts w:hint="eastAsia" w:ascii="宋体" w:hAnsi="宋体"/>
          <w:sz w:val="24"/>
          <w:highlight w:val="none"/>
        </w:rPr>
        <w:t>附件</w:t>
      </w:r>
      <w:r>
        <w:rPr>
          <w:rFonts w:ascii="宋体" w:hAnsi="宋体"/>
          <w:sz w:val="24"/>
          <w:highlight w:val="none"/>
        </w:rPr>
        <w:t>5</w:t>
      </w:r>
    </w:p>
    <w:p>
      <w:pPr>
        <w:widowControl/>
        <w:jc w:val="center"/>
        <w:rPr>
          <w:rFonts w:ascii="宋体" w:hAnsi="宋体"/>
          <w:b/>
          <w:kern w:val="0"/>
          <w:highlight w:val="none"/>
        </w:rPr>
      </w:pPr>
      <w:r>
        <w:rPr>
          <w:rFonts w:hint="eastAsia" w:ascii="宋体" w:hAnsi="宋体"/>
          <w:b/>
          <w:kern w:val="0"/>
          <w:sz w:val="28"/>
          <w:highlight w:val="none"/>
        </w:rPr>
        <w:t>资格性和有效性审查表</w:t>
      </w:r>
    </w:p>
    <w:p>
      <w:pPr>
        <w:ind w:left="420" w:leftChars="200" w:firstLine="360" w:firstLineChars="200"/>
        <w:rPr>
          <w:rFonts w:asciiTheme="minorEastAsia" w:hAnsiTheme="minorEastAsia"/>
          <w:sz w:val="18"/>
          <w:szCs w:val="18"/>
          <w:highlight w:val="none"/>
        </w:rPr>
      </w:pPr>
      <w:r>
        <w:rPr>
          <w:rFonts w:hint="eastAsia" w:asciiTheme="minorEastAsia" w:hAnsiTheme="minorEastAsia"/>
          <w:sz w:val="18"/>
          <w:szCs w:val="18"/>
          <w:highlight w:val="none"/>
        </w:rPr>
        <w:t>项目名称：20</w:t>
      </w:r>
      <w:r>
        <w:rPr>
          <w:rFonts w:hint="eastAsia" w:asciiTheme="minorEastAsia" w:hAnsiTheme="minorEastAsia"/>
          <w:sz w:val="18"/>
          <w:szCs w:val="18"/>
          <w:highlight w:val="none"/>
          <w:lang w:val="en-US" w:eastAsia="zh-CN"/>
        </w:rPr>
        <w:t>24</w:t>
      </w:r>
      <w:r>
        <w:rPr>
          <w:rFonts w:hint="eastAsia" w:asciiTheme="minorEastAsia" w:hAnsiTheme="minorEastAsia"/>
          <w:sz w:val="18"/>
          <w:szCs w:val="18"/>
          <w:highlight w:val="none"/>
        </w:rPr>
        <w:t>年度市场化电量采购</w:t>
      </w:r>
    </w:p>
    <w:tbl>
      <w:tblPr>
        <w:tblStyle w:val="10"/>
        <w:tblW w:w="919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7797"/>
        <w:gridCol w:w="7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75" w:type="dxa"/>
            <w:vAlign w:val="center"/>
          </w:tcPr>
          <w:p>
            <w:pPr>
              <w:jc w:val="center"/>
              <w:rPr>
                <w:rFonts w:asciiTheme="minorEastAsia" w:hAnsiTheme="minorEastAsia"/>
                <w:b/>
                <w:sz w:val="18"/>
                <w:szCs w:val="18"/>
                <w:highlight w:val="none"/>
              </w:rPr>
            </w:pPr>
            <w:r>
              <w:rPr>
                <w:rFonts w:hint="eastAsia" w:cs="宋体" w:asciiTheme="minorEastAsia" w:hAnsiTheme="minorEastAsia"/>
                <w:b/>
                <w:bCs/>
                <w:sz w:val="18"/>
                <w:szCs w:val="18"/>
                <w:highlight w:val="none"/>
              </w:rPr>
              <w:t>序号</w:t>
            </w:r>
          </w:p>
        </w:tc>
        <w:tc>
          <w:tcPr>
            <w:tcW w:w="7797" w:type="dxa"/>
            <w:vAlign w:val="center"/>
          </w:tcPr>
          <w:p>
            <w:pPr>
              <w:ind w:firstLine="440"/>
              <w:rPr>
                <w:rFonts w:asciiTheme="minorEastAsia" w:hAnsiTheme="minorEastAsia"/>
                <w:b/>
                <w:sz w:val="18"/>
                <w:szCs w:val="18"/>
                <w:highlight w:val="none"/>
              </w:rPr>
            </w:pPr>
            <w:r>
              <w:rPr>
                <w:rFonts w:hint="eastAsia" w:cs="宋体" w:asciiTheme="minorEastAsia" w:hAnsiTheme="minorEastAsia"/>
                <w:b/>
                <w:bCs/>
                <w:sz w:val="18"/>
                <w:szCs w:val="18"/>
                <w:highlight w:val="none"/>
              </w:rPr>
              <w:t>评审内容</w:t>
            </w:r>
          </w:p>
        </w:tc>
        <w:tc>
          <w:tcPr>
            <w:tcW w:w="727" w:type="dxa"/>
            <w:vAlign w:val="center"/>
          </w:tcPr>
          <w:p>
            <w:pPr>
              <w:ind w:firstLine="29" w:firstLineChars="16"/>
              <w:rPr>
                <w:rFonts w:asciiTheme="minorEastAsia" w:hAnsiTheme="minorEastAsia"/>
                <w:b/>
                <w:sz w:val="18"/>
                <w:szCs w:val="18"/>
                <w:highlight w:val="none"/>
              </w:rPr>
            </w:pPr>
            <w:r>
              <w:rPr>
                <w:rFonts w:hint="eastAsia" w:cs="宋体" w:asciiTheme="minorEastAsia" w:hAnsiTheme="minorEastAsia"/>
                <w:b/>
                <w:bCs/>
                <w:sz w:val="18"/>
                <w:szCs w:val="1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75" w:type="dxa"/>
            <w:shd w:val="clear" w:color="auto" w:fill="auto"/>
            <w:vAlign w:val="center"/>
          </w:tcPr>
          <w:p>
            <w:pPr>
              <w:ind w:firstLine="120" w:firstLineChars="67"/>
              <w:jc w:val="center"/>
              <w:rPr>
                <w:rFonts w:asciiTheme="minorEastAsia" w:hAnsiTheme="minorEastAsia"/>
                <w:bCs/>
                <w:sz w:val="18"/>
                <w:szCs w:val="18"/>
                <w:highlight w:val="none"/>
              </w:rPr>
            </w:pPr>
            <w:r>
              <w:rPr>
                <w:rFonts w:cs="宋体" w:asciiTheme="minorEastAsia" w:hAnsiTheme="minorEastAsia"/>
                <w:sz w:val="18"/>
                <w:szCs w:val="18"/>
                <w:highlight w:val="none"/>
              </w:rPr>
              <w:t>1</w:t>
            </w:r>
          </w:p>
        </w:tc>
        <w:tc>
          <w:tcPr>
            <w:tcW w:w="7797" w:type="dxa"/>
            <w:shd w:val="clear" w:color="auto" w:fill="auto"/>
            <w:vAlign w:val="center"/>
          </w:tcPr>
          <w:p>
            <w:pPr>
              <w:pStyle w:val="18"/>
              <w:ind w:left="15" w:leftChars="7" w:firstLine="0" w:firstLineChars="0"/>
              <w:rPr>
                <w:rFonts w:asciiTheme="minorEastAsia" w:hAnsiTheme="minorEastAsia"/>
                <w:sz w:val="18"/>
                <w:szCs w:val="18"/>
                <w:highlight w:val="none"/>
              </w:rPr>
            </w:pPr>
            <w:r>
              <w:rPr>
                <w:rFonts w:hint="eastAsia" w:asciiTheme="minorEastAsia" w:hAnsiTheme="minorEastAsia"/>
                <w:sz w:val="18"/>
                <w:szCs w:val="18"/>
                <w:highlight w:val="none"/>
              </w:rPr>
              <w:t>必须是具有独立承担民事责任能力的在中华人民共和国境内注册的法人，具备有效的工商营业执照、企业法人组织机构代码证书、税务登记证书（或三证合一），按国家法律经营。</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75" w:type="dxa"/>
            <w:shd w:val="clear" w:color="auto" w:fill="auto"/>
            <w:vAlign w:val="center"/>
          </w:tcPr>
          <w:p>
            <w:pPr>
              <w:ind w:firstLine="120" w:firstLineChars="67"/>
              <w:jc w:val="center"/>
              <w:rPr>
                <w:rFonts w:cs="宋体" w:asciiTheme="minorEastAsia" w:hAnsiTheme="minorEastAsia"/>
                <w:sz w:val="18"/>
                <w:szCs w:val="18"/>
                <w:highlight w:val="none"/>
              </w:rPr>
            </w:pPr>
            <w:r>
              <w:rPr>
                <w:rFonts w:cs="宋体" w:asciiTheme="minorEastAsia" w:hAnsiTheme="minorEastAsia"/>
                <w:sz w:val="18"/>
                <w:szCs w:val="18"/>
                <w:highlight w:val="none"/>
              </w:rPr>
              <w:t>2</w:t>
            </w:r>
          </w:p>
        </w:tc>
        <w:tc>
          <w:tcPr>
            <w:tcW w:w="7797" w:type="dxa"/>
            <w:shd w:val="clear" w:color="auto" w:fill="auto"/>
            <w:vAlign w:val="center"/>
          </w:tcPr>
          <w:p>
            <w:pPr>
              <w:pStyle w:val="18"/>
              <w:ind w:left="15" w:leftChars="7" w:firstLine="0" w:firstLineChars="0"/>
              <w:rPr>
                <w:rFonts w:asciiTheme="minorEastAsia" w:hAnsiTheme="minorEastAsia"/>
                <w:sz w:val="18"/>
                <w:szCs w:val="18"/>
                <w:highlight w:val="none"/>
              </w:rPr>
            </w:pPr>
            <w:r>
              <w:rPr>
                <w:rFonts w:hint="eastAsia" w:asciiTheme="minorEastAsia" w:hAnsiTheme="minorEastAsia"/>
                <w:sz w:val="18"/>
                <w:szCs w:val="18"/>
                <w:highlight w:val="none"/>
              </w:rPr>
              <w:t>投标人未被列入“信用中国”网站（</w:t>
            </w:r>
            <w:r>
              <w:rPr>
                <w:rFonts w:asciiTheme="minorEastAsia" w:hAnsiTheme="minorEastAsia"/>
                <w:sz w:val="18"/>
                <w:szCs w:val="18"/>
                <w:highlight w:val="none"/>
              </w:rPr>
              <w:t>www.creditchina.gov.cn）记录失信被执行人或重大税收违法案件当事人名单，投标人须提供《信用记录承诺函》附“信用中国”网站（www.creditchina.gov.cn）的信用记录查询结果截图并打印页面加盖公章。</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75" w:type="dxa"/>
            <w:shd w:val="clear" w:color="auto" w:fill="auto"/>
            <w:vAlign w:val="center"/>
          </w:tcPr>
          <w:p>
            <w:pPr>
              <w:ind w:firstLine="120" w:firstLineChars="67"/>
              <w:jc w:val="center"/>
              <w:rPr>
                <w:rFonts w:asciiTheme="minorEastAsia" w:hAnsiTheme="minorEastAsia"/>
                <w:bCs/>
                <w:sz w:val="18"/>
                <w:szCs w:val="18"/>
                <w:highlight w:val="none"/>
              </w:rPr>
            </w:pPr>
            <w:r>
              <w:rPr>
                <w:rFonts w:asciiTheme="minorEastAsia" w:hAnsiTheme="minorEastAsia"/>
                <w:bCs/>
                <w:sz w:val="18"/>
                <w:szCs w:val="18"/>
                <w:highlight w:val="none"/>
              </w:rPr>
              <w:t>3</w:t>
            </w:r>
          </w:p>
        </w:tc>
        <w:tc>
          <w:tcPr>
            <w:tcW w:w="7797" w:type="dxa"/>
            <w:shd w:val="clear" w:color="auto" w:fill="auto"/>
            <w:vAlign w:val="center"/>
          </w:tcPr>
          <w:p>
            <w:pPr>
              <w:pStyle w:val="18"/>
              <w:ind w:left="15" w:leftChars="7" w:firstLine="0" w:firstLineChars="0"/>
              <w:rPr>
                <w:rFonts w:asciiTheme="minorEastAsia" w:hAnsiTheme="minorEastAsia"/>
                <w:sz w:val="18"/>
                <w:szCs w:val="18"/>
                <w:highlight w:val="none"/>
              </w:rPr>
            </w:pPr>
            <w:r>
              <w:rPr>
                <w:rFonts w:hint="eastAsia" w:asciiTheme="minorEastAsia" w:hAnsiTheme="minorEastAsia"/>
                <w:sz w:val="18"/>
                <w:szCs w:val="18"/>
                <w:highlight w:val="none"/>
              </w:rPr>
              <w:t>投标人没有处于被责令停业或破产状态，且资产未被重组、接管和冻结，声明在投标活动中</w:t>
            </w:r>
            <w:r>
              <w:rPr>
                <w:rFonts w:asciiTheme="minorEastAsia" w:hAnsiTheme="minorEastAsia"/>
                <w:sz w:val="18"/>
                <w:szCs w:val="18"/>
                <w:highlight w:val="none"/>
              </w:rPr>
              <w:t>3年内没有重大违法活动和涉嫌违规行为。（格式自拟）</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75" w:type="dxa"/>
            <w:shd w:val="clear" w:color="auto" w:fill="auto"/>
            <w:vAlign w:val="center"/>
          </w:tcPr>
          <w:p>
            <w:pPr>
              <w:ind w:firstLine="120" w:firstLineChars="67"/>
              <w:jc w:val="center"/>
              <w:rPr>
                <w:rFonts w:asciiTheme="minorEastAsia" w:hAnsiTheme="minorEastAsia"/>
                <w:bCs/>
                <w:sz w:val="18"/>
                <w:szCs w:val="18"/>
                <w:highlight w:val="none"/>
              </w:rPr>
            </w:pPr>
            <w:r>
              <w:rPr>
                <w:rFonts w:asciiTheme="minorEastAsia" w:hAnsiTheme="minorEastAsia"/>
                <w:bCs/>
                <w:sz w:val="18"/>
                <w:szCs w:val="18"/>
                <w:highlight w:val="none"/>
              </w:rPr>
              <w:t>4</w:t>
            </w:r>
          </w:p>
        </w:tc>
        <w:tc>
          <w:tcPr>
            <w:tcW w:w="7797" w:type="dxa"/>
            <w:shd w:val="clear" w:color="auto" w:fill="auto"/>
            <w:vAlign w:val="center"/>
          </w:tcPr>
          <w:p>
            <w:pPr>
              <w:rPr>
                <w:rFonts w:asciiTheme="minorEastAsia" w:hAnsiTheme="minorEastAsia"/>
                <w:sz w:val="18"/>
                <w:szCs w:val="18"/>
                <w:highlight w:val="none"/>
              </w:rPr>
            </w:pPr>
            <w:r>
              <w:rPr>
                <w:rFonts w:hint="eastAsia" w:asciiTheme="minorEastAsia" w:hAnsiTheme="minorEastAsia"/>
                <w:sz w:val="18"/>
                <w:szCs w:val="18"/>
                <w:highlight w:val="none"/>
              </w:rPr>
              <w:t>必须是广东省电力市场交易中心公布目录内完成注册和备案、具备交易资格的售电公司，具有广东省经济和信息化委员会颁发的合法售电牌照（提供最新的广东电力交易中心官网售电公司名称的截图）</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75" w:type="dxa"/>
            <w:shd w:val="clear" w:color="auto" w:fill="auto"/>
          </w:tcPr>
          <w:p>
            <w:pPr>
              <w:ind w:firstLine="120" w:firstLineChars="67"/>
              <w:jc w:val="center"/>
              <w:rPr>
                <w:rFonts w:asciiTheme="minorEastAsia" w:hAnsiTheme="minorEastAsia"/>
                <w:bCs/>
                <w:sz w:val="18"/>
                <w:szCs w:val="18"/>
                <w:highlight w:val="none"/>
              </w:rPr>
            </w:pPr>
            <w:r>
              <w:rPr>
                <w:rFonts w:asciiTheme="minorEastAsia" w:hAnsiTheme="minorEastAsia"/>
                <w:bCs/>
                <w:sz w:val="18"/>
                <w:szCs w:val="18"/>
                <w:highlight w:val="none"/>
              </w:rPr>
              <w:t>5</w:t>
            </w:r>
          </w:p>
        </w:tc>
        <w:tc>
          <w:tcPr>
            <w:tcW w:w="7797" w:type="dxa"/>
            <w:shd w:val="clear" w:color="auto" w:fill="auto"/>
            <w:vAlign w:val="center"/>
          </w:tcPr>
          <w:p>
            <w:pPr>
              <w:pStyle w:val="18"/>
              <w:ind w:left="15" w:leftChars="7" w:firstLine="0" w:firstLineChars="0"/>
              <w:rPr>
                <w:rFonts w:asciiTheme="minorEastAsia" w:hAnsiTheme="minorEastAsia"/>
                <w:sz w:val="18"/>
                <w:szCs w:val="18"/>
                <w:highlight w:val="none"/>
              </w:rPr>
            </w:pPr>
            <w:r>
              <w:rPr>
                <w:rFonts w:hint="eastAsia" w:asciiTheme="minorEastAsia" w:hAnsiTheme="minorEastAsia"/>
                <w:sz w:val="18"/>
                <w:szCs w:val="18"/>
                <w:highlight w:val="none"/>
              </w:rPr>
              <w:t>投标人20</w:t>
            </w:r>
            <w:r>
              <w:rPr>
                <w:rFonts w:hint="eastAsia" w:asciiTheme="minorEastAsia" w:hAnsiTheme="minorEastAsia"/>
                <w:sz w:val="18"/>
                <w:szCs w:val="18"/>
                <w:highlight w:val="none"/>
                <w:lang w:val="en-US" w:eastAsia="zh-CN"/>
              </w:rPr>
              <w:t>20</w:t>
            </w:r>
            <w:r>
              <w:rPr>
                <w:rFonts w:hint="eastAsia" w:asciiTheme="minorEastAsia" w:hAnsiTheme="minorEastAsia"/>
                <w:sz w:val="18"/>
                <w:szCs w:val="18"/>
                <w:highlight w:val="none"/>
              </w:rPr>
              <w:t>年12月1日至今完成过质量合格的类似项目业绩（需提供合同、业主评价等相关证明材料复印件，完成时间以合同时间为准。</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75" w:type="dxa"/>
            <w:shd w:val="clear" w:color="auto" w:fill="auto"/>
          </w:tcPr>
          <w:p>
            <w:pPr>
              <w:ind w:firstLine="120" w:firstLineChars="67"/>
              <w:jc w:val="center"/>
              <w:rPr>
                <w:rFonts w:asciiTheme="minorEastAsia" w:hAnsiTheme="minorEastAsia"/>
                <w:bCs/>
                <w:sz w:val="18"/>
                <w:szCs w:val="18"/>
                <w:highlight w:val="none"/>
              </w:rPr>
            </w:pPr>
            <w:r>
              <w:rPr>
                <w:rFonts w:asciiTheme="minorEastAsia" w:hAnsiTheme="minorEastAsia"/>
                <w:bCs/>
                <w:sz w:val="18"/>
                <w:szCs w:val="18"/>
                <w:highlight w:val="none"/>
              </w:rPr>
              <w:t>6</w:t>
            </w:r>
          </w:p>
        </w:tc>
        <w:tc>
          <w:tcPr>
            <w:tcW w:w="7797" w:type="dxa"/>
            <w:shd w:val="clear" w:color="auto" w:fill="auto"/>
            <w:vAlign w:val="center"/>
          </w:tcPr>
          <w:p>
            <w:pPr>
              <w:keepNext w:val="0"/>
              <w:keepLines w:val="0"/>
              <w:widowControl/>
              <w:suppressLineNumbers w:val="0"/>
              <w:jc w:val="both"/>
              <w:textAlignment w:val="center"/>
              <w:rPr>
                <w:rFonts w:asciiTheme="minorEastAsia" w:hAnsiTheme="minorEastAsia"/>
                <w:sz w:val="18"/>
                <w:szCs w:val="18"/>
                <w:highlight w:val="none"/>
              </w:rPr>
            </w:pPr>
            <w:r>
              <w:rPr>
                <w:rStyle w:val="32"/>
                <w:highlight w:val="none"/>
                <w:lang w:val="en-US" w:eastAsia="zh-CN" w:bidi="ar"/>
              </w:rPr>
              <w:t>本项目不接受联合体报价。</w:t>
            </w:r>
          </w:p>
        </w:tc>
        <w:tc>
          <w:tcPr>
            <w:tcW w:w="727" w:type="dxa"/>
            <w:vAlign w:val="center"/>
          </w:tcPr>
          <w:p>
            <w:pPr>
              <w:rPr>
                <w:rFonts w:cs="宋体" w:asciiTheme="minorEastAsia" w:hAnsiTheme="minorEastAsia"/>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75" w:type="dxa"/>
          </w:tcPr>
          <w:p>
            <w:pPr>
              <w:ind w:firstLine="120" w:firstLineChars="67"/>
              <w:jc w:val="center"/>
              <w:rPr>
                <w:rFonts w:asciiTheme="minorEastAsia" w:hAnsiTheme="minorEastAsia"/>
                <w:bCs/>
                <w:sz w:val="18"/>
                <w:szCs w:val="18"/>
                <w:highlight w:val="none"/>
              </w:rPr>
            </w:pPr>
            <w:r>
              <w:rPr>
                <w:rFonts w:asciiTheme="minorEastAsia" w:hAnsiTheme="minorEastAsia"/>
                <w:bCs/>
                <w:sz w:val="18"/>
                <w:szCs w:val="18"/>
                <w:highlight w:val="none"/>
              </w:rPr>
              <w:t>7</w:t>
            </w:r>
          </w:p>
        </w:tc>
        <w:tc>
          <w:tcPr>
            <w:tcW w:w="7797" w:type="dxa"/>
            <w:vAlign w:val="center"/>
          </w:tcPr>
          <w:p>
            <w:pPr>
              <w:keepNext w:val="0"/>
              <w:keepLines w:val="0"/>
              <w:widowControl/>
              <w:suppressLineNumbers w:val="0"/>
              <w:jc w:val="both"/>
              <w:textAlignment w:val="center"/>
              <w:rPr>
                <w:rFonts w:asciiTheme="minorEastAsia" w:hAnsiTheme="minorEastAsia"/>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投标文件按竞选文件的规定密封、盖章和签署；</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75" w:type="dxa"/>
          </w:tcPr>
          <w:p>
            <w:pPr>
              <w:ind w:firstLine="120" w:firstLineChars="67"/>
              <w:jc w:val="center"/>
              <w:rPr>
                <w:rFonts w:asciiTheme="minorEastAsia" w:hAnsiTheme="minorEastAsia"/>
                <w:bCs/>
                <w:sz w:val="18"/>
                <w:szCs w:val="18"/>
                <w:highlight w:val="none"/>
              </w:rPr>
            </w:pPr>
            <w:r>
              <w:rPr>
                <w:rFonts w:asciiTheme="minorEastAsia" w:hAnsiTheme="minorEastAsia"/>
                <w:bCs/>
                <w:sz w:val="18"/>
                <w:szCs w:val="18"/>
                <w:highlight w:val="none"/>
              </w:rPr>
              <w:t>8</w:t>
            </w:r>
          </w:p>
        </w:tc>
        <w:tc>
          <w:tcPr>
            <w:tcW w:w="7797" w:type="dxa"/>
            <w:vAlign w:val="center"/>
          </w:tcPr>
          <w:p>
            <w:pPr>
              <w:keepNext w:val="0"/>
              <w:keepLines w:val="0"/>
              <w:widowControl/>
              <w:suppressLineNumbers w:val="0"/>
              <w:jc w:val="both"/>
              <w:textAlignment w:val="center"/>
              <w:rPr>
                <w:rFonts w:asciiTheme="minorEastAsia" w:hAnsiTheme="minorEastAsia"/>
                <w:sz w:val="18"/>
                <w:szCs w:val="18"/>
                <w:highlight w:val="none"/>
              </w:rPr>
            </w:pPr>
            <w:r>
              <w:rPr>
                <w:rStyle w:val="32"/>
                <w:highlight w:val="none"/>
                <w:lang w:val="en-US" w:eastAsia="zh-CN" w:bidi="ar"/>
              </w:rPr>
              <w:t>投标文件按竞选文件规定的格式填写，内容无不全或关键字迹模糊、无法辩认情形；</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75" w:type="dxa"/>
          </w:tcPr>
          <w:p>
            <w:pPr>
              <w:ind w:firstLine="120" w:firstLineChars="67"/>
              <w:jc w:val="center"/>
              <w:rPr>
                <w:rFonts w:asciiTheme="minorEastAsia" w:hAnsiTheme="minorEastAsia"/>
                <w:bCs/>
                <w:sz w:val="18"/>
                <w:szCs w:val="18"/>
                <w:highlight w:val="none"/>
              </w:rPr>
            </w:pPr>
            <w:r>
              <w:rPr>
                <w:rFonts w:asciiTheme="minorEastAsia" w:hAnsiTheme="minorEastAsia"/>
                <w:bCs/>
                <w:sz w:val="18"/>
                <w:szCs w:val="18"/>
                <w:highlight w:val="none"/>
              </w:rPr>
              <w:t>9</w:t>
            </w:r>
          </w:p>
        </w:tc>
        <w:tc>
          <w:tcPr>
            <w:tcW w:w="7797" w:type="dxa"/>
            <w:vAlign w:val="center"/>
          </w:tcPr>
          <w:p>
            <w:pPr>
              <w:keepNext w:val="0"/>
              <w:keepLines w:val="0"/>
              <w:widowControl/>
              <w:suppressLineNumbers w:val="0"/>
              <w:jc w:val="both"/>
              <w:textAlignment w:val="center"/>
              <w:rPr>
                <w:rFonts w:asciiTheme="minorEastAsia" w:hAnsiTheme="minorEastAsia"/>
                <w:sz w:val="18"/>
                <w:szCs w:val="18"/>
                <w:highlight w:val="none"/>
              </w:rPr>
            </w:pPr>
            <w:r>
              <w:rPr>
                <w:rStyle w:val="32"/>
                <w:highlight w:val="none"/>
                <w:lang w:val="en-US" w:eastAsia="zh-CN" w:bidi="ar"/>
              </w:rPr>
              <w:t>对同一竞选项目未出现两个或以上的投标报价，且没声明哪个有效；</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75" w:type="dxa"/>
          </w:tcPr>
          <w:p>
            <w:pPr>
              <w:ind w:firstLine="120" w:firstLineChars="67"/>
              <w:jc w:val="center"/>
              <w:rPr>
                <w:rFonts w:asciiTheme="minorEastAsia" w:hAnsiTheme="minorEastAsia"/>
                <w:bCs/>
                <w:sz w:val="18"/>
                <w:szCs w:val="18"/>
                <w:highlight w:val="none"/>
              </w:rPr>
            </w:pPr>
            <w:r>
              <w:rPr>
                <w:rFonts w:asciiTheme="minorEastAsia" w:hAnsiTheme="minorEastAsia"/>
                <w:bCs/>
                <w:sz w:val="18"/>
                <w:szCs w:val="18"/>
                <w:highlight w:val="none"/>
              </w:rPr>
              <w:t>10</w:t>
            </w:r>
          </w:p>
        </w:tc>
        <w:tc>
          <w:tcPr>
            <w:tcW w:w="7797" w:type="dxa"/>
            <w:vAlign w:val="center"/>
          </w:tcPr>
          <w:p>
            <w:pPr>
              <w:keepNext w:val="0"/>
              <w:keepLines w:val="0"/>
              <w:widowControl/>
              <w:suppressLineNumbers w:val="0"/>
              <w:jc w:val="both"/>
              <w:textAlignment w:val="center"/>
              <w:rPr>
                <w:rFonts w:cs="宋体" w:asciiTheme="minorEastAsia" w:hAnsiTheme="minorEastAsia"/>
                <w:sz w:val="18"/>
                <w:szCs w:val="18"/>
                <w:highlight w:val="none"/>
              </w:rPr>
            </w:pPr>
            <w:r>
              <w:rPr>
                <w:rStyle w:val="32"/>
                <w:highlight w:val="none"/>
                <w:lang w:val="en-US" w:eastAsia="zh-CN" w:bidi="ar"/>
              </w:rPr>
              <w:t>投标总报价不高于采购限价；</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75" w:type="dxa"/>
          </w:tcPr>
          <w:p>
            <w:pPr>
              <w:ind w:firstLine="120" w:firstLineChars="67"/>
              <w:jc w:val="center"/>
              <w:rPr>
                <w:rFonts w:asciiTheme="minorEastAsia" w:hAnsiTheme="minorEastAsia"/>
                <w:bCs/>
                <w:sz w:val="18"/>
                <w:szCs w:val="18"/>
                <w:highlight w:val="none"/>
              </w:rPr>
            </w:pPr>
            <w:r>
              <w:rPr>
                <w:rFonts w:asciiTheme="minorEastAsia" w:hAnsiTheme="minorEastAsia"/>
                <w:bCs/>
                <w:sz w:val="18"/>
                <w:szCs w:val="18"/>
                <w:highlight w:val="none"/>
              </w:rPr>
              <w:t>11</w:t>
            </w:r>
          </w:p>
        </w:tc>
        <w:tc>
          <w:tcPr>
            <w:tcW w:w="7797" w:type="dxa"/>
            <w:vAlign w:val="center"/>
          </w:tcPr>
          <w:p>
            <w:pPr>
              <w:keepNext w:val="0"/>
              <w:keepLines w:val="0"/>
              <w:widowControl/>
              <w:suppressLineNumbers w:val="0"/>
              <w:jc w:val="both"/>
              <w:textAlignment w:val="center"/>
              <w:rPr>
                <w:rFonts w:asciiTheme="minorEastAsia" w:hAnsiTheme="minorEastAsia"/>
                <w:sz w:val="18"/>
                <w:szCs w:val="18"/>
                <w:highlight w:val="none"/>
              </w:rPr>
            </w:pPr>
            <w:r>
              <w:rPr>
                <w:rStyle w:val="32"/>
                <w:highlight w:val="none"/>
                <w:lang w:val="en-US" w:eastAsia="zh-CN" w:bidi="ar"/>
              </w:rPr>
              <w:t>投标总报价不低于企业自身成本；</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75" w:type="dxa"/>
          </w:tcPr>
          <w:p>
            <w:pPr>
              <w:ind w:firstLine="120" w:firstLineChars="67"/>
              <w:jc w:val="center"/>
              <w:rPr>
                <w:rFonts w:asciiTheme="minorEastAsia" w:hAnsiTheme="minorEastAsia"/>
                <w:bCs/>
                <w:sz w:val="18"/>
                <w:szCs w:val="18"/>
                <w:highlight w:val="none"/>
              </w:rPr>
            </w:pPr>
            <w:r>
              <w:rPr>
                <w:rFonts w:asciiTheme="minorEastAsia" w:hAnsiTheme="minorEastAsia"/>
                <w:bCs/>
                <w:sz w:val="18"/>
                <w:szCs w:val="18"/>
                <w:highlight w:val="none"/>
              </w:rPr>
              <w:t>12</w:t>
            </w:r>
          </w:p>
        </w:tc>
        <w:tc>
          <w:tcPr>
            <w:tcW w:w="7797" w:type="dxa"/>
            <w:vAlign w:val="center"/>
          </w:tcPr>
          <w:p>
            <w:pPr>
              <w:keepNext w:val="0"/>
              <w:keepLines w:val="0"/>
              <w:widowControl/>
              <w:suppressLineNumbers w:val="0"/>
              <w:jc w:val="both"/>
              <w:textAlignment w:val="center"/>
              <w:rPr>
                <w:rFonts w:asciiTheme="minorEastAsia" w:hAnsiTheme="minorEastAsia"/>
                <w:sz w:val="18"/>
                <w:szCs w:val="18"/>
                <w:highlight w:val="none"/>
              </w:rPr>
            </w:pPr>
            <w:r>
              <w:rPr>
                <w:rStyle w:val="32"/>
                <w:highlight w:val="none"/>
                <w:lang w:val="en-US" w:eastAsia="zh-CN" w:bidi="ar"/>
              </w:rPr>
              <w:t>工期满足竞选文件要求的；</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75" w:type="dxa"/>
          </w:tcPr>
          <w:p>
            <w:pPr>
              <w:ind w:firstLine="120" w:firstLineChars="67"/>
              <w:jc w:val="center"/>
              <w:rPr>
                <w:rFonts w:asciiTheme="minorEastAsia" w:hAnsiTheme="minorEastAsia"/>
                <w:bCs/>
                <w:sz w:val="18"/>
                <w:szCs w:val="18"/>
                <w:highlight w:val="none"/>
              </w:rPr>
            </w:pPr>
            <w:r>
              <w:rPr>
                <w:rFonts w:asciiTheme="minorEastAsia" w:hAnsiTheme="minorEastAsia"/>
                <w:bCs/>
                <w:sz w:val="18"/>
                <w:szCs w:val="18"/>
                <w:highlight w:val="none"/>
              </w:rPr>
              <w:t>13</w:t>
            </w:r>
          </w:p>
        </w:tc>
        <w:tc>
          <w:tcPr>
            <w:tcW w:w="7797" w:type="dxa"/>
            <w:vAlign w:val="center"/>
          </w:tcPr>
          <w:p>
            <w:pPr>
              <w:keepNext w:val="0"/>
              <w:keepLines w:val="0"/>
              <w:widowControl/>
              <w:suppressLineNumbers w:val="0"/>
              <w:jc w:val="both"/>
              <w:textAlignment w:val="center"/>
              <w:rPr>
                <w:rFonts w:asciiTheme="minorEastAsia" w:hAnsiTheme="minorEastAsia"/>
                <w:sz w:val="18"/>
                <w:szCs w:val="18"/>
                <w:highlight w:val="none"/>
              </w:rPr>
            </w:pPr>
            <w:r>
              <w:rPr>
                <w:rStyle w:val="32"/>
                <w:highlight w:val="none"/>
                <w:lang w:val="en-US" w:eastAsia="zh-CN" w:bidi="ar"/>
              </w:rPr>
              <w:t>方案响应竞选文件中已明确必须要作实质性响应的内容；</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75" w:type="dxa"/>
          </w:tcPr>
          <w:p>
            <w:pPr>
              <w:ind w:firstLine="120" w:firstLineChars="67"/>
              <w:jc w:val="center"/>
              <w:rPr>
                <w:rFonts w:asciiTheme="minorEastAsia" w:hAnsiTheme="minorEastAsia"/>
                <w:bCs/>
                <w:sz w:val="18"/>
                <w:szCs w:val="18"/>
                <w:highlight w:val="none"/>
              </w:rPr>
            </w:pPr>
            <w:r>
              <w:rPr>
                <w:rFonts w:asciiTheme="minorEastAsia" w:hAnsiTheme="minorEastAsia"/>
                <w:bCs/>
                <w:sz w:val="18"/>
                <w:szCs w:val="18"/>
                <w:highlight w:val="none"/>
              </w:rPr>
              <w:t>14</w:t>
            </w:r>
          </w:p>
        </w:tc>
        <w:tc>
          <w:tcPr>
            <w:tcW w:w="7797" w:type="dxa"/>
            <w:vAlign w:val="center"/>
          </w:tcPr>
          <w:p>
            <w:pPr>
              <w:keepNext w:val="0"/>
              <w:keepLines w:val="0"/>
              <w:widowControl/>
              <w:suppressLineNumbers w:val="0"/>
              <w:jc w:val="both"/>
              <w:textAlignment w:val="center"/>
              <w:rPr>
                <w:rFonts w:asciiTheme="minorEastAsia" w:hAnsiTheme="minorEastAsia"/>
                <w:sz w:val="18"/>
                <w:szCs w:val="18"/>
                <w:highlight w:val="none"/>
              </w:rPr>
            </w:pPr>
            <w:r>
              <w:rPr>
                <w:rStyle w:val="32"/>
                <w:highlight w:val="none"/>
                <w:lang w:val="en-US" w:eastAsia="zh-CN" w:bidi="ar"/>
              </w:rPr>
              <w:t>投标文件未附有采购人不能接受的条件；</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75" w:type="dxa"/>
          </w:tcPr>
          <w:p>
            <w:pPr>
              <w:ind w:firstLine="120" w:firstLineChars="67"/>
              <w:jc w:val="center"/>
              <w:rPr>
                <w:rFonts w:asciiTheme="minorEastAsia" w:hAnsiTheme="minorEastAsia"/>
                <w:bCs/>
                <w:sz w:val="18"/>
                <w:szCs w:val="18"/>
                <w:highlight w:val="none"/>
              </w:rPr>
            </w:pPr>
            <w:r>
              <w:rPr>
                <w:rFonts w:asciiTheme="minorEastAsia" w:hAnsiTheme="minorEastAsia"/>
                <w:bCs/>
                <w:sz w:val="18"/>
                <w:szCs w:val="18"/>
                <w:highlight w:val="none"/>
              </w:rPr>
              <w:t>15</w:t>
            </w:r>
          </w:p>
        </w:tc>
        <w:tc>
          <w:tcPr>
            <w:tcW w:w="7797" w:type="dxa"/>
            <w:vAlign w:val="center"/>
          </w:tcPr>
          <w:p>
            <w:pPr>
              <w:keepNext w:val="0"/>
              <w:keepLines w:val="0"/>
              <w:widowControl/>
              <w:suppressLineNumbers w:val="0"/>
              <w:jc w:val="both"/>
              <w:textAlignment w:val="center"/>
              <w:rPr>
                <w:rFonts w:asciiTheme="minorEastAsia" w:hAnsiTheme="minorEastAsia"/>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未附有不符合竞选文件中规定的其他实质性要求。</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75" w:type="dxa"/>
            <w:vAlign w:val="center"/>
          </w:tcPr>
          <w:p>
            <w:pPr>
              <w:ind w:firstLine="440"/>
              <w:jc w:val="center"/>
              <w:rPr>
                <w:rFonts w:asciiTheme="minorEastAsia" w:hAnsiTheme="minorEastAsia"/>
                <w:bCs/>
                <w:sz w:val="18"/>
                <w:szCs w:val="18"/>
                <w:highlight w:val="none"/>
              </w:rPr>
            </w:pPr>
          </w:p>
        </w:tc>
        <w:tc>
          <w:tcPr>
            <w:tcW w:w="7797" w:type="dxa"/>
            <w:vAlign w:val="center"/>
          </w:tcPr>
          <w:p>
            <w:pPr>
              <w:ind w:firstLine="440"/>
              <w:rPr>
                <w:rFonts w:asciiTheme="minorEastAsia" w:hAnsiTheme="minorEastAsia"/>
                <w:sz w:val="18"/>
                <w:szCs w:val="18"/>
                <w:highlight w:val="none"/>
              </w:rPr>
            </w:pPr>
            <w:r>
              <w:rPr>
                <w:rFonts w:hint="eastAsia" w:cs="宋体" w:asciiTheme="minorEastAsia" w:hAnsiTheme="minorEastAsia"/>
                <w:b/>
                <w:bCs/>
                <w:sz w:val="18"/>
                <w:szCs w:val="18"/>
                <w:highlight w:val="none"/>
              </w:rPr>
              <w:t>评审结论（</w:t>
            </w:r>
            <w:r>
              <w:rPr>
                <w:rFonts w:hint="eastAsia" w:asciiTheme="minorEastAsia" w:hAnsiTheme="minorEastAsia"/>
                <w:sz w:val="18"/>
                <w:szCs w:val="18"/>
                <w:highlight w:val="none"/>
              </w:rPr>
              <w:t>通过</w:t>
            </w:r>
            <w:r>
              <w:rPr>
                <w:rFonts w:asciiTheme="minorEastAsia" w:hAnsiTheme="minorEastAsia"/>
                <w:sz w:val="18"/>
                <w:szCs w:val="18"/>
                <w:highlight w:val="none"/>
              </w:rPr>
              <w:t>/不通过</w:t>
            </w:r>
            <w:r>
              <w:rPr>
                <w:rFonts w:hint="eastAsia" w:cs="宋体" w:asciiTheme="minorEastAsia" w:hAnsiTheme="minorEastAsia"/>
                <w:b/>
                <w:bCs/>
                <w:sz w:val="18"/>
                <w:szCs w:val="18"/>
                <w:highlight w:val="none"/>
              </w:rPr>
              <w:t>）</w:t>
            </w:r>
          </w:p>
        </w:tc>
        <w:tc>
          <w:tcPr>
            <w:tcW w:w="727" w:type="dxa"/>
            <w:vAlign w:val="center"/>
          </w:tcPr>
          <w:p>
            <w:pPr>
              <w:ind w:firstLine="440"/>
              <w:rPr>
                <w:rFonts w:asciiTheme="minorEastAsia" w:hAnsiTheme="minorEastAsia"/>
                <w:b/>
                <w:sz w:val="18"/>
                <w:szCs w:val="18"/>
                <w:highlight w:val="none"/>
              </w:rPr>
            </w:pPr>
          </w:p>
        </w:tc>
      </w:tr>
    </w:tbl>
    <w:p>
      <w:pPr>
        <w:numPr>
          <w:ilvl w:val="0"/>
          <w:numId w:val="11"/>
        </w:numPr>
        <w:adjustRightInd w:val="0"/>
        <w:snapToGrid w:val="0"/>
        <w:spacing w:line="360" w:lineRule="auto"/>
        <w:ind w:firstLine="363" w:firstLineChars="202"/>
        <w:rPr>
          <w:rFonts w:ascii="宋体" w:hAnsi="宋体"/>
          <w:sz w:val="18"/>
          <w:szCs w:val="21"/>
          <w:highlight w:val="none"/>
        </w:rPr>
      </w:pPr>
      <w:r>
        <w:rPr>
          <w:rFonts w:hint="eastAsia" w:ascii="宋体" w:hAnsi="宋体"/>
          <w:sz w:val="18"/>
          <w:szCs w:val="21"/>
          <w:highlight w:val="none"/>
        </w:rPr>
        <w:t>投标人分栏中填写“√”表示该项符合竞选文件要求，“×”表示该项不符合竞选文件要求，“○”表示无该项内容；</w:t>
      </w:r>
    </w:p>
    <w:p>
      <w:pPr>
        <w:numPr>
          <w:ilvl w:val="0"/>
          <w:numId w:val="11"/>
        </w:numPr>
        <w:adjustRightInd w:val="0"/>
        <w:snapToGrid w:val="0"/>
        <w:spacing w:line="360" w:lineRule="auto"/>
        <w:ind w:firstLine="363" w:firstLineChars="202"/>
        <w:rPr>
          <w:rFonts w:ascii="宋体" w:hAnsi="宋体"/>
          <w:sz w:val="18"/>
          <w:szCs w:val="21"/>
          <w:highlight w:val="none"/>
        </w:rPr>
      </w:pPr>
      <w:r>
        <w:rPr>
          <w:rFonts w:hint="eastAsia" w:ascii="宋体" w:hAnsi="宋体"/>
          <w:sz w:val="18"/>
          <w:szCs w:val="21"/>
          <w:highlight w:val="none"/>
        </w:rPr>
        <w:t>经评标委员会审核后，出现一个“×”的结论为“不通过”，即按废标处理。</w:t>
      </w:r>
    </w:p>
    <w:p>
      <w:pPr>
        <w:numPr>
          <w:ilvl w:val="0"/>
          <w:numId w:val="11"/>
        </w:numPr>
        <w:adjustRightInd w:val="0"/>
        <w:snapToGrid w:val="0"/>
        <w:spacing w:line="360" w:lineRule="auto"/>
        <w:ind w:firstLine="363" w:firstLineChars="202"/>
        <w:rPr>
          <w:rFonts w:ascii="宋体" w:hAnsi="宋体"/>
          <w:sz w:val="18"/>
          <w:szCs w:val="21"/>
          <w:highlight w:val="none"/>
        </w:rPr>
      </w:pPr>
      <w:r>
        <w:rPr>
          <w:rFonts w:hint="eastAsia" w:ascii="宋体" w:hAnsi="宋体"/>
          <w:sz w:val="18"/>
          <w:szCs w:val="21"/>
          <w:highlight w:val="none"/>
        </w:rPr>
        <w:t>表中全部条件满足为“通过”，同意进入下一阶段评审。</w:t>
      </w:r>
    </w:p>
    <w:p>
      <w:pPr>
        <w:numPr>
          <w:ilvl w:val="0"/>
          <w:numId w:val="11"/>
        </w:numPr>
        <w:adjustRightInd w:val="0"/>
        <w:snapToGrid w:val="0"/>
        <w:spacing w:line="360" w:lineRule="auto"/>
        <w:ind w:firstLine="363" w:firstLineChars="202"/>
        <w:rPr>
          <w:rFonts w:ascii="宋体" w:hAnsi="宋体"/>
          <w:sz w:val="18"/>
          <w:szCs w:val="21"/>
          <w:highlight w:val="none"/>
        </w:rPr>
      </w:pPr>
      <w:r>
        <w:rPr>
          <w:rFonts w:hint="eastAsia"/>
          <w:sz w:val="18"/>
          <w:szCs w:val="21"/>
          <w:highlight w:val="none"/>
        </w:rPr>
        <w:t>如对本表中某种情形的</w:t>
      </w:r>
      <w:r>
        <w:rPr>
          <w:rFonts w:hint="eastAsia" w:ascii="宋体" w:hAnsi="宋体"/>
          <w:sz w:val="18"/>
          <w:szCs w:val="21"/>
          <w:highlight w:val="none"/>
        </w:rPr>
        <w:t>评委意见不一致时，</w:t>
      </w:r>
      <w:r>
        <w:rPr>
          <w:rFonts w:hint="eastAsia"/>
          <w:sz w:val="18"/>
          <w:szCs w:val="21"/>
          <w:highlight w:val="none"/>
        </w:rPr>
        <w:t>以评标委员会过半数成员的意见作为评标委员会对该情形的认定结论。</w:t>
      </w:r>
    </w:p>
    <w:p>
      <w:pPr>
        <w:adjustRightInd w:val="0"/>
        <w:snapToGrid w:val="0"/>
        <w:spacing w:line="360" w:lineRule="auto"/>
        <w:ind w:left="424"/>
        <w:rPr>
          <w:rFonts w:ascii="宋体" w:hAnsi="宋体"/>
          <w:szCs w:val="21"/>
          <w:highlight w:val="none"/>
        </w:rPr>
      </w:pPr>
      <w:r>
        <w:rPr>
          <w:rFonts w:hint="eastAsia" w:ascii="宋体" w:hAnsi="宋体"/>
          <w:bCs/>
          <w:szCs w:val="21"/>
          <w:highlight w:val="none"/>
        </w:rPr>
        <w:t>评委签名：                                          日 期：</w:t>
      </w:r>
      <w:r>
        <w:rPr>
          <w:rFonts w:ascii="宋体" w:hAnsi="宋体"/>
          <w:szCs w:val="21"/>
          <w:highlight w:val="none"/>
        </w:rPr>
        <w:t>202</w:t>
      </w:r>
      <w:r>
        <w:rPr>
          <w:rFonts w:hint="eastAsia" w:ascii="宋体" w:hAnsi="宋体"/>
          <w:szCs w:val="21"/>
          <w:highlight w:val="none"/>
          <w:lang w:val="en-US" w:eastAsia="zh-CN"/>
        </w:rPr>
        <w:t>3</w:t>
      </w:r>
      <w:r>
        <w:rPr>
          <w:rFonts w:hint="eastAsia" w:ascii="宋体" w:hAnsi="宋体"/>
          <w:szCs w:val="21"/>
          <w:highlight w:val="none"/>
        </w:rPr>
        <w:t>年   月   日</w:t>
      </w:r>
    </w:p>
    <w:p>
      <w:pPr>
        <w:spacing w:line="360" w:lineRule="auto"/>
        <w:rPr>
          <w:rFonts w:ascii="宋体" w:hAnsi="宋体"/>
          <w:sz w:val="32"/>
          <w:highlight w:val="none"/>
        </w:rPr>
      </w:pPr>
    </w:p>
    <w:p>
      <w:pPr>
        <w:spacing w:line="360" w:lineRule="auto"/>
        <w:rPr>
          <w:rFonts w:ascii="宋体" w:hAnsi="宋体"/>
          <w:sz w:val="24"/>
          <w:highlight w:val="none"/>
        </w:rPr>
      </w:pPr>
      <w:r>
        <w:rPr>
          <w:rFonts w:hint="eastAsia" w:ascii="宋体" w:hAnsi="宋体"/>
          <w:sz w:val="32"/>
          <w:highlight w:val="none"/>
        </w:rPr>
        <w:t>附件</w:t>
      </w:r>
      <w:r>
        <w:rPr>
          <w:rFonts w:ascii="宋体" w:hAnsi="宋体"/>
          <w:sz w:val="32"/>
          <w:highlight w:val="none"/>
        </w:rPr>
        <w:t>6</w:t>
      </w:r>
      <w:r>
        <w:rPr>
          <w:rFonts w:hint="eastAsia" w:ascii="宋体" w:hAnsi="宋体"/>
          <w:sz w:val="32"/>
          <w:highlight w:val="none"/>
        </w:rPr>
        <w:tab/>
      </w:r>
    </w:p>
    <w:p>
      <w:pPr>
        <w:ind w:firstLine="3373" w:firstLineChars="1200"/>
        <w:jc w:val="left"/>
        <w:rPr>
          <w:rFonts w:ascii="宋体" w:hAnsi="宋体" w:cs="宋体"/>
          <w:b/>
          <w:bCs/>
          <w:sz w:val="28"/>
          <w:szCs w:val="36"/>
          <w:highlight w:val="none"/>
        </w:rPr>
      </w:pPr>
      <w:r>
        <w:rPr>
          <w:rFonts w:hint="eastAsia" w:ascii="宋体" w:hAnsi="宋体" w:cs="宋体"/>
          <w:b/>
          <w:bCs/>
          <w:sz w:val="28"/>
          <w:szCs w:val="36"/>
          <w:highlight w:val="none"/>
        </w:rPr>
        <w:t>综合评分细则</w:t>
      </w:r>
    </w:p>
    <w:tbl>
      <w:tblPr>
        <w:tblStyle w:val="10"/>
        <w:tblW w:w="9356" w:type="dxa"/>
        <w:tblInd w:w="0" w:type="dxa"/>
        <w:tblLayout w:type="fixed"/>
        <w:tblCellMar>
          <w:top w:w="0" w:type="dxa"/>
          <w:left w:w="108" w:type="dxa"/>
          <w:bottom w:w="0" w:type="dxa"/>
          <w:right w:w="108" w:type="dxa"/>
        </w:tblCellMar>
      </w:tblPr>
      <w:tblGrid>
        <w:gridCol w:w="959"/>
        <w:gridCol w:w="1417"/>
        <w:gridCol w:w="709"/>
        <w:gridCol w:w="6271"/>
      </w:tblGrid>
      <w:tr>
        <w:tblPrEx>
          <w:tblCellMar>
            <w:top w:w="0" w:type="dxa"/>
            <w:left w:w="108" w:type="dxa"/>
            <w:bottom w:w="0" w:type="dxa"/>
            <w:right w:w="108" w:type="dxa"/>
          </w:tblCellMar>
        </w:tblPrEx>
        <w:trPr>
          <w:trHeight w:val="225" w:hRule="atLeast"/>
        </w:trPr>
        <w:tc>
          <w:tcPr>
            <w:tcW w:w="95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asciiTheme="minorEastAsia" w:hAnsiTheme="minorEastAsia"/>
                <w:b/>
                <w:color w:val="000000"/>
                <w:kern w:val="0"/>
                <w:sz w:val="18"/>
                <w:szCs w:val="18"/>
                <w:highlight w:val="none"/>
              </w:rPr>
            </w:pPr>
            <w:bookmarkStart w:id="4" w:name="_Hlk4405241"/>
            <w:r>
              <w:rPr>
                <w:rFonts w:hint="eastAsia" w:cs="宋体" w:asciiTheme="minorEastAsia" w:hAnsiTheme="minorEastAsia"/>
                <w:b/>
                <w:color w:val="000000"/>
                <w:kern w:val="0"/>
                <w:sz w:val="18"/>
                <w:szCs w:val="18"/>
                <w:highlight w:val="none"/>
              </w:rPr>
              <w:t>评审大项</w:t>
            </w:r>
          </w:p>
        </w:tc>
        <w:tc>
          <w:tcPr>
            <w:tcW w:w="141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cs="宋体" w:asciiTheme="minorEastAsia" w:hAnsiTheme="minorEastAsia"/>
                <w:b/>
                <w:color w:val="000000"/>
                <w:kern w:val="0"/>
                <w:sz w:val="18"/>
                <w:szCs w:val="18"/>
                <w:highlight w:val="none"/>
              </w:rPr>
            </w:pPr>
            <w:r>
              <w:rPr>
                <w:rFonts w:hint="eastAsia" w:cs="宋体" w:asciiTheme="minorEastAsia" w:hAnsiTheme="minorEastAsia"/>
                <w:b/>
                <w:color w:val="000000"/>
                <w:kern w:val="0"/>
                <w:sz w:val="18"/>
                <w:szCs w:val="18"/>
                <w:highlight w:val="none"/>
              </w:rPr>
              <w:t>评审内容</w:t>
            </w:r>
          </w:p>
        </w:tc>
        <w:tc>
          <w:tcPr>
            <w:tcW w:w="70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cs="宋体" w:asciiTheme="minorEastAsia" w:hAnsiTheme="minorEastAsia"/>
                <w:b/>
                <w:color w:val="000000"/>
                <w:kern w:val="0"/>
                <w:sz w:val="18"/>
                <w:szCs w:val="18"/>
                <w:highlight w:val="none"/>
              </w:rPr>
            </w:pPr>
            <w:r>
              <w:rPr>
                <w:rFonts w:hint="eastAsia" w:cs="宋体" w:asciiTheme="minorEastAsia" w:hAnsiTheme="minorEastAsia"/>
                <w:b/>
                <w:color w:val="000000"/>
                <w:kern w:val="0"/>
                <w:sz w:val="18"/>
                <w:szCs w:val="18"/>
                <w:highlight w:val="none"/>
              </w:rPr>
              <w:t>分值</w:t>
            </w:r>
          </w:p>
        </w:tc>
        <w:tc>
          <w:tcPr>
            <w:tcW w:w="627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cs="宋体" w:asciiTheme="minorEastAsia" w:hAnsiTheme="minorEastAsia"/>
                <w:b/>
                <w:color w:val="000000"/>
                <w:kern w:val="0"/>
                <w:sz w:val="18"/>
                <w:szCs w:val="18"/>
                <w:highlight w:val="none"/>
              </w:rPr>
            </w:pPr>
            <w:r>
              <w:rPr>
                <w:rFonts w:hint="eastAsia" w:cs="宋体" w:asciiTheme="minorEastAsia" w:hAnsiTheme="minorEastAsia"/>
                <w:b/>
                <w:color w:val="000000"/>
                <w:kern w:val="0"/>
                <w:sz w:val="18"/>
                <w:szCs w:val="18"/>
                <w:highlight w:val="none"/>
              </w:rPr>
              <w:t>评分标准</w:t>
            </w:r>
          </w:p>
        </w:tc>
      </w:tr>
      <w:tr>
        <w:tblPrEx>
          <w:tblCellMar>
            <w:top w:w="0" w:type="dxa"/>
            <w:left w:w="108" w:type="dxa"/>
            <w:bottom w:w="0" w:type="dxa"/>
            <w:right w:w="108" w:type="dxa"/>
          </w:tblCellMar>
        </w:tblPrEx>
        <w:trPr>
          <w:trHeight w:val="1258" w:hRule="atLeast"/>
        </w:trPr>
        <w:tc>
          <w:tcPr>
            <w:tcW w:w="959" w:type="dxa"/>
            <w:vMerge w:val="restart"/>
            <w:tcBorders>
              <w:top w:val="single" w:color="auto" w:sz="4" w:space="0"/>
              <w:left w:val="single" w:color="auto" w:sz="4" w:space="0"/>
              <w:right w:val="single" w:color="auto" w:sz="4" w:space="0"/>
            </w:tcBorders>
            <w:shd w:val="clear" w:color="auto" w:fill="FFFFFF"/>
            <w:vAlign w:val="center"/>
          </w:tcPr>
          <w:p>
            <w:pPr>
              <w:jc w:val="center"/>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商务部分</w:t>
            </w:r>
          </w:p>
          <w:p>
            <w:pPr>
              <w:jc w:val="center"/>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（2</w:t>
            </w:r>
            <w:r>
              <w:rPr>
                <w:rFonts w:hint="eastAsia" w:cs="宋体" w:asciiTheme="minorEastAsia" w:hAnsiTheme="minorEastAsia"/>
                <w:color w:val="000000"/>
                <w:kern w:val="0"/>
                <w:sz w:val="18"/>
                <w:szCs w:val="18"/>
                <w:highlight w:val="none"/>
                <w:lang w:val="en-US" w:eastAsia="zh-CN"/>
              </w:rPr>
              <w:t>4</w:t>
            </w:r>
            <w:r>
              <w:rPr>
                <w:rFonts w:hint="eastAsia" w:cs="宋体" w:asciiTheme="minorEastAsia" w:hAnsiTheme="minorEastAsia"/>
                <w:color w:val="000000"/>
                <w:kern w:val="0"/>
                <w:sz w:val="18"/>
                <w:szCs w:val="18"/>
                <w:highlight w:val="none"/>
              </w:rPr>
              <w:t>分）</w:t>
            </w:r>
          </w:p>
        </w:tc>
        <w:tc>
          <w:tcPr>
            <w:tcW w:w="1417" w:type="dxa"/>
            <w:tcBorders>
              <w:top w:val="single" w:color="auto" w:sz="4" w:space="0"/>
              <w:left w:val="nil"/>
              <w:bottom w:val="single" w:color="auto" w:sz="4" w:space="0"/>
              <w:right w:val="single" w:color="auto" w:sz="4" w:space="0"/>
            </w:tcBorders>
            <w:shd w:val="clear" w:color="auto" w:fill="FFFFFF"/>
            <w:vAlign w:val="center"/>
          </w:tcPr>
          <w:p>
            <w:pPr>
              <w:jc w:val="center"/>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类似业绩</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cs="宋体" w:asciiTheme="minorEastAsia" w:hAnsiTheme="minorEastAsia"/>
                <w:color w:val="000000"/>
                <w:kern w:val="0"/>
                <w:sz w:val="18"/>
                <w:szCs w:val="18"/>
                <w:highlight w:val="none"/>
              </w:rPr>
            </w:pPr>
            <w:r>
              <w:rPr>
                <w:rFonts w:hint="eastAsia" w:cs="宋体" w:asciiTheme="minorEastAsia" w:hAnsiTheme="minorEastAsia"/>
                <w:kern w:val="0"/>
                <w:sz w:val="18"/>
                <w:szCs w:val="18"/>
                <w:highlight w:val="none"/>
              </w:rPr>
              <w:t>5</w:t>
            </w:r>
          </w:p>
        </w:tc>
        <w:tc>
          <w:tcPr>
            <w:tcW w:w="6271" w:type="dxa"/>
            <w:tcBorders>
              <w:top w:val="single" w:color="auto" w:sz="4" w:space="0"/>
              <w:left w:val="nil"/>
              <w:bottom w:val="single" w:color="auto" w:sz="4" w:space="0"/>
              <w:right w:val="single" w:color="auto" w:sz="4" w:space="0"/>
            </w:tcBorders>
            <w:shd w:val="clear" w:color="auto" w:fill="FFFFFF"/>
            <w:vAlign w:val="center"/>
          </w:tcPr>
          <w:p>
            <w:pPr>
              <w:ind w:firstLine="360" w:firstLineChars="200"/>
              <w:jc w:val="left"/>
              <w:rPr>
                <w:rFonts w:cs="宋体" w:asciiTheme="minorEastAsia" w:hAnsiTheme="minorEastAsia"/>
                <w:kern w:val="0"/>
                <w:sz w:val="18"/>
                <w:szCs w:val="18"/>
                <w:highlight w:val="none"/>
              </w:rPr>
            </w:pPr>
            <w:r>
              <w:rPr>
                <w:rFonts w:hint="eastAsia" w:asciiTheme="minorEastAsia" w:hAnsiTheme="minorEastAsia"/>
                <w:bCs/>
                <w:kern w:val="0"/>
                <w:sz w:val="18"/>
                <w:szCs w:val="18"/>
                <w:highlight w:val="none"/>
                <w:lang w:bidi="en-US"/>
              </w:rPr>
              <w:t>自2</w:t>
            </w:r>
            <w:r>
              <w:rPr>
                <w:rFonts w:hint="eastAsia" w:asciiTheme="minorEastAsia" w:hAnsiTheme="minorEastAsia"/>
                <w:bCs/>
                <w:kern w:val="0"/>
                <w:sz w:val="18"/>
                <w:szCs w:val="18"/>
                <w:highlight w:val="none"/>
                <w:lang w:val="en-US" w:eastAsia="zh-CN" w:bidi="en-US"/>
              </w:rPr>
              <w:t>020</w:t>
            </w:r>
            <w:r>
              <w:rPr>
                <w:rFonts w:hint="eastAsia" w:asciiTheme="minorEastAsia" w:hAnsiTheme="minorEastAsia"/>
                <w:bCs/>
                <w:kern w:val="0"/>
                <w:sz w:val="18"/>
                <w:szCs w:val="18"/>
                <w:highlight w:val="none"/>
                <w:lang w:bidi="en-US"/>
              </w:rPr>
              <w:t>年12月1日至投标截止日前，投标人代理单个电力用户交易电量在7</w:t>
            </w:r>
            <w:r>
              <w:rPr>
                <w:rFonts w:asciiTheme="minorEastAsia" w:hAnsiTheme="minorEastAsia"/>
                <w:bCs/>
                <w:kern w:val="0"/>
                <w:sz w:val="18"/>
                <w:szCs w:val="18"/>
                <w:highlight w:val="none"/>
                <w:lang w:bidi="en-US"/>
              </w:rPr>
              <w:t>000</w:t>
            </w:r>
            <w:r>
              <w:rPr>
                <w:rFonts w:hint="eastAsia" w:asciiTheme="minorEastAsia" w:hAnsiTheme="minorEastAsia"/>
                <w:bCs/>
                <w:kern w:val="0"/>
                <w:sz w:val="18"/>
                <w:szCs w:val="18"/>
                <w:highlight w:val="none"/>
                <w:lang w:bidi="en-US"/>
              </w:rPr>
              <w:t>万及以上的售电业绩，需提供合同关键页复印件等证明文件。每一个项目得</w:t>
            </w:r>
            <w:r>
              <w:rPr>
                <w:rFonts w:asciiTheme="minorEastAsia" w:hAnsiTheme="minorEastAsia"/>
                <w:bCs/>
                <w:kern w:val="0"/>
                <w:sz w:val="18"/>
                <w:szCs w:val="18"/>
                <w:highlight w:val="none"/>
                <w:lang w:bidi="en-US"/>
              </w:rPr>
              <w:t>1</w:t>
            </w:r>
            <w:r>
              <w:rPr>
                <w:rFonts w:hint="eastAsia" w:asciiTheme="minorEastAsia" w:hAnsiTheme="minorEastAsia"/>
                <w:bCs/>
                <w:kern w:val="0"/>
                <w:sz w:val="18"/>
                <w:szCs w:val="18"/>
                <w:highlight w:val="none"/>
                <w:lang w:bidi="en-US"/>
              </w:rPr>
              <w:t>分；本项累计最高得5分。</w:t>
            </w:r>
          </w:p>
        </w:tc>
      </w:tr>
      <w:tr>
        <w:tblPrEx>
          <w:tblCellMar>
            <w:top w:w="0" w:type="dxa"/>
            <w:left w:w="108" w:type="dxa"/>
            <w:bottom w:w="0" w:type="dxa"/>
            <w:right w:w="108" w:type="dxa"/>
          </w:tblCellMar>
        </w:tblPrEx>
        <w:trPr>
          <w:trHeight w:val="512" w:hRule="atLeast"/>
        </w:trPr>
        <w:tc>
          <w:tcPr>
            <w:tcW w:w="959" w:type="dxa"/>
            <w:vMerge w:val="continue"/>
            <w:tcBorders>
              <w:left w:val="single" w:color="auto" w:sz="4" w:space="0"/>
              <w:right w:val="single" w:color="auto" w:sz="4" w:space="0"/>
            </w:tcBorders>
            <w:vAlign w:val="center"/>
          </w:tcPr>
          <w:p>
            <w:pPr>
              <w:widowControl/>
              <w:jc w:val="center"/>
              <w:rPr>
                <w:rFonts w:cs="宋体" w:asciiTheme="minorEastAsia" w:hAnsiTheme="minorEastAsia"/>
                <w:color w:val="000000"/>
                <w:kern w:val="0"/>
                <w:sz w:val="18"/>
                <w:szCs w:val="18"/>
                <w:highlight w:val="none"/>
              </w:rPr>
            </w:pPr>
          </w:p>
        </w:tc>
        <w:tc>
          <w:tcPr>
            <w:tcW w:w="1417"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sz w:val="18"/>
                <w:szCs w:val="18"/>
                <w:highlight w:val="none"/>
              </w:rPr>
            </w:pPr>
            <w:r>
              <w:rPr>
                <w:rFonts w:hint="eastAsia" w:asciiTheme="minorEastAsia" w:hAnsiTheme="minorEastAsia"/>
                <w:sz w:val="18"/>
                <w:szCs w:val="18"/>
                <w:highlight w:val="none"/>
              </w:rPr>
              <w:t>企业实力</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sz w:val="18"/>
                <w:szCs w:val="18"/>
                <w:highlight w:val="none"/>
              </w:rPr>
            </w:pPr>
            <w:r>
              <w:rPr>
                <w:rFonts w:hint="eastAsia" w:asciiTheme="minorEastAsia" w:hAnsiTheme="minorEastAsia"/>
                <w:sz w:val="18"/>
                <w:szCs w:val="18"/>
                <w:highlight w:val="none"/>
              </w:rPr>
              <w:t>5</w:t>
            </w:r>
          </w:p>
        </w:tc>
        <w:tc>
          <w:tcPr>
            <w:tcW w:w="6271" w:type="dxa"/>
            <w:tcBorders>
              <w:top w:val="single" w:color="auto" w:sz="4" w:space="0"/>
              <w:left w:val="nil"/>
              <w:bottom w:val="single" w:color="auto" w:sz="4" w:space="0"/>
              <w:right w:val="single" w:color="auto" w:sz="4" w:space="0"/>
            </w:tcBorders>
            <w:vAlign w:val="center"/>
          </w:tcPr>
          <w:p>
            <w:pPr>
              <w:rPr>
                <w:rFonts w:asciiTheme="minorEastAsia" w:hAnsiTheme="minorEastAsia"/>
                <w:bCs/>
                <w:kern w:val="0"/>
                <w:sz w:val="18"/>
                <w:szCs w:val="18"/>
                <w:highlight w:val="none"/>
                <w:lang w:bidi="en-US"/>
              </w:rPr>
            </w:pPr>
            <w:r>
              <w:rPr>
                <w:rFonts w:hint="eastAsia" w:asciiTheme="minorEastAsia" w:hAnsiTheme="minorEastAsia"/>
                <w:bCs/>
                <w:kern w:val="0"/>
                <w:sz w:val="18"/>
                <w:szCs w:val="18"/>
                <w:highlight w:val="none"/>
                <w:lang w:bidi="en-US"/>
              </w:rPr>
              <w:t>2023年度在广东省电力交易市场交易电量≥50亿千瓦时得5分；</w:t>
            </w:r>
            <w:r>
              <w:rPr>
                <w:rFonts w:hint="eastAsia" w:asciiTheme="minorEastAsia" w:hAnsiTheme="minorEastAsia"/>
                <w:bCs/>
                <w:kern w:val="0"/>
                <w:sz w:val="18"/>
                <w:szCs w:val="18"/>
                <w:highlight w:val="none"/>
                <w:lang w:val="en-US" w:eastAsia="zh-CN" w:bidi="en-US"/>
              </w:rPr>
              <w:t xml:space="preserve">           </w:t>
            </w:r>
            <w:r>
              <w:rPr>
                <w:rFonts w:hint="eastAsia" w:asciiTheme="minorEastAsia" w:hAnsiTheme="minorEastAsia"/>
                <w:bCs/>
                <w:kern w:val="0"/>
                <w:sz w:val="18"/>
                <w:szCs w:val="18"/>
                <w:highlight w:val="none"/>
                <w:lang w:bidi="en-US"/>
              </w:rPr>
              <w:t>40亿千瓦≤2023年度在广东省电力交易市场交易电量&lt;50亿千瓦时得4分；30亿千瓦≤2023年度在广东省电力交易市场交易电量&lt;40亿千瓦时得3分；20亿千瓦≤2023年度在广东省电力交易市场交易电量&lt;30亿千瓦时得得2分；10亿千瓦≤2023年度在广东省电力交易市场交易电量&lt;20亿千瓦时得得1分；其它不得分。</w:t>
            </w:r>
          </w:p>
        </w:tc>
      </w:tr>
      <w:tr>
        <w:tblPrEx>
          <w:tblCellMar>
            <w:top w:w="0" w:type="dxa"/>
            <w:left w:w="108" w:type="dxa"/>
            <w:bottom w:w="0" w:type="dxa"/>
            <w:right w:w="108" w:type="dxa"/>
          </w:tblCellMar>
        </w:tblPrEx>
        <w:trPr>
          <w:trHeight w:val="512" w:hRule="atLeast"/>
        </w:trPr>
        <w:tc>
          <w:tcPr>
            <w:tcW w:w="959" w:type="dxa"/>
            <w:tcBorders>
              <w:left w:val="single" w:color="auto" w:sz="4" w:space="0"/>
              <w:right w:val="single" w:color="auto" w:sz="4" w:space="0"/>
            </w:tcBorders>
            <w:vAlign w:val="center"/>
          </w:tcPr>
          <w:p>
            <w:pPr>
              <w:widowControl/>
              <w:jc w:val="center"/>
              <w:rPr>
                <w:rFonts w:cs="宋体" w:asciiTheme="minorEastAsia" w:hAnsiTheme="minorEastAsia"/>
                <w:color w:val="000000"/>
                <w:kern w:val="0"/>
                <w:sz w:val="18"/>
                <w:szCs w:val="18"/>
                <w:highlight w:val="none"/>
              </w:rPr>
            </w:pPr>
          </w:p>
        </w:tc>
        <w:tc>
          <w:tcPr>
            <w:tcW w:w="1417" w:type="dxa"/>
            <w:vMerge w:val="continue"/>
            <w:tcBorders>
              <w:top w:val="single" w:color="auto" w:sz="4" w:space="0"/>
              <w:left w:val="nil"/>
              <w:right w:val="single" w:color="auto" w:sz="4" w:space="0"/>
            </w:tcBorders>
            <w:vAlign w:val="center"/>
          </w:tcPr>
          <w:p>
            <w:pPr>
              <w:adjustRightInd w:val="0"/>
              <w:snapToGrid w:val="0"/>
              <w:jc w:val="center"/>
              <w:rPr>
                <w:rFonts w:asciiTheme="minorEastAsia" w:hAnsiTheme="minorEastAsia"/>
                <w:kern w:val="0"/>
                <w:sz w:val="18"/>
                <w:szCs w:val="18"/>
                <w:highlight w:val="none"/>
                <w:lang w:bidi="en-US"/>
              </w:rPr>
            </w:pP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kern w:val="0"/>
                <w:sz w:val="18"/>
                <w:szCs w:val="18"/>
                <w:highlight w:val="none"/>
                <w:lang w:bidi="en-US"/>
              </w:rPr>
            </w:pPr>
            <w:r>
              <w:rPr>
                <w:rFonts w:hint="eastAsia" w:asciiTheme="minorEastAsia" w:hAnsiTheme="minorEastAsia"/>
                <w:kern w:val="0"/>
                <w:sz w:val="18"/>
                <w:szCs w:val="18"/>
                <w:highlight w:val="none"/>
                <w:lang w:bidi="en-US"/>
              </w:rPr>
              <w:t>6</w:t>
            </w:r>
          </w:p>
        </w:tc>
        <w:tc>
          <w:tcPr>
            <w:tcW w:w="6271" w:type="dxa"/>
            <w:tcBorders>
              <w:top w:val="single" w:color="auto" w:sz="4" w:space="0"/>
              <w:left w:val="nil"/>
              <w:bottom w:val="single" w:color="auto" w:sz="4" w:space="0"/>
              <w:right w:val="single" w:color="auto" w:sz="4" w:space="0"/>
            </w:tcBorders>
            <w:vAlign w:val="center"/>
          </w:tcPr>
          <w:p>
            <w:pPr>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在广东电力市场零售平台评级达到AAA级及以上，得</w:t>
            </w:r>
            <w:r>
              <w:rPr>
                <w:rFonts w:cs="宋体" w:asciiTheme="minorEastAsia" w:hAnsiTheme="minorEastAsia"/>
                <w:color w:val="000000"/>
                <w:kern w:val="0"/>
                <w:sz w:val="18"/>
                <w:szCs w:val="18"/>
                <w:highlight w:val="none"/>
              </w:rPr>
              <w:t>6</w:t>
            </w:r>
            <w:r>
              <w:rPr>
                <w:rFonts w:hint="eastAsia" w:cs="宋体" w:asciiTheme="minorEastAsia" w:hAnsiTheme="minorEastAsia"/>
                <w:color w:val="000000"/>
                <w:kern w:val="0"/>
                <w:sz w:val="18"/>
                <w:szCs w:val="18"/>
                <w:highlight w:val="none"/>
              </w:rPr>
              <w:t>分；</w:t>
            </w:r>
          </w:p>
          <w:p>
            <w:pPr>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在广东电力市场零售平台评级达到AA级，得</w:t>
            </w:r>
            <w:r>
              <w:rPr>
                <w:rFonts w:cs="宋体" w:asciiTheme="minorEastAsia" w:hAnsiTheme="minorEastAsia"/>
                <w:color w:val="000000"/>
                <w:kern w:val="0"/>
                <w:sz w:val="18"/>
                <w:szCs w:val="18"/>
                <w:highlight w:val="none"/>
              </w:rPr>
              <w:t>4</w:t>
            </w:r>
            <w:r>
              <w:rPr>
                <w:rFonts w:hint="eastAsia" w:cs="宋体" w:asciiTheme="minorEastAsia" w:hAnsiTheme="minorEastAsia"/>
                <w:color w:val="000000"/>
                <w:kern w:val="0"/>
                <w:sz w:val="18"/>
                <w:szCs w:val="18"/>
                <w:highlight w:val="none"/>
              </w:rPr>
              <w:t>分；</w:t>
            </w:r>
          </w:p>
          <w:p>
            <w:pPr>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在广东电力市场零售平台评级达到A级，得1分；其他不得分；</w:t>
            </w:r>
          </w:p>
        </w:tc>
      </w:tr>
      <w:tr>
        <w:tblPrEx>
          <w:tblCellMar>
            <w:top w:w="0" w:type="dxa"/>
            <w:left w:w="108" w:type="dxa"/>
            <w:bottom w:w="0" w:type="dxa"/>
            <w:right w:w="108" w:type="dxa"/>
          </w:tblCellMar>
        </w:tblPrEx>
        <w:trPr>
          <w:trHeight w:val="512" w:hRule="atLeast"/>
        </w:trPr>
        <w:tc>
          <w:tcPr>
            <w:tcW w:w="959" w:type="dxa"/>
            <w:tcBorders>
              <w:left w:val="single" w:color="auto" w:sz="4" w:space="0"/>
              <w:right w:val="single" w:color="auto" w:sz="4" w:space="0"/>
            </w:tcBorders>
            <w:vAlign w:val="center"/>
          </w:tcPr>
          <w:p>
            <w:pPr>
              <w:widowControl/>
              <w:jc w:val="center"/>
              <w:rPr>
                <w:rFonts w:cs="宋体" w:asciiTheme="minorEastAsia" w:hAnsiTheme="minorEastAsia"/>
                <w:color w:val="000000"/>
                <w:kern w:val="0"/>
                <w:sz w:val="18"/>
                <w:szCs w:val="18"/>
                <w:highlight w:val="none"/>
              </w:rPr>
            </w:pPr>
          </w:p>
        </w:tc>
        <w:tc>
          <w:tcPr>
            <w:tcW w:w="1417" w:type="dxa"/>
            <w:vMerge w:val="continue"/>
            <w:tcBorders>
              <w:left w:val="nil"/>
              <w:bottom w:val="single" w:color="auto" w:sz="4" w:space="0"/>
              <w:right w:val="single" w:color="auto" w:sz="4" w:space="0"/>
            </w:tcBorders>
            <w:vAlign w:val="center"/>
          </w:tcPr>
          <w:p>
            <w:pPr>
              <w:adjustRightInd w:val="0"/>
              <w:snapToGrid w:val="0"/>
              <w:jc w:val="center"/>
              <w:rPr>
                <w:rFonts w:asciiTheme="minorEastAsia" w:hAnsiTheme="minorEastAsia"/>
                <w:kern w:val="0"/>
                <w:sz w:val="18"/>
                <w:szCs w:val="18"/>
                <w:highlight w:val="none"/>
                <w:lang w:bidi="en-US"/>
              </w:rPr>
            </w:pPr>
          </w:p>
        </w:tc>
        <w:tc>
          <w:tcPr>
            <w:tcW w:w="709" w:type="dxa"/>
            <w:tcBorders>
              <w:top w:val="nil"/>
              <w:left w:val="nil"/>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kern w:val="0"/>
                <w:sz w:val="18"/>
                <w:szCs w:val="18"/>
                <w:highlight w:val="none"/>
                <w:lang w:eastAsia="zh-CN" w:bidi="en-US"/>
              </w:rPr>
            </w:pPr>
            <w:r>
              <w:rPr>
                <w:rFonts w:hint="eastAsia" w:asciiTheme="minorEastAsia" w:hAnsiTheme="minorEastAsia"/>
                <w:kern w:val="0"/>
                <w:sz w:val="18"/>
                <w:szCs w:val="18"/>
                <w:highlight w:val="none"/>
                <w:lang w:val="en-US" w:eastAsia="zh-CN" w:bidi="en-US"/>
              </w:rPr>
              <w:t>8</w:t>
            </w:r>
          </w:p>
        </w:tc>
        <w:tc>
          <w:tcPr>
            <w:tcW w:w="6271" w:type="dxa"/>
            <w:tcBorders>
              <w:top w:val="nil"/>
              <w:left w:val="nil"/>
              <w:bottom w:val="single" w:color="auto" w:sz="4" w:space="0"/>
              <w:right w:val="single" w:color="auto" w:sz="4" w:space="0"/>
            </w:tcBorders>
            <w:vAlign w:val="center"/>
          </w:tcPr>
          <w:p>
            <w:pPr>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（1）供应商自备有参与市场交易的发电厂，得</w:t>
            </w:r>
            <w:r>
              <w:rPr>
                <w:rFonts w:hint="eastAsia" w:cs="宋体" w:asciiTheme="minorEastAsia" w:hAnsiTheme="minorEastAsia"/>
                <w:color w:val="000000"/>
                <w:kern w:val="0"/>
                <w:sz w:val="18"/>
                <w:szCs w:val="18"/>
                <w:highlight w:val="none"/>
                <w:lang w:val="en-US" w:eastAsia="zh-CN"/>
              </w:rPr>
              <w:t>4</w:t>
            </w:r>
            <w:r>
              <w:rPr>
                <w:rFonts w:hint="eastAsia" w:cs="宋体" w:asciiTheme="minorEastAsia" w:hAnsiTheme="minorEastAsia"/>
                <w:color w:val="000000"/>
                <w:kern w:val="0"/>
                <w:sz w:val="18"/>
                <w:szCs w:val="18"/>
                <w:highlight w:val="none"/>
              </w:rPr>
              <w:t>分；</w:t>
            </w:r>
          </w:p>
          <w:p>
            <w:pPr>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（2）发电厂装机容量达到</w:t>
            </w:r>
            <w:r>
              <w:rPr>
                <w:rFonts w:cs="宋体" w:asciiTheme="minorEastAsia" w:hAnsiTheme="minorEastAsia"/>
                <w:color w:val="000000"/>
                <w:kern w:val="0"/>
                <w:sz w:val="18"/>
                <w:szCs w:val="18"/>
                <w:highlight w:val="none"/>
              </w:rPr>
              <w:t>350</w:t>
            </w:r>
            <w:r>
              <w:rPr>
                <w:rFonts w:hint="eastAsia" w:cs="宋体" w:asciiTheme="minorEastAsia" w:hAnsiTheme="minorEastAsia"/>
                <w:color w:val="000000"/>
                <w:kern w:val="0"/>
                <w:sz w:val="18"/>
                <w:szCs w:val="18"/>
                <w:highlight w:val="none"/>
              </w:rPr>
              <w:t>万千瓦以上，得</w:t>
            </w:r>
            <w:r>
              <w:rPr>
                <w:rFonts w:hint="eastAsia" w:cs="宋体" w:asciiTheme="minorEastAsia" w:hAnsiTheme="minorEastAsia"/>
                <w:color w:val="000000"/>
                <w:kern w:val="0"/>
                <w:sz w:val="18"/>
                <w:szCs w:val="18"/>
                <w:highlight w:val="none"/>
                <w:lang w:val="en-US" w:eastAsia="zh-CN"/>
              </w:rPr>
              <w:t>4</w:t>
            </w:r>
            <w:r>
              <w:rPr>
                <w:rFonts w:hint="eastAsia" w:cs="宋体" w:asciiTheme="minorEastAsia" w:hAnsiTheme="minorEastAsia"/>
                <w:color w:val="000000"/>
                <w:kern w:val="0"/>
                <w:sz w:val="18"/>
                <w:szCs w:val="18"/>
                <w:highlight w:val="none"/>
              </w:rPr>
              <w:t>分。</w:t>
            </w:r>
          </w:p>
          <w:p>
            <w:pPr>
              <w:jc w:val="left"/>
              <w:rPr>
                <w:rFonts w:cs="宋体" w:asciiTheme="minorEastAsia" w:hAnsiTheme="minorEastAsia"/>
                <w:color w:val="000000"/>
                <w:kern w:val="0"/>
                <w:sz w:val="18"/>
                <w:szCs w:val="18"/>
                <w:highlight w:val="none"/>
              </w:rPr>
            </w:pPr>
            <w:r>
              <w:rPr>
                <w:rFonts w:hint="eastAsia" w:asciiTheme="minorEastAsia" w:hAnsiTheme="minorEastAsia"/>
                <w:bCs/>
                <w:kern w:val="0"/>
                <w:sz w:val="18"/>
                <w:szCs w:val="18"/>
                <w:highlight w:val="none"/>
                <w:lang w:bidi="en-US"/>
              </w:rPr>
              <w:t>本项累计最高得</w:t>
            </w:r>
            <w:r>
              <w:rPr>
                <w:rFonts w:hint="eastAsia" w:asciiTheme="minorEastAsia" w:hAnsiTheme="minorEastAsia"/>
                <w:bCs/>
                <w:kern w:val="0"/>
                <w:sz w:val="18"/>
                <w:szCs w:val="18"/>
                <w:highlight w:val="none"/>
                <w:lang w:val="en-US" w:eastAsia="zh-CN" w:bidi="en-US"/>
              </w:rPr>
              <w:t>8</w:t>
            </w:r>
            <w:r>
              <w:rPr>
                <w:rFonts w:hint="eastAsia" w:asciiTheme="minorEastAsia" w:hAnsiTheme="minorEastAsia"/>
                <w:bCs/>
                <w:kern w:val="0"/>
                <w:sz w:val="18"/>
                <w:szCs w:val="18"/>
                <w:highlight w:val="none"/>
                <w:lang w:bidi="en-US"/>
              </w:rPr>
              <w:t>分。</w:t>
            </w:r>
          </w:p>
        </w:tc>
      </w:tr>
      <w:tr>
        <w:tblPrEx>
          <w:tblCellMar>
            <w:top w:w="0" w:type="dxa"/>
            <w:left w:w="108" w:type="dxa"/>
            <w:bottom w:w="0" w:type="dxa"/>
            <w:right w:w="108" w:type="dxa"/>
          </w:tblCellMar>
        </w:tblPrEx>
        <w:trPr>
          <w:trHeight w:val="810" w:hRule="atLeast"/>
        </w:trPr>
        <w:tc>
          <w:tcPr>
            <w:tcW w:w="959" w:type="dxa"/>
            <w:vMerge w:val="restart"/>
            <w:tcBorders>
              <w:top w:val="single" w:color="auto" w:sz="4" w:space="0"/>
              <w:left w:val="single" w:color="auto" w:sz="4" w:space="0"/>
              <w:right w:val="single" w:color="auto" w:sz="4" w:space="0"/>
            </w:tcBorders>
            <w:vAlign w:val="center"/>
          </w:tcPr>
          <w:p>
            <w:pPr>
              <w:widowControl/>
              <w:jc w:val="center"/>
              <w:rPr>
                <w:rFonts w:cs="宋体" w:asciiTheme="minorEastAsia" w:hAnsiTheme="minorEastAsia"/>
                <w:color w:val="000000"/>
                <w:kern w:val="0"/>
                <w:sz w:val="18"/>
                <w:szCs w:val="18"/>
                <w:highlight w:val="none"/>
              </w:rPr>
            </w:pPr>
          </w:p>
          <w:p>
            <w:pPr>
              <w:widowControl/>
              <w:jc w:val="center"/>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技术部分</w:t>
            </w:r>
          </w:p>
          <w:p>
            <w:pPr>
              <w:widowControl/>
              <w:jc w:val="center"/>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（2</w:t>
            </w:r>
            <w:r>
              <w:rPr>
                <w:rFonts w:hint="eastAsia" w:cs="宋体" w:asciiTheme="minorEastAsia" w:hAnsiTheme="minorEastAsia"/>
                <w:color w:val="000000"/>
                <w:kern w:val="0"/>
                <w:sz w:val="18"/>
                <w:szCs w:val="18"/>
                <w:highlight w:val="none"/>
                <w:lang w:val="en-US" w:eastAsia="zh-CN"/>
              </w:rPr>
              <w:t>6</w:t>
            </w:r>
            <w:r>
              <w:rPr>
                <w:rFonts w:hint="eastAsia" w:cs="宋体" w:asciiTheme="minorEastAsia" w:hAnsiTheme="minorEastAsia"/>
                <w:color w:val="000000"/>
                <w:kern w:val="0"/>
                <w:sz w:val="18"/>
                <w:szCs w:val="18"/>
                <w:highlight w:val="none"/>
              </w:rPr>
              <w:t>分）</w:t>
            </w:r>
          </w:p>
          <w:p>
            <w:pPr>
              <w:jc w:val="center"/>
              <w:rPr>
                <w:rFonts w:cs="宋体" w:asciiTheme="minorEastAsia" w:hAnsiTheme="minorEastAsia"/>
                <w:color w:val="000000"/>
                <w:kern w:val="0"/>
                <w:sz w:val="18"/>
                <w:szCs w:val="18"/>
                <w:highlight w:val="none"/>
              </w:rPr>
            </w:pPr>
          </w:p>
        </w:tc>
        <w:tc>
          <w:tcPr>
            <w:tcW w:w="1417"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售电方案</w:t>
            </w:r>
          </w:p>
        </w:tc>
        <w:tc>
          <w:tcPr>
            <w:tcW w:w="709" w:type="dxa"/>
            <w:tcBorders>
              <w:top w:val="nil"/>
              <w:left w:val="nil"/>
              <w:bottom w:val="single" w:color="auto" w:sz="4" w:space="0"/>
              <w:right w:val="single" w:color="auto" w:sz="4" w:space="0"/>
            </w:tcBorders>
            <w:vAlign w:val="center"/>
          </w:tcPr>
          <w:p>
            <w:pPr>
              <w:pStyle w:val="26"/>
              <w:spacing w:line="240" w:lineRule="auto"/>
              <w:ind w:firstLine="180" w:firstLineChars="100"/>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5</w:t>
            </w:r>
          </w:p>
        </w:tc>
        <w:tc>
          <w:tcPr>
            <w:tcW w:w="6271" w:type="dxa"/>
            <w:tcBorders>
              <w:top w:val="nil"/>
              <w:left w:val="nil"/>
              <w:bottom w:val="single" w:color="auto" w:sz="4" w:space="0"/>
              <w:right w:val="single" w:color="auto" w:sz="4" w:space="0"/>
            </w:tcBorders>
            <w:vAlign w:val="center"/>
          </w:tcPr>
          <w:p>
            <w:pPr>
              <w:pStyle w:val="26"/>
              <w:numPr>
                <w:ilvl w:val="2"/>
                <w:numId w:val="5"/>
              </w:numPr>
              <w:spacing w:line="240" w:lineRule="auto"/>
              <w:ind w:left="-1" w:leftChars="-50" w:hanging="104" w:hangingChars="58"/>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完全满足竞选文件“二、采购内容及需求”内容，市场联动价格同意按照5%参照月度中长期交易综合价；5%参照日前市场月度综合价计价。得5分；</w:t>
            </w:r>
          </w:p>
          <w:p>
            <w:pPr>
              <w:pStyle w:val="26"/>
              <w:numPr>
                <w:ilvl w:val="2"/>
                <w:numId w:val="5"/>
              </w:numPr>
              <w:spacing w:line="240" w:lineRule="auto"/>
              <w:ind w:left="-1" w:leftChars="-50" w:hanging="104" w:hangingChars="58"/>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市场联动价格方案不同意按照5%参照月度中长期交易综合价；5%参照日前市场月度综合价计价，但该方案经综合评价为优。并除该项外，完全满足竞选文件“二、采购内容及需求”其他内容。得3分；</w:t>
            </w:r>
          </w:p>
          <w:p>
            <w:pPr>
              <w:pStyle w:val="26"/>
              <w:numPr>
                <w:ilvl w:val="2"/>
                <w:numId w:val="5"/>
              </w:numPr>
              <w:spacing w:line="240" w:lineRule="auto"/>
              <w:ind w:left="-1" w:leftChars="-50" w:hanging="104" w:hangingChars="58"/>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市场联动价格方案不同意按照5%参照月度中长期交易综合价；5%参照日前市场月度综合价计价，但该方案经综合评价为良。并除该项外，完全满足竞选文件“二、采购内容及需求”其他内容。得2分；</w:t>
            </w:r>
          </w:p>
          <w:p>
            <w:pPr>
              <w:pStyle w:val="26"/>
              <w:numPr>
                <w:ilvl w:val="2"/>
                <w:numId w:val="5"/>
              </w:numPr>
              <w:spacing w:line="240" w:lineRule="auto"/>
              <w:ind w:left="-1" w:leftChars="-50" w:hanging="104" w:hangingChars="58"/>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市场联动价格方案不同意按照5%参照月度中长期交易综合价；5%参照日前市场月度综合价计价，但该方案经综合评价为中。并除该项外，完全满足竞选文件“二、采购内容及需求”其他内容。得1分；</w:t>
            </w:r>
          </w:p>
          <w:p>
            <w:pPr>
              <w:pStyle w:val="26"/>
              <w:numPr>
                <w:ilvl w:val="2"/>
                <w:numId w:val="5"/>
              </w:numPr>
              <w:spacing w:line="240" w:lineRule="auto"/>
              <w:ind w:left="-1" w:leftChars="-50" w:hanging="104" w:hangingChars="58"/>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其他情况，不得分。</w:t>
            </w:r>
          </w:p>
        </w:tc>
      </w:tr>
      <w:tr>
        <w:tblPrEx>
          <w:tblCellMar>
            <w:top w:w="0" w:type="dxa"/>
            <w:left w:w="108" w:type="dxa"/>
            <w:bottom w:w="0" w:type="dxa"/>
            <w:right w:w="108" w:type="dxa"/>
          </w:tblCellMar>
        </w:tblPrEx>
        <w:trPr>
          <w:trHeight w:val="810" w:hRule="atLeast"/>
        </w:trPr>
        <w:tc>
          <w:tcPr>
            <w:tcW w:w="959" w:type="dxa"/>
            <w:vMerge w:val="continue"/>
            <w:tcBorders>
              <w:top w:val="single" w:color="auto" w:sz="4" w:space="0"/>
              <w:left w:val="single" w:color="auto" w:sz="4" w:space="0"/>
              <w:right w:val="single" w:color="auto" w:sz="4" w:space="0"/>
            </w:tcBorders>
            <w:vAlign w:val="center"/>
          </w:tcPr>
          <w:p>
            <w:pPr>
              <w:widowControl/>
              <w:jc w:val="center"/>
              <w:rPr>
                <w:rFonts w:cs="宋体" w:asciiTheme="minorEastAsia" w:hAnsiTheme="minorEastAsia"/>
                <w:color w:val="000000"/>
                <w:kern w:val="0"/>
                <w:sz w:val="18"/>
                <w:szCs w:val="18"/>
                <w:highlight w:val="none"/>
              </w:rPr>
            </w:pPr>
          </w:p>
        </w:tc>
        <w:tc>
          <w:tcPr>
            <w:tcW w:w="1417"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履约能力</w:t>
            </w:r>
          </w:p>
        </w:tc>
        <w:tc>
          <w:tcPr>
            <w:tcW w:w="709" w:type="dxa"/>
            <w:tcBorders>
              <w:top w:val="nil"/>
              <w:left w:val="nil"/>
              <w:bottom w:val="single" w:color="auto" w:sz="4" w:space="0"/>
              <w:right w:val="single" w:color="auto" w:sz="4" w:space="0"/>
            </w:tcBorders>
            <w:vAlign w:val="center"/>
          </w:tcPr>
          <w:p>
            <w:pPr>
              <w:pStyle w:val="26"/>
              <w:spacing w:line="240" w:lineRule="auto"/>
              <w:ind w:firstLine="180" w:firstLineChars="100"/>
              <w:rPr>
                <w:rFonts w:hint="eastAsia" w:cs="宋体" w:asciiTheme="minorEastAsia" w:hAnsiTheme="minorEastAsia" w:eastAsiaTheme="minorEastAsia"/>
                <w:kern w:val="0"/>
                <w:sz w:val="18"/>
                <w:szCs w:val="18"/>
                <w:highlight w:val="none"/>
                <w:lang w:eastAsia="zh-CN"/>
              </w:rPr>
            </w:pPr>
            <w:r>
              <w:rPr>
                <w:rFonts w:hint="eastAsia" w:cs="宋体" w:asciiTheme="minorEastAsia" w:hAnsiTheme="minorEastAsia" w:eastAsiaTheme="minorEastAsia"/>
                <w:kern w:val="0"/>
                <w:sz w:val="18"/>
                <w:szCs w:val="18"/>
                <w:highlight w:val="none"/>
                <w:lang w:val="en-US" w:eastAsia="zh-CN"/>
              </w:rPr>
              <w:t>6</w:t>
            </w:r>
          </w:p>
        </w:tc>
        <w:tc>
          <w:tcPr>
            <w:tcW w:w="6271" w:type="dxa"/>
            <w:tcBorders>
              <w:top w:val="nil"/>
              <w:left w:val="nil"/>
              <w:bottom w:val="single" w:color="auto" w:sz="4" w:space="0"/>
              <w:right w:val="single" w:color="auto" w:sz="4" w:space="0"/>
            </w:tcBorders>
            <w:vAlign w:val="center"/>
          </w:tcPr>
          <w:p>
            <w:pPr>
              <w:pStyle w:val="26"/>
              <w:spacing w:line="240" w:lineRule="auto"/>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同意如若中标，在双方签订合同后提供由全国性股份银行或采购人认可的金融机构出具的截止日至202</w:t>
            </w:r>
            <w:r>
              <w:rPr>
                <w:rFonts w:hint="eastAsia" w:cs="宋体" w:asciiTheme="minorEastAsia" w:hAnsiTheme="minorEastAsia" w:eastAsiaTheme="minorEastAsia"/>
                <w:kern w:val="0"/>
                <w:sz w:val="18"/>
                <w:szCs w:val="18"/>
                <w:highlight w:val="none"/>
                <w:lang w:val="en-US" w:eastAsia="zh-CN"/>
              </w:rPr>
              <w:t>4</w:t>
            </w:r>
            <w:r>
              <w:rPr>
                <w:rFonts w:hint="eastAsia" w:cs="宋体" w:asciiTheme="minorEastAsia" w:hAnsiTheme="minorEastAsia" w:eastAsiaTheme="minorEastAsia"/>
                <w:kern w:val="0"/>
                <w:sz w:val="18"/>
                <w:szCs w:val="18"/>
                <w:highlight w:val="none"/>
              </w:rPr>
              <w:t>年12月31日，金额不少于人民币2000万的履约保函。（承诺函自拟）得</w:t>
            </w:r>
            <w:r>
              <w:rPr>
                <w:rFonts w:hint="eastAsia" w:cs="宋体" w:asciiTheme="minorEastAsia" w:hAnsiTheme="minorEastAsia" w:eastAsiaTheme="minorEastAsia"/>
                <w:kern w:val="0"/>
                <w:sz w:val="18"/>
                <w:szCs w:val="18"/>
                <w:highlight w:val="none"/>
                <w:lang w:val="en-US" w:eastAsia="zh-CN"/>
              </w:rPr>
              <w:t>6</w:t>
            </w:r>
            <w:r>
              <w:rPr>
                <w:rFonts w:hint="eastAsia" w:cs="宋体" w:asciiTheme="minorEastAsia" w:hAnsiTheme="minorEastAsia" w:eastAsiaTheme="minorEastAsia"/>
                <w:kern w:val="0"/>
                <w:sz w:val="18"/>
                <w:szCs w:val="18"/>
                <w:highlight w:val="none"/>
              </w:rPr>
              <w:t>分；</w:t>
            </w:r>
          </w:p>
          <w:p>
            <w:pPr>
              <w:pStyle w:val="26"/>
              <w:spacing w:line="240" w:lineRule="auto"/>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不同意提供上述履约保函不得分。</w:t>
            </w:r>
          </w:p>
        </w:tc>
      </w:tr>
      <w:tr>
        <w:tblPrEx>
          <w:tblCellMar>
            <w:top w:w="0" w:type="dxa"/>
            <w:left w:w="108" w:type="dxa"/>
            <w:bottom w:w="0" w:type="dxa"/>
            <w:right w:w="108" w:type="dxa"/>
          </w:tblCellMar>
        </w:tblPrEx>
        <w:trPr>
          <w:trHeight w:val="274" w:hRule="atLeast"/>
        </w:trPr>
        <w:tc>
          <w:tcPr>
            <w:tcW w:w="959" w:type="dxa"/>
            <w:vMerge w:val="continue"/>
            <w:tcBorders>
              <w:left w:val="single" w:color="auto" w:sz="4" w:space="0"/>
              <w:right w:val="single" w:color="auto" w:sz="4" w:space="0"/>
            </w:tcBorders>
            <w:vAlign w:val="center"/>
          </w:tcPr>
          <w:p>
            <w:pPr>
              <w:jc w:val="center"/>
              <w:rPr>
                <w:rFonts w:cs="宋体" w:asciiTheme="minorEastAsia" w:hAnsiTheme="minorEastAsia"/>
                <w:color w:val="000000"/>
                <w:kern w:val="0"/>
                <w:sz w:val="18"/>
                <w:szCs w:val="18"/>
                <w:highlight w:val="none"/>
              </w:rPr>
            </w:pPr>
          </w:p>
        </w:tc>
        <w:tc>
          <w:tcPr>
            <w:tcW w:w="1417" w:type="dxa"/>
            <w:tcBorders>
              <w:top w:val="nil"/>
              <w:left w:val="nil"/>
              <w:bottom w:val="single" w:color="auto" w:sz="4" w:space="0"/>
              <w:right w:val="single" w:color="auto" w:sz="4" w:space="0"/>
            </w:tcBorders>
            <w:vAlign w:val="center"/>
          </w:tcPr>
          <w:p>
            <w:pPr>
              <w:jc w:val="center"/>
              <w:rPr>
                <w:rFonts w:asciiTheme="minorEastAsia" w:hAnsiTheme="minorEastAsia"/>
                <w:sz w:val="18"/>
                <w:szCs w:val="18"/>
                <w:highlight w:val="none"/>
              </w:rPr>
            </w:pPr>
            <w:r>
              <w:rPr>
                <w:rFonts w:hint="eastAsia" w:asciiTheme="minorEastAsia" w:hAnsiTheme="minorEastAsia"/>
                <w:sz w:val="18"/>
                <w:szCs w:val="18"/>
                <w:highlight w:val="none"/>
              </w:rPr>
              <w:t>对项目的重点和难点的理解</w:t>
            </w:r>
          </w:p>
        </w:tc>
        <w:tc>
          <w:tcPr>
            <w:tcW w:w="709" w:type="dxa"/>
            <w:tcBorders>
              <w:top w:val="nil"/>
              <w:left w:val="nil"/>
              <w:bottom w:val="single" w:color="auto" w:sz="4" w:space="0"/>
              <w:right w:val="single" w:color="auto" w:sz="4" w:space="0"/>
            </w:tcBorders>
            <w:vAlign w:val="center"/>
          </w:tcPr>
          <w:p>
            <w:pPr>
              <w:jc w:val="center"/>
              <w:rPr>
                <w:rFonts w:asciiTheme="minorEastAsia" w:hAnsiTheme="minorEastAsia"/>
                <w:sz w:val="18"/>
                <w:szCs w:val="18"/>
                <w:highlight w:val="none"/>
              </w:rPr>
            </w:pPr>
            <w:r>
              <w:rPr>
                <w:rFonts w:hint="eastAsia" w:asciiTheme="minorEastAsia" w:hAnsiTheme="minorEastAsia"/>
                <w:sz w:val="18"/>
                <w:szCs w:val="18"/>
                <w:highlight w:val="none"/>
              </w:rPr>
              <w:t>9</w:t>
            </w:r>
          </w:p>
        </w:tc>
        <w:tc>
          <w:tcPr>
            <w:tcW w:w="6271" w:type="dxa"/>
            <w:tcBorders>
              <w:top w:val="nil"/>
              <w:left w:val="nil"/>
              <w:bottom w:val="single" w:color="auto" w:sz="4" w:space="0"/>
              <w:right w:val="single" w:color="auto" w:sz="4" w:space="0"/>
            </w:tcBorders>
            <w:shd w:val="clear" w:color="auto" w:fill="FFFFFF"/>
            <w:vAlign w:val="center"/>
          </w:tcPr>
          <w:p>
            <w:pPr>
              <w:pStyle w:val="18"/>
              <w:ind w:left="34"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投标人应充分理解项目的重点和难点，深入调研采购人的实际需求，为采购人提出有效可行的产品服务和解决方案。横向比较，综合评价为优，得7-9分；综合评价为良，得4-6分；综合评价为中，得1-3分；没有上述内容提供或其他，不得分。</w:t>
            </w:r>
          </w:p>
        </w:tc>
      </w:tr>
      <w:tr>
        <w:tblPrEx>
          <w:tblCellMar>
            <w:top w:w="0" w:type="dxa"/>
            <w:left w:w="108" w:type="dxa"/>
            <w:bottom w:w="0" w:type="dxa"/>
            <w:right w:w="108" w:type="dxa"/>
          </w:tblCellMar>
        </w:tblPrEx>
        <w:trPr>
          <w:trHeight w:val="274" w:hRule="atLeast"/>
        </w:trPr>
        <w:tc>
          <w:tcPr>
            <w:tcW w:w="959" w:type="dxa"/>
            <w:vMerge w:val="continue"/>
            <w:tcBorders>
              <w:left w:val="single" w:color="auto" w:sz="4" w:space="0"/>
              <w:right w:val="single" w:color="auto" w:sz="4" w:space="0"/>
            </w:tcBorders>
            <w:vAlign w:val="center"/>
          </w:tcPr>
          <w:p>
            <w:pPr>
              <w:jc w:val="center"/>
              <w:rPr>
                <w:rFonts w:cs="宋体" w:asciiTheme="minorEastAsia" w:hAnsiTheme="minorEastAsia"/>
                <w:color w:val="000000"/>
                <w:kern w:val="0"/>
                <w:sz w:val="18"/>
                <w:szCs w:val="18"/>
                <w:highlight w:val="none"/>
              </w:rPr>
            </w:pPr>
          </w:p>
        </w:tc>
        <w:tc>
          <w:tcPr>
            <w:tcW w:w="1417" w:type="dxa"/>
            <w:tcBorders>
              <w:top w:val="nil"/>
              <w:left w:val="nil"/>
              <w:bottom w:val="single" w:color="auto" w:sz="4" w:space="0"/>
              <w:right w:val="single" w:color="auto" w:sz="4" w:space="0"/>
            </w:tcBorders>
            <w:vAlign w:val="center"/>
          </w:tcPr>
          <w:p>
            <w:pPr>
              <w:rPr>
                <w:rFonts w:asciiTheme="minorEastAsia" w:hAnsiTheme="minorEastAsia"/>
                <w:sz w:val="18"/>
                <w:szCs w:val="18"/>
                <w:highlight w:val="none"/>
              </w:rPr>
            </w:pPr>
            <w:r>
              <w:rPr>
                <w:rFonts w:hint="eastAsia" w:asciiTheme="minorEastAsia" w:hAnsiTheme="minorEastAsia"/>
                <w:sz w:val="18"/>
                <w:szCs w:val="18"/>
                <w:highlight w:val="none"/>
              </w:rPr>
              <w:t>风险防范措施</w:t>
            </w:r>
          </w:p>
        </w:tc>
        <w:tc>
          <w:tcPr>
            <w:tcW w:w="709" w:type="dxa"/>
            <w:tcBorders>
              <w:top w:val="nil"/>
              <w:left w:val="nil"/>
              <w:bottom w:val="single" w:color="auto" w:sz="4" w:space="0"/>
              <w:right w:val="single" w:color="auto" w:sz="4" w:space="0"/>
            </w:tcBorders>
            <w:vAlign w:val="center"/>
          </w:tcPr>
          <w:p>
            <w:pPr>
              <w:jc w:val="center"/>
              <w:rPr>
                <w:rFonts w:asciiTheme="minorEastAsia" w:hAnsiTheme="minorEastAsia"/>
                <w:sz w:val="18"/>
                <w:szCs w:val="18"/>
                <w:highlight w:val="none"/>
              </w:rPr>
            </w:pPr>
            <w:r>
              <w:rPr>
                <w:rFonts w:hint="eastAsia" w:asciiTheme="minorEastAsia" w:hAnsiTheme="minorEastAsia"/>
                <w:sz w:val="18"/>
                <w:szCs w:val="18"/>
                <w:highlight w:val="none"/>
              </w:rPr>
              <w:t>6</w:t>
            </w:r>
          </w:p>
        </w:tc>
        <w:tc>
          <w:tcPr>
            <w:tcW w:w="6271" w:type="dxa"/>
            <w:tcBorders>
              <w:top w:val="nil"/>
              <w:left w:val="nil"/>
              <w:bottom w:val="single" w:color="auto" w:sz="4" w:space="0"/>
              <w:right w:val="single" w:color="auto" w:sz="4" w:space="0"/>
            </w:tcBorders>
            <w:shd w:val="clear" w:color="auto" w:fill="FFFFFF"/>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投标人应对电量交易市场有充分的认知，具有丰富的市场交易经验，并制定科学严谨的风险防范措施，确保在市场变化的情况下，仍能按合同约定履行售电义务，保障采购人的合法利益。对投标人风险防范措施横向比较，</w:t>
            </w:r>
            <w:r>
              <w:rPr>
                <w:rFonts w:hint="eastAsia" w:cs="宋体" w:asciiTheme="minorEastAsia" w:hAnsiTheme="minorEastAsia"/>
                <w:color w:val="000000"/>
                <w:kern w:val="0"/>
                <w:sz w:val="18"/>
                <w:szCs w:val="18"/>
                <w:highlight w:val="none"/>
              </w:rPr>
              <w:t>综合评价为优，得4-6分；综合评价为良，得2-3分；综合评价为中，得0-1分；没有上述内容提供或其他，不得分。</w:t>
            </w:r>
          </w:p>
        </w:tc>
      </w:tr>
      <w:tr>
        <w:tblPrEx>
          <w:tblCellMar>
            <w:top w:w="0" w:type="dxa"/>
            <w:left w:w="108" w:type="dxa"/>
            <w:bottom w:w="0" w:type="dxa"/>
            <w:right w:w="108" w:type="dxa"/>
          </w:tblCellMar>
        </w:tblPrEx>
        <w:trPr>
          <w:trHeight w:val="897" w:hRule="atLeast"/>
        </w:trPr>
        <w:tc>
          <w:tcPr>
            <w:tcW w:w="959" w:type="dxa"/>
            <w:vMerge w:val="restart"/>
            <w:tcBorders>
              <w:top w:val="single" w:color="auto" w:sz="4" w:space="0"/>
              <w:left w:val="single" w:color="auto" w:sz="4" w:space="0"/>
              <w:right w:val="single" w:color="auto" w:sz="4" w:space="0"/>
            </w:tcBorders>
            <w:vAlign w:val="center"/>
          </w:tcPr>
          <w:p>
            <w:pPr>
              <w:widowControl/>
              <w:jc w:val="center"/>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价格部分</w:t>
            </w:r>
          </w:p>
          <w:p>
            <w:pPr>
              <w:widowControl/>
              <w:jc w:val="center"/>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（50分）</w:t>
            </w:r>
          </w:p>
        </w:tc>
        <w:tc>
          <w:tcPr>
            <w:tcW w:w="1417" w:type="dxa"/>
            <w:tcBorders>
              <w:top w:val="single" w:color="auto" w:sz="4" w:space="0"/>
              <w:left w:val="nil"/>
              <w:bottom w:val="single" w:color="auto" w:sz="4" w:space="0"/>
              <w:right w:val="single" w:color="auto" w:sz="4" w:space="0"/>
            </w:tcBorders>
            <w:vAlign w:val="center"/>
          </w:tcPr>
          <w:p>
            <w:pPr>
              <w:adjustRightInd w:val="0"/>
              <w:snapToGrid w:val="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平段电能量绝对价格</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left"/>
              <w:rPr>
                <w:rFonts w:cs="宋体" w:asciiTheme="minorEastAsia" w:hAnsiTheme="minorEastAsia"/>
                <w:color w:val="000000"/>
                <w:kern w:val="0"/>
                <w:sz w:val="18"/>
                <w:szCs w:val="18"/>
                <w:highlight w:val="none"/>
              </w:rPr>
            </w:pPr>
            <w:r>
              <w:rPr>
                <w:rFonts w:cs="宋体" w:asciiTheme="minorEastAsia" w:hAnsiTheme="minorEastAsia"/>
                <w:color w:val="000000"/>
                <w:kern w:val="0"/>
                <w:sz w:val="18"/>
                <w:szCs w:val="18"/>
                <w:highlight w:val="none"/>
              </w:rPr>
              <w:t>40</w:t>
            </w:r>
          </w:p>
        </w:tc>
        <w:tc>
          <w:tcPr>
            <w:tcW w:w="62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通过价格标有效性审查的投标人中，投标人报价的</w:t>
            </w:r>
            <w:r>
              <w:rPr>
                <w:rFonts w:hint="eastAsia" w:cs="宋体" w:asciiTheme="minorEastAsia" w:hAnsiTheme="minorEastAsia"/>
                <w:color w:val="FF0000"/>
                <w:kern w:val="0"/>
                <w:sz w:val="18"/>
                <w:szCs w:val="18"/>
                <w:highlight w:val="none"/>
              </w:rPr>
              <w:t>最低价</w:t>
            </w:r>
            <w:r>
              <w:rPr>
                <w:rFonts w:hint="eastAsia" w:cs="宋体" w:asciiTheme="minorEastAsia" w:hAnsiTheme="minorEastAsia"/>
                <w:color w:val="000000"/>
                <w:kern w:val="0"/>
                <w:sz w:val="18"/>
                <w:szCs w:val="18"/>
                <w:highlight w:val="none"/>
              </w:rPr>
              <w:t>为评标基准价，通过价格有效性审查的各投标人的价格评分统一按照方式计算：价格得分=评标基准价/有效投标价*</w:t>
            </w:r>
            <w:r>
              <w:rPr>
                <w:rFonts w:cs="宋体" w:asciiTheme="minorEastAsia" w:hAnsiTheme="minorEastAsia"/>
                <w:color w:val="000000"/>
                <w:kern w:val="0"/>
                <w:sz w:val="18"/>
                <w:szCs w:val="18"/>
                <w:highlight w:val="none"/>
              </w:rPr>
              <w:t>4</w:t>
            </w:r>
            <w:r>
              <w:rPr>
                <w:rFonts w:hint="eastAsia" w:cs="宋体" w:asciiTheme="minorEastAsia" w:hAnsiTheme="minorEastAsia"/>
                <w:color w:val="000000"/>
                <w:kern w:val="0"/>
                <w:sz w:val="18"/>
                <w:szCs w:val="18"/>
                <w:highlight w:val="none"/>
              </w:rPr>
              <w:t>0</w:t>
            </w:r>
          </w:p>
        </w:tc>
      </w:tr>
      <w:tr>
        <w:tblPrEx>
          <w:tblCellMar>
            <w:top w:w="0" w:type="dxa"/>
            <w:left w:w="108" w:type="dxa"/>
            <w:bottom w:w="0" w:type="dxa"/>
            <w:right w:w="108" w:type="dxa"/>
          </w:tblCellMar>
        </w:tblPrEx>
        <w:trPr>
          <w:trHeight w:val="897" w:hRule="atLeast"/>
        </w:trPr>
        <w:tc>
          <w:tcPr>
            <w:tcW w:w="959" w:type="dxa"/>
            <w:vMerge w:val="continue"/>
            <w:tcBorders>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18"/>
                <w:szCs w:val="18"/>
                <w:highlight w:val="none"/>
              </w:rPr>
            </w:pPr>
          </w:p>
        </w:tc>
        <w:tc>
          <w:tcPr>
            <w:tcW w:w="1417" w:type="dxa"/>
            <w:tcBorders>
              <w:top w:val="single" w:color="auto" w:sz="4" w:space="0"/>
              <w:left w:val="nil"/>
              <w:bottom w:val="single" w:color="auto" w:sz="4" w:space="0"/>
              <w:right w:val="single" w:color="auto" w:sz="4" w:space="0"/>
            </w:tcBorders>
            <w:vAlign w:val="center"/>
          </w:tcPr>
          <w:p>
            <w:pPr>
              <w:adjustRightInd w:val="0"/>
              <w:snapToGrid w:val="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按实际用电量 收取服务费</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1</w:t>
            </w:r>
            <w:r>
              <w:rPr>
                <w:rFonts w:cs="宋体" w:asciiTheme="minorEastAsia" w:hAnsiTheme="minorEastAsia"/>
                <w:color w:val="000000"/>
                <w:kern w:val="0"/>
                <w:sz w:val="18"/>
                <w:szCs w:val="18"/>
                <w:highlight w:val="none"/>
              </w:rPr>
              <w:t>0</w:t>
            </w:r>
          </w:p>
        </w:tc>
        <w:tc>
          <w:tcPr>
            <w:tcW w:w="62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通过价格标有效性审查的投标人中，投标人报价的</w:t>
            </w:r>
            <w:r>
              <w:rPr>
                <w:rFonts w:hint="eastAsia" w:cs="宋体" w:asciiTheme="minorEastAsia" w:hAnsiTheme="minorEastAsia"/>
                <w:color w:val="FF0000"/>
                <w:kern w:val="0"/>
                <w:sz w:val="18"/>
                <w:szCs w:val="18"/>
                <w:highlight w:val="none"/>
              </w:rPr>
              <w:t>最低价</w:t>
            </w:r>
            <w:r>
              <w:rPr>
                <w:rFonts w:hint="eastAsia" w:cs="宋体" w:asciiTheme="minorEastAsia" w:hAnsiTheme="minorEastAsia"/>
                <w:color w:val="000000"/>
                <w:kern w:val="0"/>
                <w:sz w:val="18"/>
                <w:szCs w:val="18"/>
                <w:highlight w:val="none"/>
              </w:rPr>
              <w:t>为评标基准价，通过价格有效性审查的各投标人的价格评分统一按照方式计算：价格得分=评标基准价/有效投标价*</w:t>
            </w:r>
            <w:r>
              <w:rPr>
                <w:rFonts w:cs="宋体" w:asciiTheme="minorEastAsia" w:hAnsiTheme="minorEastAsia"/>
                <w:color w:val="000000"/>
                <w:kern w:val="0"/>
                <w:sz w:val="18"/>
                <w:szCs w:val="18"/>
                <w:highlight w:val="none"/>
              </w:rPr>
              <w:t>1</w:t>
            </w:r>
            <w:r>
              <w:rPr>
                <w:rFonts w:hint="eastAsia" w:cs="宋体" w:asciiTheme="minorEastAsia" w:hAnsiTheme="minorEastAsia"/>
                <w:color w:val="000000"/>
                <w:kern w:val="0"/>
                <w:sz w:val="18"/>
                <w:szCs w:val="18"/>
                <w:highlight w:val="none"/>
              </w:rPr>
              <w:t>0</w:t>
            </w:r>
          </w:p>
        </w:tc>
      </w:tr>
      <w:bookmarkEnd w:id="4"/>
    </w:tbl>
    <w:p>
      <w:pPr>
        <w:ind w:firstLine="1680" w:firstLineChars="800"/>
        <w:jc w:val="left"/>
        <w:rPr>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6</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
    <w:nsid w:val="12D81932"/>
    <w:multiLevelType w:val="multilevel"/>
    <w:tmpl w:val="12D81932"/>
    <w:lvl w:ilvl="0" w:tentative="0">
      <w:start w:val="1"/>
      <w:numFmt w:val="chineseCountingThousand"/>
      <w:lvlText w:val="(%1)"/>
      <w:lvlJc w:val="left"/>
      <w:pPr>
        <w:ind w:left="900" w:hanging="420"/>
      </w:pPr>
    </w:lvl>
    <w:lvl w:ilvl="1" w:tentative="0">
      <w:start w:val="1"/>
      <w:numFmt w:val="decimal"/>
      <w:lvlText w:val="%2、"/>
      <w:lvlJc w:val="left"/>
      <w:pPr>
        <w:ind w:left="1695" w:hanging="795"/>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3">
    <w:nsid w:val="34654422"/>
    <w:multiLevelType w:val="multilevel"/>
    <w:tmpl w:val="34654422"/>
    <w:lvl w:ilvl="0" w:tentative="0">
      <w:start w:val="1"/>
      <w:numFmt w:val="decimal"/>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45F286A"/>
    <w:multiLevelType w:val="multilevel"/>
    <w:tmpl w:val="445F286A"/>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545B007D"/>
    <w:multiLevelType w:val="multilevel"/>
    <w:tmpl w:val="545B007D"/>
    <w:lvl w:ilvl="0" w:tentative="0">
      <w:start w:val="1"/>
      <w:numFmt w:val="chineseCountingThousand"/>
      <w:lvlText w:val="(%1)"/>
      <w:lvlJc w:val="left"/>
      <w:pPr>
        <w:ind w:left="1382" w:hanging="420"/>
      </w:pPr>
    </w:lvl>
    <w:lvl w:ilvl="1" w:tentative="0">
      <w:start w:val="1"/>
      <w:numFmt w:val="chineseCountingThousand"/>
      <w:lvlText w:val="(%2)"/>
      <w:lvlJc w:val="left"/>
      <w:pPr>
        <w:ind w:left="1802" w:hanging="420"/>
      </w:pPr>
    </w:lvl>
    <w:lvl w:ilvl="2" w:tentative="0">
      <w:start w:val="1"/>
      <w:numFmt w:val="lowerRoman"/>
      <w:lvlText w:val="%3."/>
      <w:lvlJc w:val="right"/>
      <w:pPr>
        <w:ind w:left="2222" w:hanging="420"/>
      </w:pPr>
    </w:lvl>
    <w:lvl w:ilvl="3" w:tentative="0">
      <w:start w:val="1"/>
      <w:numFmt w:val="decimal"/>
      <w:lvlText w:val="%4."/>
      <w:lvlJc w:val="left"/>
      <w:pPr>
        <w:ind w:left="2642" w:hanging="420"/>
      </w:pPr>
    </w:lvl>
    <w:lvl w:ilvl="4" w:tentative="0">
      <w:start w:val="1"/>
      <w:numFmt w:val="lowerLetter"/>
      <w:lvlText w:val="%5)"/>
      <w:lvlJc w:val="left"/>
      <w:pPr>
        <w:ind w:left="3062" w:hanging="420"/>
      </w:pPr>
    </w:lvl>
    <w:lvl w:ilvl="5" w:tentative="0">
      <w:start w:val="1"/>
      <w:numFmt w:val="lowerRoman"/>
      <w:lvlText w:val="%6."/>
      <w:lvlJc w:val="right"/>
      <w:pPr>
        <w:ind w:left="3482" w:hanging="420"/>
      </w:pPr>
    </w:lvl>
    <w:lvl w:ilvl="6" w:tentative="0">
      <w:start w:val="1"/>
      <w:numFmt w:val="decimal"/>
      <w:lvlText w:val="%7."/>
      <w:lvlJc w:val="left"/>
      <w:pPr>
        <w:ind w:left="3902" w:hanging="420"/>
      </w:pPr>
    </w:lvl>
    <w:lvl w:ilvl="7" w:tentative="0">
      <w:start w:val="1"/>
      <w:numFmt w:val="lowerLetter"/>
      <w:lvlText w:val="%8)"/>
      <w:lvlJc w:val="left"/>
      <w:pPr>
        <w:ind w:left="4322" w:hanging="420"/>
      </w:pPr>
    </w:lvl>
    <w:lvl w:ilvl="8" w:tentative="0">
      <w:start w:val="1"/>
      <w:numFmt w:val="lowerRoman"/>
      <w:lvlText w:val="%9."/>
      <w:lvlJc w:val="right"/>
      <w:pPr>
        <w:ind w:left="4742" w:hanging="420"/>
      </w:pPr>
    </w:lvl>
  </w:abstractNum>
  <w:abstractNum w:abstractNumId="6">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59BD65BB"/>
    <w:multiLevelType w:val="multilevel"/>
    <w:tmpl w:val="59BD65BB"/>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chineseCountingThousand"/>
      <w:lvlText w:val="(%3)"/>
      <w:lvlJc w:val="lef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66EC36DB"/>
    <w:multiLevelType w:val="multilevel"/>
    <w:tmpl w:val="66EC36DB"/>
    <w:lvl w:ilvl="0" w:tentative="0">
      <w:start w:val="1"/>
      <w:numFmt w:val="chineseCountingThousand"/>
      <w:lvlText w:val="(%1)"/>
      <w:lvlJc w:val="left"/>
      <w:pPr>
        <w:ind w:left="1382" w:hanging="420"/>
      </w:pPr>
    </w:lvl>
    <w:lvl w:ilvl="1" w:tentative="0">
      <w:start w:val="1"/>
      <w:numFmt w:val="chineseCountingThousand"/>
      <w:lvlText w:val="(%2)"/>
      <w:lvlJc w:val="left"/>
      <w:pPr>
        <w:ind w:left="1802" w:hanging="420"/>
      </w:pPr>
    </w:lvl>
    <w:lvl w:ilvl="2" w:tentative="0">
      <w:start w:val="1"/>
      <w:numFmt w:val="decimal"/>
      <w:lvlText w:val="（%3）"/>
      <w:lvlJc w:val="left"/>
      <w:pPr>
        <w:ind w:left="2522" w:hanging="720"/>
      </w:pPr>
      <w:rPr>
        <w:rFonts w:hint="default"/>
      </w:rPr>
    </w:lvl>
    <w:lvl w:ilvl="3" w:tentative="0">
      <w:start w:val="1"/>
      <w:numFmt w:val="decimal"/>
      <w:lvlText w:val="%4."/>
      <w:lvlJc w:val="left"/>
      <w:pPr>
        <w:ind w:left="2642" w:hanging="420"/>
      </w:pPr>
    </w:lvl>
    <w:lvl w:ilvl="4" w:tentative="0">
      <w:start w:val="1"/>
      <w:numFmt w:val="lowerLetter"/>
      <w:lvlText w:val="%5)"/>
      <w:lvlJc w:val="left"/>
      <w:pPr>
        <w:ind w:left="3062" w:hanging="420"/>
      </w:pPr>
    </w:lvl>
    <w:lvl w:ilvl="5" w:tentative="0">
      <w:start w:val="1"/>
      <w:numFmt w:val="lowerRoman"/>
      <w:lvlText w:val="%6."/>
      <w:lvlJc w:val="right"/>
      <w:pPr>
        <w:ind w:left="3482" w:hanging="420"/>
      </w:pPr>
    </w:lvl>
    <w:lvl w:ilvl="6" w:tentative="0">
      <w:start w:val="1"/>
      <w:numFmt w:val="decimal"/>
      <w:lvlText w:val="%7."/>
      <w:lvlJc w:val="left"/>
      <w:pPr>
        <w:ind w:left="3902" w:hanging="420"/>
      </w:pPr>
    </w:lvl>
    <w:lvl w:ilvl="7" w:tentative="0">
      <w:start w:val="1"/>
      <w:numFmt w:val="lowerLetter"/>
      <w:lvlText w:val="%8)"/>
      <w:lvlJc w:val="left"/>
      <w:pPr>
        <w:ind w:left="4322" w:hanging="420"/>
      </w:pPr>
    </w:lvl>
    <w:lvl w:ilvl="8" w:tentative="0">
      <w:start w:val="1"/>
      <w:numFmt w:val="lowerRoman"/>
      <w:lvlText w:val="%9."/>
      <w:lvlJc w:val="right"/>
      <w:pPr>
        <w:ind w:left="4742" w:hanging="420"/>
      </w:pPr>
    </w:lvl>
  </w:abstractNum>
  <w:abstractNum w:abstractNumId="9">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0">
    <w:nsid w:val="759779BD"/>
    <w:multiLevelType w:val="multilevel"/>
    <w:tmpl w:val="759779BD"/>
    <w:lvl w:ilvl="0" w:tentative="0">
      <w:start w:val="1"/>
      <w:numFmt w:val="decimal"/>
      <w:lvlText w:val="%1."/>
      <w:lvlJc w:val="left"/>
      <w:pPr>
        <w:ind w:left="980" w:hanging="420"/>
      </w:pPr>
      <w:rPr>
        <w:rFonts w:hint="eastAsia"/>
      </w:rPr>
    </w:lvl>
    <w:lvl w:ilvl="1" w:tentative="0">
      <w:start w:val="1"/>
      <w:numFmt w:val="decimal"/>
      <w:lvlText w:val="%2."/>
      <w:lvlJc w:val="left"/>
      <w:pPr>
        <w:ind w:left="140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9"/>
  </w:num>
  <w:num w:numId="2">
    <w:abstractNumId w:val="1"/>
  </w:num>
  <w:num w:numId="3">
    <w:abstractNumId w:val="4"/>
  </w:num>
  <w:num w:numId="4">
    <w:abstractNumId w:val="5"/>
  </w:num>
  <w:num w:numId="5">
    <w:abstractNumId w:val="8"/>
  </w:num>
  <w:num w:numId="6">
    <w:abstractNumId w:val="2"/>
  </w:num>
  <w:num w:numId="7">
    <w:abstractNumId w:val="3"/>
  </w:num>
  <w:num w:numId="8">
    <w:abstractNumId w:val="10"/>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mMyYjJlZTJiYmIyY2IxNmYxZmEzZTZkMjk3MTMifQ=="/>
  </w:docVars>
  <w:rsids>
    <w:rsidRoot w:val="00172A27"/>
    <w:rsid w:val="000025EC"/>
    <w:rsid w:val="000041DF"/>
    <w:rsid w:val="000046C2"/>
    <w:rsid w:val="00006CE6"/>
    <w:rsid w:val="00011F71"/>
    <w:rsid w:val="000134FD"/>
    <w:rsid w:val="00017FA0"/>
    <w:rsid w:val="00031D2B"/>
    <w:rsid w:val="000337E3"/>
    <w:rsid w:val="000365EF"/>
    <w:rsid w:val="00043BE9"/>
    <w:rsid w:val="00054EFA"/>
    <w:rsid w:val="00055462"/>
    <w:rsid w:val="00066EB5"/>
    <w:rsid w:val="000704AC"/>
    <w:rsid w:val="00071BF9"/>
    <w:rsid w:val="000775B8"/>
    <w:rsid w:val="0008426A"/>
    <w:rsid w:val="00084FC8"/>
    <w:rsid w:val="00087608"/>
    <w:rsid w:val="00092026"/>
    <w:rsid w:val="00094100"/>
    <w:rsid w:val="000A5555"/>
    <w:rsid w:val="000C012E"/>
    <w:rsid w:val="000D121B"/>
    <w:rsid w:val="000F74C2"/>
    <w:rsid w:val="00104D44"/>
    <w:rsid w:val="001131FD"/>
    <w:rsid w:val="00121884"/>
    <w:rsid w:val="001252F0"/>
    <w:rsid w:val="00125F32"/>
    <w:rsid w:val="0012625C"/>
    <w:rsid w:val="00131D18"/>
    <w:rsid w:val="00134C13"/>
    <w:rsid w:val="001360AA"/>
    <w:rsid w:val="00136FC2"/>
    <w:rsid w:val="00151472"/>
    <w:rsid w:val="001528F8"/>
    <w:rsid w:val="00153A45"/>
    <w:rsid w:val="0015519F"/>
    <w:rsid w:val="00155D1D"/>
    <w:rsid w:val="00156D80"/>
    <w:rsid w:val="001603B2"/>
    <w:rsid w:val="00160670"/>
    <w:rsid w:val="0016226C"/>
    <w:rsid w:val="00162B2B"/>
    <w:rsid w:val="001662F5"/>
    <w:rsid w:val="00167995"/>
    <w:rsid w:val="00172A27"/>
    <w:rsid w:val="00177DB2"/>
    <w:rsid w:val="001920C6"/>
    <w:rsid w:val="0019317C"/>
    <w:rsid w:val="001C550B"/>
    <w:rsid w:val="001D0286"/>
    <w:rsid w:val="001D06F3"/>
    <w:rsid w:val="001D7015"/>
    <w:rsid w:val="001F3443"/>
    <w:rsid w:val="001F38C3"/>
    <w:rsid w:val="001F3FA4"/>
    <w:rsid w:val="002018BC"/>
    <w:rsid w:val="00204CDD"/>
    <w:rsid w:val="00204E26"/>
    <w:rsid w:val="00205F1C"/>
    <w:rsid w:val="00206E35"/>
    <w:rsid w:val="00211957"/>
    <w:rsid w:val="00212346"/>
    <w:rsid w:val="00213918"/>
    <w:rsid w:val="00236C90"/>
    <w:rsid w:val="002428BB"/>
    <w:rsid w:val="00245A38"/>
    <w:rsid w:val="00253B03"/>
    <w:rsid w:val="002560DB"/>
    <w:rsid w:val="002656D8"/>
    <w:rsid w:val="00266350"/>
    <w:rsid w:val="002807AF"/>
    <w:rsid w:val="00282C8D"/>
    <w:rsid w:val="00286B34"/>
    <w:rsid w:val="002A03FC"/>
    <w:rsid w:val="002A57AE"/>
    <w:rsid w:val="002C14E6"/>
    <w:rsid w:val="002E0E03"/>
    <w:rsid w:val="002E275D"/>
    <w:rsid w:val="002E6ABB"/>
    <w:rsid w:val="002F0E2D"/>
    <w:rsid w:val="002F4FBD"/>
    <w:rsid w:val="002F5659"/>
    <w:rsid w:val="00304259"/>
    <w:rsid w:val="00304742"/>
    <w:rsid w:val="00304AAD"/>
    <w:rsid w:val="00305942"/>
    <w:rsid w:val="0031792F"/>
    <w:rsid w:val="0032748F"/>
    <w:rsid w:val="0032772B"/>
    <w:rsid w:val="00330308"/>
    <w:rsid w:val="00340385"/>
    <w:rsid w:val="00343367"/>
    <w:rsid w:val="00372405"/>
    <w:rsid w:val="003741AF"/>
    <w:rsid w:val="00395112"/>
    <w:rsid w:val="003960D2"/>
    <w:rsid w:val="003C76D0"/>
    <w:rsid w:val="003D691C"/>
    <w:rsid w:val="003D71E2"/>
    <w:rsid w:val="003E4F57"/>
    <w:rsid w:val="003E538E"/>
    <w:rsid w:val="003E7E90"/>
    <w:rsid w:val="003F48AB"/>
    <w:rsid w:val="00402245"/>
    <w:rsid w:val="004048A2"/>
    <w:rsid w:val="00406C52"/>
    <w:rsid w:val="004169BF"/>
    <w:rsid w:val="00441B01"/>
    <w:rsid w:val="00442D91"/>
    <w:rsid w:val="00443DDA"/>
    <w:rsid w:val="00445A22"/>
    <w:rsid w:val="00450DA4"/>
    <w:rsid w:val="00461A29"/>
    <w:rsid w:val="004631CC"/>
    <w:rsid w:val="00466D47"/>
    <w:rsid w:val="00470BC1"/>
    <w:rsid w:val="00470DDE"/>
    <w:rsid w:val="0047190A"/>
    <w:rsid w:val="00474B2B"/>
    <w:rsid w:val="00476C0F"/>
    <w:rsid w:val="00482C50"/>
    <w:rsid w:val="00484174"/>
    <w:rsid w:val="0049086D"/>
    <w:rsid w:val="00493C7F"/>
    <w:rsid w:val="004A0D8C"/>
    <w:rsid w:val="004A7756"/>
    <w:rsid w:val="004A7DA1"/>
    <w:rsid w:val="004B11D7"/>
    <w:rsid w:val="004D7DC8"/>
    <w:rsid w:val="004E0B4F"/>
    <w:rsid w:val="004E5FDB"/>
    <w:rsid w:val="004F2909"/>
    <w:rsid w:val="004F3575"/>
    <w:rsid w:val="004F36BB"/>
    <w:rsid w:val="004F45E1"/>
    <w:rsid w:val="005009F5"/>
    <w:rsid w:val="00501A8A"/>
    <w:rsid w:val="005033BB"/>
    <w:rsid w:val="005100FF"/>
    <w:rsid w:val="00527BD6"/>
    <w:rsid w:val="005311B9"/>
    <w:rsid w:val="00531702"/>
    <w:rsid w:val="005319AA"/>
    <w:rsid w:val="00535149"/>
    <w:rsid w:val="0054253B"/>
    <w:rsid w:val="005475E5"/>
    <w:rsid w:val="00562A90"/>
    <w:rsid w:val="00563670"/>
    <w:rsid w:val="00574762"/>
    <w:rsid w:val="00581D72"/>
    <w:rsid w:val="005859B1"/>
    <w:rsid w:val="005860A2"/>
    <w:rsid w:val="005A2B85"/>
    <w:rsid w:val="005B373C"/>
    <w:rsid w:val="005B50AF"/>
    <w:rsid w:val="005C005C"/>
    <w:rsid w:val="005C023D"/>
    <w:rsid w:val="005C0C06"/>
    <w:rsid w:val="005C1EE0"/>
    <w:rsid w:val="005C3E7E"/>
    <w:rsid w:val="005C500C"/>
    <w:rsid w:val="005D5C00"/>
    <w:rsid w:val="005E0BD1"/>
    <w:rsid w:val="005E4749"/>
    <w:rsid w:val="005E7842"/>
    <w:rsid w:val="005F0529"/>
    <w:rsid w:val="005F3031"/>
    <w:rsid w:val="005F4AFD"/>
    <w:rsid w:val="00601474"/>
    <w:rsid w:val="0060194E"/>
    <w:rsid w:val="00603628"/>
    <w:rsid w:val="00603F0D"/>
    <w:rsid w:val="0060579F"/>
    <w:rsid w:val="006074A1"/>
    <w:rsid w:val="006133C3"/>
    <w:rsid w:val="006139CF"/>
    <w:rsid w:val="006157FE"/>
    <w:rsid w:val="00620929"/>
    <w:rsid w:val="006326E3"/>
    <w:rsid w:val="006401BA"/>
    <w:rsid w:val="00643C6C"/>
    <w:rsid w:val="00646399"/>
    <w:rsid w:val="006633E3"/>
    <w:rsid w:val="00671B8A"/>
    <w:rsid w:val="00671D4B"/>
    <w:rsid w:val="006765CF"/>
    <w:rsid w:val="00677B7D"/>
    <w:rsid w:val="00680BA9"/>
    <w:rsid w:val="0068111A"/>
    <w:rsid w:val="006814C2"/>
    <w:rsid w:val="00682622"/>
    <w:rsid w:val="006963AF"/>
    <w:rsid w:val="006A1E2D"/>
    <w:rsid w:val="006A3BB3"/>
    <w:rsid w:val="006A4371"/>
    <w:rsid w:val="006A5CC4"/>
    <w:rsid w:val="006B199E"/>
    <w:rsid w:val="006B71ED"/>
    <w:rsid w:val="006C0BB9"/>
    <w:rsid w:val="006C3BA5"/>
    <w:rsid w:val="006D0F63"/>
    <w:rsid w:val="006D40FC"/>
    <w:rsid w:val="006D6938"/>
    <w:rsid w:val="006D7FA1"/>
    <w:rsid w:val="006E7646"/>
    <w:rsid w:val="006F2F14"/>
    <w:rsid w:val="006F4527"/>
    <w:rsid w:val="006F559B"/>
    <w:rsid w:val="00701D68"/>
    <w:rsid w:val="007029DA"/>
    <w:rsid w:val="00705503"/>
    <w:rsid w:val="00705D20"/>
    <w:rsid w:val="007128D0"/>
    <w:rsid w:val="00714007"/>
    <w:rsid w:val="00733C56"/>
    <w:rsid w:val="0075070C"/>
    <w:rsid w:val="00760ACA"/>
    <w:rsid w:val="00761C6B"/>
    <w:rsid w:val="007671A9"/>
    <w:rsid w:val="007779C8"/>
    <w:rsid w:val="00777AB4"/>
    <w:rsid w:val="00784E71"/>
    <w:rsid w:val="007869DB"/>
    <w:rsid w:val="00787196"/>
    <w:rsid w:val="00792768"/>
    <w:rsid w:val="007A13C5"/>
    <w:rsid w:val="007A6D41"/>
    <w:rsid w:val="007A7895"/>
    <w:rsid w:val="007B2717"/>
    <w:rsid w:val="007B3C5F"/>
    <w:rsid w:val="007C01C5"/>
    <w:rsid w:val="007D2560"/>
    <w:rsid w:val="007E2195"/>
    <w:rsid w:val="007E3247"/>
    <w:rsid w:val="007E5EAB"/>
    <w:rsid w:val="007F201B"/>
    <w:rsid w:val="00802CB8"/>
    <w:rsid w:val="00804AB7"/>
    <w:rsid w:val="00807B8B"/>
    <w:rsid w:val="008139C8"/>
    <w:rsid w:val="008203A0"/>
    <w:rsid w:val="008217FF"/>
    <w:rsid w:val="008233B6"/>
    <w:rsid w:val="00836B35"/>
    <w:rsid w:val="008433A6"/>
    <w:rsid w:val="00850C95"/>
    <w:rsid w:val="00851BE2"/>
    <w:rsid w:val="0085467F"/>
    <w:rsid w:val="00854F52"/>
    <w:rsid w:val="00856C32"/>
    <w:rsid w:val="00865633"/>
    <w:rsid w:val="008704B7"/>
    <w:rsid w:val="00883690"/>
    <w:rsid w:val="00886649"/>
    <w:rsid w:val="00887719"/>
    <w:rsid w:val="008911DA"/>
    <w:rsid w:val="008952EA"/>
    <w:rsid w:val="008A600E"/>
    <w:rsid w:val="008A700A"/>
    <w:rsid w:val="008B389F"/>
    <w:rsid w:val="008D0411"/>
    <w:rsid w:val="008D0561"/>
    <w:rsid w:val="008D19F5"/>
    <w:rsid w:val="008D471D"/>
    <w:rsid w:val="008D7E50"/>
    <w:rsid w:val="008E7244"/>
    <w:rsid w:val="008F0785"/>
    <w:rsid w:val="008F7CF5"/>
    <w:rsid w:val="00903F55"/>
    <w:rsid w:val="00910331"/>
    <w:rsid w:val="00911BF5"/>
    <w:rsid w:val="00920579"/>
    <w:rsid w:val="009325E3"/>
    <w:rsid w:val="00936314"/>
    <w:rsid w:val="00943A43"/>
    <w:rsid w:val="00947D4B"/>
    <w:rsid w:val="00950B98"/>
    <w:rsid w:val="00953AE7"/>
    <w:rsid w:val="00954038"/>
    <w:rsid w:val="00954F62"/>
    <w:rsid w:val="00956392"/>
    <w:rsid w:val="00961F75"/>
    <w:rsid w:val="00964377"/>
    <w:rsid w:val="00964E67"/>
    <w:rsid w:val="00972237"/>
    <w:rsid w:val="009930C2"/>
    <w:rsid w:val="00994C4E"/>
    <w:rsid w:val="00996F07"/>
    <w:rsid w:val="00996F2E"/>
    <w:rsid w:val="009B252A"/>
    <w:rsid w:val="009B63A8"/>
    <w:rsid w:val="009D20F5"/>
    <w:rsid w:val="009D4CB5"/>
    <w:rsid w:val="009D591B"/>
    <w:rsid w:val="009D62F1"/>
    <w:rsid w:val="009E0F94"/>
    <w:rsid w:val="009F22E0"/>
    <w:rsid w:val="009F7F20"/>
    <w:rsid w:val="00A00A47"/>
    <w:rsid w:val="00A039CA"/>
    <w:rsid w:val="00A1326C"/>
    <w:rsid w:val="00A15FEC"/>
    <w:rsid w:val="00A21F52"/>
    <w:rsid w:val="00A23778"/>
    <w:rsid w:val="00A23A51"/>
    <w:rsid w:val="00A26562"/>
    <w:rsid w:val="00A26AAD"/>
    <w:rsid w:val="00A30091"/>
    <w:rsid w:val="00A47F45"/>
    <w:rsid w:val="00A56B98"/>
    <w:rsid w:val="00A56F06"/>
    <w:rsid w:val="00A63A1C"/>
    <w:rsid w:val="00A65C4B"/>
    <w:rsid w:val="00A66E25"/>
    <w:rsid w:val="00A70F6A"/>
    <w:rsid w:val="00A8655B"/>
    <w:rsid w:val="00A86740"/>
    <w:rsid w:val="00A9110E"/>
    <w:rsid w:val="00A93C1E"/>
    <w:rsid w:val="00A9620E"/>
    <w:rsid w:val="00AA7926"/>
    <w:rsid w:val="00AD0A84"/>
    <w:rsid w:val="00AD0EAC"/>
    <w:rsid w:val="00AD26CE"/>
    <w:rsid w:val="00AD5104"/>
    <w:rsid w:val="00AE07C4"/>
    <w:rsid w:val="00AE5450"/>
    <w:rsid w:val="00AE7619"/>
    <w:rsid w:val="00B11C01"/>
    <w:rsid w:val="00B25413"/>
    <w:rsid w:val="00B3439E"/>
    <w:rsid w:val="00B35BF8"/>
    <w:rsid w:val="00B35E77"/>
    <w:rsid w:val="00B40C3B"/>
    <w:rsid w:val="00B46A1A"/>
    <w:rsid w:val="00B473E4"/>
    <w:rsid w:val="00B550C1"/>
    <w:rsid w:val="00B6016D"/>
    <w:rsid w:val="00B6234D"/>
    <w:rsid w:val="00B7188E"/>
    <w:rsid w:val="00B802FF"/>
    <w:rsid w:val="00B92D92"/>
    <w:rsid w:val="00BA30B9"/>
    <w:rsid w:val="00BA4761"/>
    <w:rsid w:val="00BA5119"/>
    <w:rsid w:val="00BB01D7"/>
    <w:rsid w:val="00BB0A73"/>
    <w:rsid w:val="00BB1CAC"/>
    <w:rsid w:val="00BC1D8F"/>
    <w:rsid w:val="00BC1DDF"/>
    <w:rsid w:val="00BC2EF5"/>
    <w:rsid w:val="00BD137E"/>
    <w:rsid w:val="00BD5998"/>
    <w:rsid w:val="00BD6859"/>
    <w:rsid w:val="00C02D4F"/>
    <w:rsid w:val="00C2013A"/>
    <w:rsid w:val="00C21B6F"/>
    <w:rsid w:val="00C24901"/>
    <w:rsid w:val="00C25A28"/>
    <w:rsid w:val="00C34923"/>
    <w:rsid w:val="00C34E86"/>
    <w:rsid w:val="00C35BE0"/>
    <w:rsid w:val="00C360CE"/>
    <w:rsid w:val="00C3749D"/>
    <w:rsid w:val="00C6670F"/>
    <w:rsid w:val="00C66ABC"/>
    <w:rsid w:val="00C73730"/>
    <w:rsid w:val="00C81B8E"/>
    <w:rsid w:val="00C8431F"/>
    <w:rsid w:val="00C923A0"/>
    <w:rsid w:val="00CA185B"/>
    <w:rsid w:val="00CA1A83"/>
    <w:rsid w:val="00CA29E4"/>
    <w:rsid w:val="00CB3548"/>
    <w:rsid w:val="00CB6FFA"/>
    <w:rsid w:val="00CB7D96"/>
    <w:rsid w:val="00CD0354"/>
    <w:rsid w:val="00CD2472"/>
    <w:rsid w:val="00CD49B7"/>
    <w:rsid w:val="00CD5BBA"/>
    <w:rsid w:val="00CD6C03"/>
    <w:rsid w:val="00CE6AE9"/>
    <w:rsid w:val="00CF212B"/>
    <w:rsid w:val="00CF2D7C"/>
    <w:rsid w:val="00D02D4B"/>
    <w:rsid w:val="00D05844"/>
    <w:rsid w:val="00D11328"/>
    <w:rsid w:val="00D1380E"/>
    <w:rsid w:val="00D20136"/>
    <w:rsid w:val="00D21EBE"/>
    <w:rsid w:val="00D26C7E"/>
    <w:rsid w:val="00D27115"/>
    <w:rsid w:val="00D328F2"/>
    <w:rsid w:val="00D4050C"/>
    <w:rsid w:val="00D56296"/>
    <w:rsid w:val="00D6021C"/>
    <w:rsid w:val="00D62037"/>
    <w:rsid w:val="00D64649"/>
    <w:rsid w:val="00D66802"/>
    <w:rsid w:val="00D771A6"/>
    <w:rsid w:val="00D81CDB"/>
    <w:rsid w:val="00D96975"/>
    <w:rsid w:val="00DA1824"/>
    <w:rsid w:val="00DA2AA1"/>
    <w:rsid w:val="00DC3097"/>
    <w:rsid w:val="00DC4492"/>
    <w:rsid w:val="00DC67D9"/>
    <w:rsid w:val="00DD349E"/>
    <w:rsid w:val="00DD68F9"/>
    <w:rsid w:val="00DE79D9"/>
    <w:rsid w:val="00DF12E6"/>
    <w:rsid w:val="00E02FD4"/>
    <w:rsid w:val="00E06363"/>
    <w:rsid w:val="00E11332"/>
    <w:rsid w:val="00E16F92"/>
    <w:rsid w:val="00E276AA"/>
    <w:rsid w:val="00E312F0"/>
    <w:rsid w:val="00E31860"/>
    <w:rsid w:val="00E34E35"/>
    <w:rsid w:val="00E35E82"/>
    <w:rsid w:val="00E467F5"/>
    <w:rsid w:val="00E474FB"/>
    <w:rsid w:val="00E510A9"/>
    <w:rsid w:val="00E560B1"/>
    <w:rsid w:val="00E56CF2"/>
    <w:rsid w:val="00E66A82"/>
    <w:rsid w:val="00E70AB1"/>
    <w:rsid w:val="00E710E0"/>
    <w:rsid w:val="00E7654B"/>
    <w:rsid w:val="00E777DC"/>
    <w:rsid w:val="00E8151C"/>
    <w:rsid w:val="00E86368"/>
    <w:rsid w:val="00E928FC"/>
    <w:rsid w:val="00E933A8"/>
    <w:rsid w:val="00EB66D9"/>
    <w:rsid w:val="00EC2C42"/>
    <w:rsid w:val="00EC63AD"/>
    <w:rsid w:val="00ED5BEE"/>
    <w:rsid w:val="00ED5E29"/>
    <w:rsid w:val="00EE01B2"/>
    <w:rsid w:val="00EE2B9F"/>
    <w:rsid w:val="00EE67F0"/>
    <w:rsid w:val="00F01759"/>
    <w:rsid w:val="00F1390E"/>
    <w:rsid w:val="00F17F25"/>
    <w:rsid w:val="00F23EF1"/>
    <w:rsid w:val="00F24399"/>
    <w:rsid w:val="00F36482"/>
    <w:rsid w:val="00F463A6"/>
    <w:rsid w:val="00F471DF"/>
    <w:rsid w:val="00F5422B"/>
    <w:rsid w:val="00F555A8"/>
    <w:rsid w:val="00F56CDD"/>
    <w:rsid w:val="00F57F37"/>
    <w:rsid w:val="00F63A29"/>
    <w:rsid w:val="00F67C31"/>
    <w:rsid w:val="00F80400"/>
    <w:rsid w:val="00F83FBB"/>
    <w:rsid w:val="00FA0FD6"/>
    <w:rsid w:val="00FA1E8E"/>
    <w:rsid w:val="00FC0452"/>
    <w:rsid w:val="00FC0D86"/>
    <w:rsid w:val="00FC308C"/>
    <w:rsid w:val="00FC35E4"/>
    <w:rsid w:val="00FD0E0E"/>
    <w:rsid w:val="00FD3F02"/>
    <w:rsid w:val="00FE22F7"/>
    <w:rsid w:val="00FF24C6"/>
    <w:rsid w:val="00FF6134"/>
    <w:rsid w:val="1D486867"/>
    <w:rsid w:val="208F3436"/>
    <w:rsid w:val="24C37BD9"/>
    <w:rsid w:val="24E1746D"/>
    <w:rsid w:val="25000B9F"/>
    <w:rsid w:val="29D3352D"/>
    <w:rsid w:val="2D3F0B86"/>
    <w:rsid w:val="2FDC1DD9"/>
    <w:rsid w:val="318105E6"/>
    <w:rsid w:val="38616DC8"/>
    <w:rsid w:val="3B4320D1"/>
    <w:rsid w:val="3DCF0CED"/>
    <w:rsid w:val="40207363"/>
    <w:rsid w:val="41794360"/>
    <w:rsid w:val="47D15AD1"/>
    <w:rsid w:val="4D0B0327"/>
    <w:rsid w:val="53E02240"/>
    <w:rsid w:val="55BC644E"/>
    <w:rsid w:val="5B8D2011"/>
    <w:rsid w:val="6D535020"/>
    <w:rsid w:val="78E45BDC"/>
    <w:rsid w:val="7A7740CE"/>
    <w:rsid w:val="7A9125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rPr>
      <w:sz w:val="24"/>
    </w:rPr>
  </w:style>
  <w:style w:type="paragraph" w:styleId="3">
    <w:name w:val="Plain Text"/>
    <w:basedOn w:val="1"/>
    <w:link w:val="28"/>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4">
    <w:name w:val="Balloon Text"/>
    <w:basedOn w:val="1"/>
    <w:link w:val="19"/>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39"/>
    <w:pPr>
      <w:spacing w:line="360" w:lineRule="auto"/>
      <w:ind w:left="210"/>
      <w:jc w:val="left"/>
    </w:pPr>
    <w:rPr>
      <w:rFonts w:ascii="Calibri" w:hAnsi="Calibri" w:eastAsia="宋体" w:cs="Calibri"/>
      <w:smallCaps/>
      <w:sz w:val="20"/>
      <w:szCs w:val="22"/>
    </w:rPr>
  </w:style>
  <w:style w:type="paragraph" w:styleId="8">
    <w:name w:val="Normal (Web)"/>
    <w:basedOn w:val="1"/>
    <w:unhideWhenUsed/>
    <w:qFormat/>
    <w:uiPriority w:val="99"/>
    <w:pPr>
      <w:spacing w:beforeAutospacing="1" w:afterAutospacing="1"/>
      <w:jc w:val="left"/>
    </w:pPr>
    <w:rPr>
      <w:rFonts w:ascii="Times New Roman" w:hAnsi="Times New Roman" w:eastAsia="宋体" w:cs="Times New Roman"/>
      <w:kern w:val="0"/>
      <w:sz w:val="24"/>
    </w:rPr>
  </w:style>
  <w:style w:type="paragraph" w:styleId="9">
    <w:name w:val="Title"/>
    <w:basedOn w:val="1"/>
    <w:next w:val="1"/>
    <w:link w:val="25"/>
    <w:qFormat/>
    <w:uiPriority w:val="10"/>
    <w:pPr>
      <w:spacing w:before="240" w:after="60"/>
      <w:jc w:val="center"/>
      <w:outlineLvl w:val="0"/>
    </w:pPr>
    <w:rPr>
      <w:rFonts w:eastAsia="宋体" w:asciiTheme="majorHAnsi" w:hAnsiTheme="majorHAnsi" w:cstheme="majorBidi"/>
      <w:b/>
      <w:bCs/>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rPr>
      <w:i/>
    </w:rPr>
  </w:style>
  <w:style w:type="character" w:styleId="14">
    <w:name w:val="Hyperlink"/>
    <w:basedOn w:val="12"/>
    <w:unhideWhenUsed/>
    <w:qFormat/>
    <w:uiPriority w:val="99"/>
    <w:rPr>
      <w:color w:val="0000FF"/>
      <w:u w:val="single"/>
    </w:rPr>
  </w:style>
  <w:style w:type="paragraph" w:customStyle="1" w:styleId="15">
    <w:name w:val="列出段落1"/>
    <w:basedOn w:val="1"/>
    <w:unhideWhenUsed/>
    <w:qFormat/>
    <w:uiPriority w:val="34"/>
    <w:pPr>
      <w:ind w:firstLine="420" w:firstLineChars="200"/>
    </w:pPr>
  </w:style>
  <w:style w:type="paragraph" w:customStyle="1" w:styleId="16">
    <w:name w:val="_Style 3"/>
    <w:basedOn w:val="1"/>
    <w:unhideWhenUsed/>
    <w:qFormat/>
    <w:uiPriority w:val="99"/>
    <w:pPr>
      <w:ind w:firstLine="420" w:firstLineChars="200"/>
    </w:pPr>
    <w:rPr>
      <w:rFonts w:ascii="Times New Roman" w:hAnsi="Times New Roman"/>
    </w:rPr>
  </w:style>
  <w:style w:type="paragraph" w:customStyle="1" w:styleId="17">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8">
    <w:name w:val="List Paragraph"/>
    <w:basedOn w:val="1"/>
    <w:unhideWhenUsed/>
    <w:qFormat/>
    <w:uiPriority w:val="34"/>
    <w:pPr>
      <w:ind w:firstLine="420" w:firstLineChars="200"/>
    </w:pPr>
  </w:style>
  <w:style w:type="character" w:customStyle="1" w:styleId="19">
    <w:name w:val="批注框文本 Char"/>
    <w:basedOn w:val="12"/>
    <w:link w:val="4"/>
    <w:qFormat/>
    <w:uiPriority w:val="0"/>
    <w:rPr>
      <w:rFonts w:asciiTheme="minorHAnsi" w:hAnsiTheme="minorHAnsi" w:eastAsiaTheme="minorEastAsia" w:cstheme="minorBidi"/>
      <w:kern w:val="2"/>
      <w:sz w:val="18"/>
      <w:szCs w:val="18"/>
    </w:rPr>
  </w:style>
  <w:style w:type="character" w:customStyle="1" w:styleId="20">
    <w:name w:val="页眉 Char"/>
    <w:basedOn w:val="12"/>
    <w:link w:val="6"/>
    <w:qFormat/>
    <w:uiPriority w:val="0"/>
    <w:rPr>
      <w:rFonts w:asciiTheme="minorHAnsi" w:hAnsiTheme="minorHAnsi" w:eastAsiaTheme="minorEastAsia" w:cstheme="minorBidi"/>
      <w:kern w:val="2"/>
      <w:sz w:val="18"/>
      <w:szCs w:val="18"/>
    </w:rPr>
  </w:style>
  <w:style w:type="character" w:customStyle="1" w:styleId="21">
    <w:name w:val="xdrichtextbox2"/>
    <w:basedOn w:val="12"/>
    <w:qFormat/>
    <w:uiPriority w:val="0"/>
    <w:rPr>
      <w:color w:val="0000FF"/>
      <w:sz w:val="18"/>
      <w:szCs w:val="18"/>
      <w:u w:val="none"/>
      <w:bdr w:val="single" w:color="DCDCDC" w:sz="8" w:space="0"/>
      <w:shd w:val="clear" w:color="auto" w:fill="FFFFFF"/>
    </w:rPr>
  </w:style>
  <w:style w:type="paragraph" w:customStyle="1" w:styleId="22">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3">
    <w:name w:val="1_0"/>
    <w:basedOn w:val="1"/>
    <w:next w:val="24"/>
    <w:qFormat/>
    <w:uiPriority w:val="0"/>
    <w:rPr>
      <w:rFonts w:ascii="宋体" w:hAnsi="Courier New" w:eastAsia="宋体" w:cs="Times New Roman"/>
      <w:szCs w:val="22"/>
    </w:rPr>
  </w:style>
  <w:style w:type="paragraph" w:customStyle="1" w:styleId="24">
    <w:name w:val="纯文本1"/>
    <w:basedOn w:val="1"/>
    <w:qFormat/>
    <w:uiPriority w:val="0"/>
    <w:pPr>
      <w:widowControl/>
      <w:jc w:val="left"/>
    </w:pPr>
    <w:rPr>
      <w:rFonts w:ascii="宋体" w:hAnsi="Courier New" w:eastAsia="微软雅黑" w:cs="Times New Roman"/>
      <w:kern w:val="0"/>
      <w:sz w:val="20"/>
      <w:szCs w:val="21"/>
    </w:rPr>
  </w:style>
  <w:style w:type="character" w:customStyle="1" w:styleId="25">
    <w:name w:val="标题 Char"/>
    <w:basedOn w:val="12"/>
    <w:link w:val="9"/>
    <w:qFormat/>
    <w:uiPriority w:val="10"/>
    <w:rPr>
      <w:rFonts w:eastAsia="宋体" w:asciiTheme="majorHAnsi" w:hAnsiTheme="majorHAnsi" w:cstheme="majorBidi"/>
      <w:b/>
      <w:bCs/>
      <w:kern w:val="2"/>
      <w:sz w:val="32"/>
      <w:szCs w:val="32"/>
    </w:rPr>
  </w:style>
  <w:style w:type="paragraph" w:customStyle="1" w:styleId="26">
    <w:name w:val="！表格内容"/>
    <w:basedOn w:val="1"/>
    <w:qFormat/>
    <w:uiPriority w:val="0"/>
    <w:pPr>
      <w:spacing w:line="320" w:lineRule="atLeast"/>
    </w:pPr>
    <w:rPr>
      <w:rFonts w:ascii="Times New Roman" w:hAnsi="Times New Roman" w:eastAsia="宋体" w:cs="Times New Roman"/>
    </w:rPr>
  </w:style>
  <w:style w:type="paragraph" w:customStyle="1" w:styleId="27">
    <w:name w:val="正文_0"/>
    <w:qFormat/>
    <w:uiPriority w:val="0"/>
    <w:rPr>
      <w:rFonts w:ascii="Times New Roman" w:hAnsi="Times New Roman" w:eastAsia="宋体" w:cs="Times New Roman"/>
      <w:sz w:val="21"/>
      <w:lang w:val="en-US" w:eastAsia="zh-CN" w:bidi="ar-SA"/>
    </w:rPr>
  </w:style>
  <w:style w:type="character" w:customStyle="1" w:styleId="28">
    <w:name w:val="纯文本 Char"/>
    <w:basedOn w:val="12"/>
    <w:link w:val="3"/>
    <w:qFormat/>
    <w:uiPriority w:val="0"/>
    <w:rPr>
      <w:rFonts w:ascii="宋体" w:hAnsi="Courier New"/>
      <w:sz w:val="22"/>
      <w:szCs w:val="24"/>
    </w:rPr>
  </w:style>
  <w:style w:type="character" w:customStyle="1" w:styleId="29">
    <w:name w:val="font01"/>
    <w:qFormat/>
    <w:uiPriority w:val="0"/>
    <w:rPr>
      <w:rFonts w:hint="eastAsia" w:ascii="宋体" w:hAnsi="宋体" w:eastAsia="宋体" w:cs="宋体"/>
      <w:color w:val="000000"/>
      <w:sz w:val="21"/>
      <w:szCs w:val="21"/>
      <w:u w:val="none"/>
    </w:rPr>
  </w:style>
  <w:style w:type="character" w:customStyle="1" w:styleId="30">
    <w:name w:val="NormalCharacter"/>
    <w:qFormat/>
    <w:uiPriority w:val="0"/>
  </w:style>
  <w:style w:type="paragraph" w:customStyle="1" w:styleId="31">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2">
    <w:name w:val="font11"/>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6AD9-98C5-48E6-BF72-A76024BB018B}">
  <ds:schemaRefs/>
</ds:datastoreItem>
</file>

<file path=docProps/app.xml><?xml version="1.0" encoding="utf-8"?>
<Properties xmlns="http://schemas.openxmlformats.org/officeDocument/2006/extended-properties" xmlns:vt="http://schemas.openxmlformats.org/officeDocument/2006/docPropsVTypes">
  <Template>Normal.dotm</Template>
  <Company>dxcgs</Company>
  <Pages>12</Pages>
  <Words>1051</Words>
  <Characters>5991</Characters>
  <Lines>49</Lines>
  <Paragraphs>14</Paragraphs>
  <TotalTime>9</TotalTime>
  <ScaleCrop>false</ScaleCrop>
  <LinksUpToDate>false</LinksUpToDate>
  <CharactersWithSpaces>7028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2018-11-11T07:00:00Z</dcterms:created>
  <dc:creator>MoZH</dc:creator>
  <cp:lastModifiedBy>云上晴</cp:lastModifiedBy>
  <dcterms:modified xsi:type="dcterms:W3CDTF">2023-11-24T02:06:34Z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5A462A78BA8E47EDA7CCA4C35F774717_13</vt:lpwstr>
  </property>
</Properties>
</file>