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202311维保检修材料采购</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202311维保检修材料采购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限价8万元。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五金材料类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bookmarkStart w:id="0" w:name="_GoBack"/>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w:t>
      </w:r>
      <w:r>
        <w:rPr>
          <w:rFonts w:hint="eastAsia" w:ascii="宋体" w:hAnsi="宋体"/>
          <w:color w:val="auto"/>
          <w:sz w:val="24"/>
          <w:highlight w:val="none"/>
        </w:rPr>
        <w:t>日</w:t>
      </w:r>
      <w:bookmarkEnd w:id="0"/>
      <w:r>
        <w:rPr>
          <w:rFonts w:hint="eastAsia" w:ascii="宋体" w:hAnsi="宋体"/>
          <w:sz w:val="24"/>
          <w:highlight w:val="none"/>
        </w:rPr>
        <w:t>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202311维保检修材料采购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27 </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202311维保检修材料采购</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点塑手套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品牌:鸣固 点塑手套 G750点珠点胶防滑耐磨劳保手套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双</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98830" cy="753110"/>
                  <wp:effectExtent l="0" t="0" r="127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798830" cy="753110"/>
                          </a:xfrm>
                          <a:prstGeom prst="rect">
                            <a:avLst/>
                          </a:prstGeom>
                        </pic:spPr>
                      </pic:pic>
                    </a:graphicData>
                  </a:graphic>
                </wp:inline>
              </w:drawing>
            </w: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消毒水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滴露，1.8L/瓶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涤尘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欧娅乐，5KG/瓶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蓝色油漆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品牌：五羊、快干型醇酸（彩蓝）、</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8"/>
                <w:szCs w:val="8"/>
                <w:u w:val="none"/>
                <w:lang w:val="en-US" w:eastAsia="zh-CN" w:bidi="ar"/>
              </w:rPr>
            </w:pPr>
            <w:r>
              <w:rPr>
                <w:rFonts w:hint="eastAsia" w:ascii="宋体" w:hAnsi="宋体" w:eastAsia="宋体" w:cs="宋体"/>
                <w:i w:val="0"/>
                <w:iCs w:val="0"/>
                <w:color w:val="000000"/>
                <w:kern w:val="0"/>
                <w:sz w:val="16"/>
                <w:szCs w:val="16"/>
                <w:u w:val="none"/>
                <w:lang w:val="en-US" w:eastAsia="zh-CN" w:bidi="ar"/>
              </w:rPr>
              <w:t>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灰色油漆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品牌：五羊、快干型醇酸（中灰）、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8"/>
                <w:szCs w:val="8"/>
                <w:u w:val="none"/>
                <w:lang w:val="en-US" w:eastAsia="zh-CN" w:bidi="ar"/>
              </w:rPr>
            </w:pPr>
            <w:r>
              <w:rPr>
                <w:rFonts w:hint="eastAsia" w:ascii="宋体" w:hAnsi="宋体" w:eastAsia="宋体" w:cs="宋体"/>
                <w:i w:val="0"/>
                <w:iCs w:val="0"/>
                <w:color w:val="000000"/>
                <w:kern w:val="0"/>
                <w:sz w:val="16"/>
                <w:szCs w:val="16"/>
                <w:u w:val="none"/>
                <w:lang w:val="en-US" w:eastAsia="zh-CN" w:bidi="ar"/>
              </w:rPr>
              <w:t>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防锈漆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品牌：五羊、铁红醇酸底漆、15KG/桶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醇酸漆稀释剂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品牌：五羊牌：规格：12KG/桶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304不锈钢波纹管DN20,长300mm.6分接口G3/4螺纹（内径2.5cm），两头配螺帽、双头外丝直通和透明硅胶垫圈</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丝光细毛滚筒刷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304不锈钢，外牙直通 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阀芯压帽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恒森中央空调风机盘管电动阀 VA7010-8003   阀芯压帽DN20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5785" cy="497840"/>
                  <wp:effectExtent l="0" t="0" r="571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65785" cy="49784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阀芯卡扣</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e型卡簧挡圈卡环垫圈304不锈钢开口卡扣M3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16585" cy="247015"/>
                  <wp:effectExtent l="0" t="0" r="1206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616585" cy="24701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丁晴氟胶O型圈</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丁晴外径17*1.9</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不锈钢浮球阀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不锈钢直塞式浮球阀4分,DN15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7055" cy="531495"/>
                  <wp:effectExtent l="0" t="0" r="4445"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67055" cy="5314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不锈钢浮球阀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不锈钢直塞式浮球阀6分,DN20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不锈钢浮球阀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不锈钢直塞式浮球阀1寸,DN25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品牌3M，黄，绿，红色各30卷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3芯软线电缆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品牌：番禺电缆；规格：3*2.5平方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5芯软线电缆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品牌：番禺电缆；规格：5*1平方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自粘橡塑胶带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厚3MM*宽50MM*长10M  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36575" cy="468630"/>
                  <wp:effectExtent l="0" t="0" r="1587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36575" cy="46863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接线帽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品牌：CE-2,1000粒/包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灰色油漆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品牌：五羊、快干型醇酸（中灰）</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醇酸漆稀释剂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品牌：五羊牌：规格：12KG/桶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304不锈钢沉头十字自钻钻尾螺丝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规格：M4.2*19</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交流接触器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正泰 CJX2-0910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正泰 NR2-25 2.5-4A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金属套管水银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温度计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 滏阳仪表、材质304不锈钢、0～50℃、尾长100mm、精度1℃、4分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不锈钢浮球阀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不锈钢直塞式浮球阀6分,DN20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不锈钢浮球阀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不锈钢直塞式浮球阀4分,DN15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品牌：埃美柯  DN50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三星，SPB2150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三星，SPA1300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防尘口罩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品牌 CM朝美新2002滤菌款防尘口罩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28675" cy="639445"/>
                  <wp:effectExtent l="0" t="0" r="9525" b="825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828675" cy="6394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防护手套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3M 防滑耐磨手套丁腈掌浸手套防滑舒适型灰色XL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双</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48360" cy="840740"/>
                  <wp:effectExtent l="0" t="0" r="8890" b="165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848360" cy="84074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单肩手提加厚帆布工具包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品牌：法斯特   帆布维修加厚工具袋  16寸蓝黑四代(印 空调安装与维修)</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44550" cy="388620"/>
                  <wp:effectExtent l="0" t="0" r="12700" b="1143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844550" cy="388620"/>
                          </a:xfrm>
                          <a:prstGeom prst="rect">
                            <a:avLst/>
                          </a:prstGeom>
                        </pic:spPr>
                      </pic:pic>
                    </a:graphicData>
                  </a:graphic>
                </wp:inline>
              </w:drawing>
            </w:r>
            <w:r>
              <w:drawing>
                <wp:inline distT="0" distB="0" distL="114300" distR="114300">
                  <wp:extent cx="711200" cy="708025"/>
                  <wp:effectExtent l="0" t="0" r="12700" b="158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711200" cy="70802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网格轻便型防砸工作帽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品牌: 顶上飞羽   网格透气轻型防砸安全帽  藏青色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87400" cy="722630"/>
                  <wp:effectExtent l="0" t="0" r="12700" b="12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787400" cy="722630"/>
                          </a:xfrm>
                          <a:prstGeom prst="rect">
                            <a:avLst/>
                          </a:prstGeom>
                        </pic:spPr>
                      </pic:pic>
                    </a:graphicData>
                  </a:graphic>
                </wp:inline>
              </w:drawing>
            </w:r>
          </w:p>
        </w:tc>
      </w:tr>
      <w:tr>
        <w:tblPrEx>
          <w:tblCellMar>
            <w:top w:w="0" w:type="dxa"/>
            <w:left w:w="108" w:type="dxa"/>
            <w:bottom w:w="0" w:type="dxa"/>
            <w:right w:w="108" w:type="dxa"/>
          </w:tblCellMar>
        </w:tblPrEx>
        <w:trPr>
          <w:trHeight w:val="32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PVC给水胶水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品牌：联塑  100ML/瓶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联塑水管PVC</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Φ25 4米/条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联塑水管PVC</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Φ40 4米/条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联塑水管PVC</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Φ32 4米/条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PVC补漏片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开口三通PVC补漏片·160*50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PVC补漏片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开口三通PVC补漏片·110*32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Φ40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Φ40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6分（45度）弯头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联塑 白色 32X25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电源变压器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220伏变单15伏 交流 小玻璃保险2A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28700" cy="480695"/>
                  <wp:effectExtent l="0" t="0" r="0" b="1460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5"/>
                          <a:stretch>
                            <a:fillRect/>
                          </a:stretch>
                        </pic:blipFill>
                        <pic:spPr>
                          <a:xfrm>
                            <a:off x="0" y="0"/>
                            <a:ext cx="1028700" cy="4806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压力传感器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品牌：源诚、扩散硅压力变送器、量程0～1.6MPa、带显示4-20MA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中间继电器底座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正泰 CZY14A 14脚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点塑手套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品牌:鸣固 点塑手套 G750点珠点胶防滑耐 磨劳保手套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PVC盖板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白色 86方形附图片 网址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6440" cy="493395"/>
                  <wp:effectExtent l="0" t="0" r="16510" b="190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6"/>
                          <a:stretch>
                            <a:fillRect/>
                          </a:stretch>
                        </pic:blipFill>
                        <pic:spPr>
                          <a:xfrm>
                            <a:off x="0" y="0"/>
                            <a:ext cx="726440" cy="49339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端子盖、TC603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1031875" cy="1099185"/>
                  <wp:effectExtent l="0" t="0" r="15875" b="5715"/>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ChangeAspect="1"/>
                          </pic:cNvPicPr>
                        </pic:nvPicPr>
                        <pic:blipFill>
                          <a:blip r:embed="rId17"/>
                          <a:stretch>
                            <a:fillRect/>
                          </a:stretch>
                        </pic:blipFill>
                        <pic:spPr>
                          <a:xfrm>
                            <a:off x="0" y="0"/>
                            <a:ext cx="1031875" cy="109918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端子盖、TC1003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端子盖、TC1503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端子盖、TC2003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端子盖、TC604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端子盖、TC1004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端子盖、TC1504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端子透明防尘盖</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auto"/>
                <w:kern w:val="0"/>
                <w:sz w:val="16"/>
                <w:szCs w:val="16"/>
                <w:u w:val="none"/>
                <w:lang w:val="en-US" w:eastAsia="zh-CN" w:bidi="ar"/>
              </w:rPr>
              <w:t>端子盖、TC2004    附图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809"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集水盘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型号：1240*250mm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集水盘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型号：1440*250mm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集水盘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型号：1640*250mm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ABB断路器、3P、D型、63A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ABB断路器、3P、D型、50A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文流接触器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德力西、CJX2S-3201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文流接触器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德力西、CJX2S-5011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热过载继电器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正泰、NR2-93（80～93A）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热过载继电器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正泰、NR2-93（48～65A）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防火泥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防火泥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广州白云、SS801硅酮耐候密封胶、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透明、300ML/支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广州白云、SS611硅酮耐候密封胶、</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白色、300ML/支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橡胶手套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70CM 布里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双</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97535" cy="633095"/>
                  <wp:effectExtent l="0" t="0" r="12065" b="1460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8"/>
                          <a:stretch>
                            <a:fillRect/>
                          </a:stretch>
                        </pic:blipFill>
                        <pic:spPr>
                          <a:xfrm>
                            <a:off x="0" y="0"/>
                            <a:ext cx="597535" cy="6330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纯棉袖套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深蓝色 大号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双</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48005" cy="525780"/>
                  <wp:effectExtent l="0" t="0" r="4445" b="762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9"/>
                          <a:stretch>
                            <a:fillRect/>
                          </a:stretch>
                        </pic:blipFill>
                        <pic:spPr>
                          <a:xfrm>
                            <a:off x="0" y="0"/>
                            <a:ext cx="548005" cy="52578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抗震压力表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品牌：红旗仪表 规格：抗震压力表</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YTN-100 1.6级 0-1MPA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91820" cy="634365"/>
                  <wp:effectExtent l="0" t="0" r="17780" b="1333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20"/>
                          <a:stretch>
                            <a:fillRect/>
                          </a:stretch>
                        </pic:blipFill>
                        <pic:spPr>
                          <a:xfrm>
                            <a:off x="0" y="0"/>
                            <a:ext cx="591820" cy="63436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压力表缓冲管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材质：不锈钢； 螺纹M20*1.5 配密封垫片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封王2000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无水乙酵</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500ml/瓶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喷壶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0.8L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24865" cy="810260"/>
                  <wp:effectExtent l="0" t="0" r="13335" b="889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21"/>
                          <a:stretch>
                            <a:fillRect/>
                          </a:stretch>
                        </pic:blipFill>
                        <pic:spPr>
                          <a:xfrm>
                            <a:off x="0" y="0"/>
                            <a:ext cx="824865" cy="8102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锯齿刀片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前田锯齿刀片、18MM、10片/装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9285" cy="647065"/>
                  <wp:effectExtent l="0" t="0" r="18415" b="635"/>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2"/>
                          <a:stretch>
                            <a:fillRect/>
                          </a:stretch>
                        </pic:blipFill>
                        <pic:spPr>
                          <a:xfrm>
                            <a:off x="0" y="0"/>
                            <a:ext cx="629285" cy="64706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安全带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哥尔姆、GM3511安全带、全身五点式安全绳套装、高空作业防坠落、工程施工涤纶材质耐磨、单小钩1.8米、新国标GB6095-2021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01065" cy="885825"/>
                  <wp:effectExtent l="0" t="0" r="13335" b="9525"/>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23"/>
                          <a:stretch>
                            <a:fillRect/>
                          </a:stretch>
                        </pic:blipFill>
                        <pic:spPr>
                          <a:xfrm>
                            <a:off x="0" y="0"/>
                            <a:ext cx="901065" cy="88582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便携式清洗机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江天劲力霸便携式全自动高压清洗机；型号：展锐S800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86435" cy="721360"/>
                  <wp:effectExtent l="0" t="0" r="18415" b="2540"/>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ChangeAspect="1"/>
                          </pic:cNvPicPr>
                        </pic:nvPicPr>
                        <pic:blipFill>
                          <a:blip r:embed="rId24"/>
                          <a:stretch>
                            <a:fillRect/>
                          </a:stretch>
                        </pic:blipFill>
                        <pic:spPr>
                          <a:xfrm>
                            <a:off x="0" y="0"/>
                            <a:ext cx="686435" cy="7213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醇酸磁漆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电视塔，C04-2，深黄，17L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膨胀螺栓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M12×100，镀锌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德式铁皮剪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得力，DL4370,8寸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管托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DN50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上海飞轮牌 ，0#，120目</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防飞溅打磨切割护目镜</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霍尼韦尔，LG99200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付</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全身式安全带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3M,1390010，配双钩、安全绳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A4空白。防水。撕不烂干胶标签打印纸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汉唐。激光打印机。黄色。297*210mm。10张/包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自粘墙纸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米白色。加厚。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宽1米*10米/卷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海尔净水器滤芯套装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滤芯HRO400-5(A)，1235级，分别是熔喷聚丙烯滤芯PP棉、颗粒活性炭滤芯UDF、压缩活性滤芯CTO、后置活性滤芯AICRO</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机封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MB1-28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蓝色铁皮博文采光瓦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镀锌彩钢瓦，930×3200mm，厚度0.5mm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过线三角尺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60度，牧刻</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32765" cy="446405"/>
                  <wp:effectExtent l="0" t="0" r="6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5"/>
                          <a:stretch>
                            <a:fillRect/>
                          </a:stretch>
                        </pic:blipFill>
                        <pic:spPr>
                          <a:xfrm>
                            <a:off x="0" y="0"/>
                            <a:ext cx="532765" cy="4464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止规</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62114，亲和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8025" cy="1025525"/>
                  <wp:effectExtent l="0" t="0" r="1587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708025" cy="102552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99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天那水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电视塔，通用性，10kg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美缝胶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硅宝，幻彩系列，白色，配胶枪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101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中性硅酮结构胶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硅宝，999，软包，黑色，配施工工具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102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单轨小车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武林飞鸽，GCT3,手推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103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水泵高弹减振胶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240*240*40，按样,见图。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
                <w:szCs w:val="4"/>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r>
              <w:drawing>
                <wp:inline distT="0" distB="0" distL="114300" distR="114300">
                  <wp:extent cx="497205" cy="372745"/>
                  <wp:effectExtent l="0" t="0" r="17145" b="825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27"/>
                          <a:stretch>
                            <a:fillRect/>
                          </a:stretch>
                        </pic:blipFill>
                        <pic:spPr>
                          <a:xfrm>
                            <a:off x="0" y="0"/>
                            <a:ext cx="497205" cy="372745"/>
                          </a:xfrm>
                          <a:prstGeom prst="rect">
                            <a:avLst/>
                          </a:prstGeom>
                        </pic:spPr>
                      </pic:pic>
                    </a:graphicData>
                  </a:graphic>
                </wp:inline>
              </w:drawing>
            </w:r>
            <w:r>
              <w:drawing>
                <wp:inline distT="0" distB="0" distL="114300" distR="114300">
                  <wp:extent cx="441325" cy="588010"/>
                  <wp:effectExtent l="0" t="0" r="15875" b="254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ChangeAspect="1"/>
                          </pic:cNvPicPr>
                        </pic:nvPicPr>
                        <pic:blipFill>
                          <a:blip r:embed="rId28"/>
                          <a:stretch>
                            <a:fillRect/>
                          </a:stretch>
                        </pic:blipFill>
                        <pic:spPr>
                          <a:xfrm>
                            <a:off x="0" y="0"/>
                            <a:ext cx="441325" cy="588010"/>
                          </a:xfrm>
                          <a:prstGeom prst="rect">
                            <a:avLst/>
                          </a:prstGeom>
                        </pic:spPr>
                      </pic:pic>
                    </a:graphicData>
                  </a:graphic>
                </wp:inline>
              </w:drawing>
            </w:r>
          </w:p>
          <w:p>
            <w:pPr>
              <w:keepNext w:val="0"/>
              <w:keepLines w:val="0"/>
              <w:widowControl/>
              <w:suppressLineNumbers w:val="0"/>
              <w:jc w:val="center"/>
              <w:textAlignment w:val="center"/>
              <w:rPr>
                <w:rFonts w:hint="eastAsia"/>
                <w:lang w:val="en-US" w:eastAsia="zh-CN"/>
              </w:rPr>
            </w:pPr>
            <w:r>
              <w:drawing>
                <wp:inline distT="0" distB="0" distL="114300" distR="114300">
                  <wp:extent cx="887730" cy="667385"/>
                  <wp:effectExtent l="0" t="0" r="7620" b="1841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29"/>
                          <a:stretch>
                            <a:fillRect/>
                          </a:stretch>
                        </pic:blipFill>
                        <pic:spPr>
                          <a:xfrm>
                            <a:off x="0" y="0"/>
                            <a:ext cx="887730" cy="667385"/>
                          </a:xfrm>
                          <a:prstGeom prst="rect">
                            <a:avLst/>
                          </a:prstGeom>
                        </pic:spPr>
                      </pic:pic>
                    </a:graphicData>
                  </a:graphic>
                </wp:inline>
              </w:drawing>
            </w: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202311维保检修材料采购</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202311维保检修材料采购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202311维保检修材料采购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202311维保检修材料采购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A408FA"/>
    <w:rsid w:val="02AB796C"/>
    <w:rsid w:val="04105D4C"/>
    <w:rsid w:val="04DA3066"/>
    <w:rsid w:val="04FD4D5A"/>
    <w:rsid w:val="0510693F"/>
    <w:rsid w:val="06690B1E"/>
    <w:rsid w:val="096528A8"/>
    <w:rsid w:val="0A137023"/>
    <w:rsid w:val="0A797599"/>
    <w:rsid w:val="0BC84224"/>
    <w:rsid w:val="0C177C6F"/>
    <w:rsid w:val="0D3A78FE"/>
    <w:rsid w:val="0D6445C0"/>
    <w:rsid w:val="13172625"/>
    <w:rsid w:val="13B3779E"/>
    <w:rsid w:val="149571E4"/>
    <w:rsid w:val="157A1727"/>
    <w:rsid w:val="160A4C2C"/>
    <w:rsid w:val="16947BB2"/>
    <w:rsid w:val="17B47679"/>
    <w:rsid w:val="188B412E"/>
    <w:rsid w:val="1A511ADD"/>
    <w:rsid w:val="1B2C1F25"/>
    <w:rsid w:val="1B565D46"/>
    <w:rsid w:val="1C326EE2"/>
    <w:rsid w:val="1D39659A"/>
    <w:rsid w:val="217759F3"/>
    <w:rsid w:val="218E4332"/>
    <w:rsid w:val="219C5AD0"/>
    <w:rsid w:val="21A308B5"/>
    <w:rsid w:val="22602A65"/>
    <w:rsid w:val="229D425D"/>
    <w:rsid w:val="257F603C"/>
    <w:rsid w:val="25995F0C"/>
    <w:rsid w:val="26396E51"/>
    <w:rsid w:val="2A0B0C48"/>
    <w:rsid w:val="2A1C4338"/>
    <w:rsid w:val="2BAC0AA4"/>
    <w:rsid w:val="2D10562A"/>
    <w:rsid w:val="2FC35424"/>
    <w:rsid w:val="3067018D"/>
    <w:rsid w:val="30857F08"/>
    <w:rsid w:val="323B70AC"/>
    <w:rsid w:val="33631CF3"/>
    <w:rsid w:val="33686F6B"/>
    <w:rsid w:val="340764A6"/>
    <w:rsid w:val="34506B32"/>
    <w:rsid w:val="36BA3DC9"/>
    <w:rsid w:val="389E0643"/>
    <w:rsid w:val="38D53AA9"/>
    <w:rsid w:val="39265BBC"/>
    <w:rsid w:val="3A5C4D14"/>
    <w:rsid w:val="3B60507E"/>
    <w:rsid w:val="3D1A5C91"/>
    <w:rsid w:val="3D4C1B1F"/>
    <w:rsid w:val="41C53CBB"/>
    <w:rsid w:val="41F075D0"/>
    <w:rsid w:val="43C30E56"/>
    <w:rsid w:val="44753C92"/>
    <w:rsid w:val="450C2AA6"/>
    <w:rsid w:val="4E6062B8"/>
    <w:rsid w:val="502D195C"/>
    <w:rsid w:val="5109171D"/>
    <w:rsid w:val="5419033D"/>
    <w:rsid w:val="55E65214"/>
    <w:rsid w:val="5999325B"/>
    <w:rsid w:val="59B54097"/>
    <w:rsid w:val="5B3A30D6"/>
    <w:rsid w:val="602B4D39"/>
    <w:rsid w:val="605F149E"/>
    <w:rsid w:val="61345013"/>
    <w:rsid w:val="64A218E9"/>
    <w:rsid w:val="6B375E4A"/>
    <w:rsid w:val="6C183363"/>
    <w:rsid w:val="6C2E4CD7"/>
    <w:rsid w:val="6EAB5F37"/>
    <w:rsid w:val="6FF45841"/>
    <w:rsid w:val="71B50B5E"/>
    <w:rsid w:val="72592CCF"/>
    <w:rsid w:val="76A625F4"/>
    <w:rsid w:val="77763A1C"/>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14</TotalTime>
  <ScaleCrop>false</ScaleCrop>
  <LinksUpToDate>false</LinksUpToDate>
  <CharactersWithSpaces>16983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2023-11-27T01:04:55Z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C34A15E2AD9E45DAB881EB619547230A_12</vt:lpwstr>
  </property>
</Properties>
</file>