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广州城投综合能源投资经营管理有限公司</w:t>
      </w:r>
    </w:p>
    <w:p>
      <w:pPr>
        <w:jc w:val="center"/>
        <w:rPr>
          <w:b/>
          <w:sz w:val="28"/>
          <w:highlight w:val="none"/>
        </w:rPr>
      </w:pPr>
      <w:r>
        <w:rPr>
          <w:rFonts w:hint="eastAsia"/>
          <w:b/>
          <w:sz w:val="28"/>
          <w:highlight w:val="none"/>
          <w:lang w:val="en-US" w:eastAsia="zh-CN"/>
        </w:rPr>
        <w:t xml:space="preserve"> </w:t>
      </w:r>
      <w:r>
        <w:rPr>
          <w:rFonts w:hint="eastAsia"/>
          <w:b/>
          <w:sz w:val="28"/>
          <w:highlight w:val="none"/>
        </w:rPr>
        <w:t>静止无功发生器</w:t>
      </w:r>
      <w:r>
        <w:rPr>
          <w:rFonts w:hint="eastAsia"/>
          <w:b/>
          <w:sz w:val="28"/>
          <w:highlight w:val="none"/>
          <w:lang w:val="en-US" w:eastAsia="zh-CN"/>
        </w:rPr>
        <w:t xml:space="preserve">设备采购 </w:t>
      </w: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0"/>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0"/>
        <w:tabs>
          <w:tab w:val="left" w:pos="420"/>
        </w:tabs>
        <w:spacing w:line="360" w:lineRule="auto"/>
        <w:ind w:firstLine="480"/>
        <w:rPr>
          <w:rFonts w:ascii="宋体" w:hAnsi="宋体"/>
          <w:sz w:val="24"/>
          <w:highlight w:val="none"/>
        </w:rPr>
      </w:pPr>
      <w:r>
        <w:rPr>
          <w:rFonts w:hint="eastAsia" w:ascii="宋体" w:hAnsi="宋体"/>
          <w:sz w:val="24"/>
          <w:highlight w:val="none"/>
        </w:rPr>
        <w:t>（一）项目名称：</w:t>
      </w:r>
      <w:r>
        <w:rPr>
          <w:rFonts w:hint="eastAsia" w:ascii="宋体" w:hAnsi="宋体"/>
          <w:b w:val="0"/>
          <w:sz w:val="24"/>
          <w:highlight w:val="none"/>
          <w:lang w:val="en-US" w:eastAsia="zh-CN"/>
        </w:rPr>
        <w:t>静止无功发生器设备采购</w:t>
      </w:r>
    </w:p>
    <w:p>
      <w:pPr>
        <w:pStyle w:val="10"/>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限价22万元</w:t>
      </w:r>
      <w:r>
        <w:rPr>
          <w:rFonts w:hint="eastAsia" w:ascii="宋体" w:hAnsi="宋体"/>
          <w:sz w:val="24"/>
          <w:highlight w:val="none"/>
        </w:rPr>
        <w:t>。</w:t>
      </w:r>
    </w:p>
    <w:p>
      <w:pPr>
        <w:pStyle w:val="10"/>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b w:val="0"/>
          <w:sz w:val="24"/>
          <w:highlight w:val="none"/>
          <w:lang w:val="en-US" w:eastAsia="zh-CN"/>
        </w:rPr>
        <w:t>静止无功发生器设备</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0"/>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0"/>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0"/>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投标人未被列入“信用中国”网站(www.creditchina.gov.cn)记录失信被执行人或重大税收违法案件当事人名单,须提供《信用记录承诺函》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0"/>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投标人没有处于被责令停业或破产状态，且资产未被重组、接管和冻结，声明在投标活动中3年内没有重大违法活动和涉嫌违规行为。</w:t>
      </w:r>
    </w:p>
    <w:p>
      <w:pPr>
        <w:pStyle w:val="10"/>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0"/>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0"/>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0"/>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10"/>
        <w:numPr>
          <w:ilvl w:val="0"/>
          <w:numId w:val="0"/>
        </w:numPr>
        <w:tabs>
          <w:tab w:val="left" w:pos="0"/>
        </w:tabs>
        <w:spacing w:line="360"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全部货物货到现场并经</w:t>
      </w:r>
      <w:r>
        <w:rPr>
          <w:rFonts w:hint="eastAsia" w:ascii="宋体" w:hAnsi="宋体"/>
          <w:color w:val="auto"/>
          <w:sz w:val="24"/>
          <w:highlight w:val="none"/>
          <w:lang w:val="en-US" w:eastAsia="zh-CN"/>
        </w:rPr>
        <w:t>需</w:t>
      </w:r>
      <w:r>
        <w:rPr>
          <w:rFonts w:hint="eastAsia" w:ascii="宋体" w:hAnsi="宋体"/>
          <w:color w:val="auto"/>
          <w:sz w:val="24"/>
          <w:highlight w:val="none"/>
        </w:rPr>
        <w:t>方验收合格签字和收到供方相关的技术资料后15</w:t>
      </w:r>
      <w:r>
        <w:rPr>
          <w:rFonts w:hint="eastAsia" w:ascii="宋体" w:hAnsi="宋体"/>
          <w:color w:val="auto"/>
          <w:sz w:val="24"/>
          <w:highlight w:val="none"/>
          <w:lang w:val="en-US" w:eastAsia="zh-CN"/>
        </w:rPr>
        <w:t>个工作日</w:t>
      </w:r>
      <w:r>
        <w:rPr>
          <w:rFonts w:hint="eastAsia" w:ascii="宋体" w:hAnsi="宋体"/>
          <w:color w:val="auto"/>
          <w:sz w:val="24"/>
          <w:highlight w:val="none"/>
        </w:rPr>
        <w:t>内支付至结算价的</w:t>
      </w:r>
      <w:r>
        <w:rPr>
          <w:rFonts w:hint="eastAsia" w:ascii="宋体" w:hAnsi="宋体"/>
          <w:color w:val="auto"/>
          <w:sz w:val="24"/>
          <w:highlight w:val="none"/>
          <w:lang w:val="en-US" w:eastAsia="zh-CN"/>
        </w:rPr>
        <w:t>100</w:t>
      </w:r>
      <w:r>
        <w:rPr>
          <w:rFonts w:hint="eastAsia" w:ascii="宋体" w:hAnsi="宋体"/>
          <w:color w:val="auto"/>
          <w:sz w:val="24"/>
          <w:highlight w:val="none"/>
        </w:rPr>
        <w:t>%款项。付款前供方开具相应金额增值税(含13%增值税)专用发票给需方。</w:t>
      </w:r>
    </w:p>
    <w:p>
      <w:pPr>
        <w:pStyle w:val="10"/>
        <w:numPr>
          <w:ilvl w:val="0"/>
          <w:numId w:val="0"/>
        </w:numPr>
        <w:tabs>
          <w:tab w:val="left" w:pos="0"/>
        </w:tabs>
        <w:spacing w:line="360" w:lineRule="auto"/>
        <w:ind w:left="0" w:leftChars="0" w:firstLine="480" w:firstLineChars="20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三</w:t>
      </w: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0"/>
        <w:tabs>
          <w:tab w:val="left" w:pos="420"/>
        </w:tabs>
        <w:spacing w:line="360" w:lineRule="auto"/>
        <w:ind w:left="59" w:leftChars="28" w:firstLine="360" w:firstLineChars="150"/>
        <w:rPr>
          <w:rFonts w:hint="eastAsia" w:ascii="宋体" w:hAnsi="宋体" w:eastAsiaTheme="minorEastAsia"/>
          <w:sz w:val="24"/>
          <w:highlight w:val="none"/>
          <w:lang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0"/>
        <w:numPr>
          <w:ilvl w:val="0"/>
          <w:numId w:val="4"/>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0"/>
        <w:numPr>
          <w:ilvl w:val="0"/>
          <w:numId w:val="4"/>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10"/>
        <w:spacing w:line="360" w:lineRule="auto"/>
        <w:ind w:firstLine="480"/>
        <w:rPr>
          <w:rFonts w:ascii="宋体" w:hAnsi="宋体"/>
          <w:sz w:val="24"/>
          <w:highlight w:val="none"/>
        </w:rPr>
      </w:pPr>
      <w:r>
        <w:rPr>
          <w:rFonts w:hint="eastAsia" w:ascii="宋体" w:hAnsi="宋体"/>
          <w:sz w:val="24"/>
          <w:highlight w:val="none"/>
        </w:rPr>
        <w:t>五、投标文件</w:t>
      </w:r>
    </w:p>
    <w:p>
      <w:pPr>
        <w:pStyle w:val="10"/>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0"/>
        <w:numPr>
          <w:ilvl w:val="0"/>
          <w:numId w:val="5"/>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6"/>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0"/>
        <w:numPr>
          <w:ilvl w:val="0"/>
          <w:numId w:val="5"/>
        </w:numPr>
        <w:spacing w:line="360" w:lineRule="auto"/>
        <w:ind w:firstLine="480"/>
        <w:rPr>
          <w:rFonts w:ascii="宋体" w:hAnsi="宋体"/>
          <w:sz w:val="24"/>
          <w:highlight w:val="none"/>
        </w:rPr>
      </w:pPr>
      <w:r>
        <w:rPr>
          <w:rFonts w:hint="eastAsia" w:ascii="宋体" w:hAnsi="宋体"/>
          <w:sz w:val="24"/>
          <w:highlight w:val="none"/>
        </w:rPr>
        <w:t>商务部分</w:t>
      </w:r>
    </w:p>
    <w:p>
      <w:pPr>
        <w:pStyle w:val="10"/>
        <w:numPr>
          <w:ilvl w:val="0"/>
          <w:numId w:val="7"/>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0"/>
        <w:numPr>
          <w:ilvl w:val="0"/>
          <w:numId w:val="7"/>
        </w:numPr>
        <w:spacing w:line="360" w:lineRule="auto"/>
        <w:ind w:left="0" w:firstLine="480"/>
        <w:rPr>
          <w:rFonts w:ascii="宋体" w:hAnsi="宋体"/>
          <w:sz w:val="24"/>
          <w:highlight w:val="none"/>
        </w:rPr>
      </w:pPr>
      <w:r>
        <w:rPr>
          <w:rFonts w:hint="eastAsia" w:ascii="宋体" w:hAnsi="宋体"/>
          <w:sz w:val="24"/>
          <w:highlight w:val="none"/>
        </w:rPr>
        <w:t>《信用记录承诺函》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0"/>
        <w:numPr>
          <w:ilvl w:val="0"/>
          <w:numId w:val="7"/>
        </w:numPr>
        <w:spacing w:line="360" w:lineRule="auto"/>
        <w:ind w:left="0" w:firstLine="480"/>
        <w:rPr>
          <w:rFonts w:ascii="宋体" w:hAnsi="宋体"/>
          <w:sz w:val="24"/>
          <w:highlight w:val="none"/>
        </w:rPr>
      </w:pPr>
      <w:r>
        <w:rPr>
          <w:rFonts w:hint="eastAsia" w:ascii="宋体" w:hAnsi="宋体"/>
          <w:sz w:val="24"/>
          <w:highlight w:val="none"/>
        </w:rPr>
        <w:t>3 年内没有重大违法活动和涉嫌违规行为</w:t>
      </w:r>
      <w:r>
        <w:rPr>
          <w:rFonts w:hint="eastAsia" w:ascii="宋体" w:hAnsi="宋体"/>
          <w:sz w:val="24"/>
          <w:highlight w:val="none"/>
          <w:lang w:val="en-US" w:eastAsia="zh-CN"/>
        </w:rPr>
        <w:t>的</w:t>
      </w:r>
      <w:r>
        <w:rPr>
          <w:rFonts w:hint="eastAsia" w:ascii="宋体" w:hAnsi="宋体"/>
          <w:sz w:val="24"/>
          <w:highlight w:val="none"/>
        </w:rPr>
        <w:t>声明</w:t>
      </w:r>
      <w:r>
        <w:rPr>
          <w:rFonts w:hint="eastAsia" w:ascii="宋体" w:hAnsi="宋体"/>
          <w:sz w:val="24"/>
          <w:highlight w:val="none"/>
          <w:lang w:eastAsia="zh-CN"/>
        </w:rPr>
        <w:t>。</w:t>
      </w:r>
      <w:r>
        <w:rPr>
          <w:rFonts w:hint="eastAsia" w:ascii="宋体" w:hAnsi="宋体"/>
          <w:sz w:val="24"/>
          <w:highlight w:val="none"/>
        </w:rPr>
        <w:t>(格式自拟)</w:t>
      </w:r>
    </w:p>
    <w:p>
      <w:pPr>
        <w:pStyle w:val="10"/>
        <w:numPr>
          <w:ilvl w:val="0"/>
          <w:numId w:val="7"/>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0"/>
        <w:numPr>
          <w:ilvl w:val="0"/>
          <w:numId w:val="7"/>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0"/>
        <w:numPr>
          <w:ilvl w:val="0"/>
          <w:numId w:val="7"/>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0"/>
        <w:numPr>
          <w:ilvl w:val="0"/>
          <w:numId w:val="5"/>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0"/>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0"/>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0"/>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0"/>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0"/>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0"/>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0"/>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21</w:t>
      </w:r>
      <w:r>
        <w:rPr>
          <w:rFonts w:hint="eastAsia" w:ascii="宋体" w:hAnsi="宋体"/>
          <w:color w:val="auto"/>
          <w:sz w:val="24"/>
          <w:highlight w:val="none"/>
        </w:rPr>
        <w:t>日北京时间</w:t>
      </w:r>
      <w:r>
        <w:rPr>
          <w:rFonts w:hint="eastAsia" w:ascii="宋体" w:hAnsi="宋体"/>
          <w:color w:val="auto"/>
          <w:sz w:val="24"/>
          <w:highlight w:val="none"/>
          <w:lang w:val="en-US" w:eastAsia="zh-CN"/>
        </w:rPr>
        <w:t>16</w:t>
      </w:r>
      <w:r>
        <w:rPr>
          <w:rFonts w:hint="eastAsia" w:ascii="宋体" w:hAnsi="宋体"/>
          <w:color w:val="auto"/>
          <w:sz w:val="24"/>
          <w:highlight w:val="none"/>
        </w:rPr>
        <w:t>时</w:t>
      </w:r>
      <w:r>
        <w:rPr>
          <w:rFonts w:hint="eastAsia" w:ascii="宋体" w:hAnsi="宋体"/>
          <w:color w:val="auto"/>
          <w:sz w:val="24"/>
          <w:highlight w:val="none"/>
          <w:lang w:val="en-US" w:eastAsia="zh-CN"/>
        </w:rPr>
        <w:t>00</w:t>
      </w:r>
      <w:r>
        <w:rPr>
          <w:rFonts w:hint="eastAsia" w:ascii="宋体" w:hAnsi="宋体"/>
          <w:color w:val="auto"/>
          <w:sz w:val="24"/>
          <w:highlight w:val="none"/>
        </w:rPr>
        <w:t>分前。</w:t>
      </w:r>
      <w:r>
        <w:rPr>
          <w:rFonts w:hint="eastAsia" w:ascii="宋体" w:hAnsi="宋体"/>
          <w:sz w:val="24"/>
          <w:highlight w:val="none"/>
        </w:rPr>
        <w:t>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b w:val="0"/>
          <w:sz w:val="24"/>
          <w:highlight w:val="none"/>
          <w:lang w:val="en-US" w:eastAsia="zh-CN"/>
        </w:rPr>
        <w:t>静止无功发生器设备采购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11"/>
        <w:numPr>
          <w:ilvl w:val="0"/>
          <w:numId w:val="8"/>
        </w:numPr>
        <w:spacing w:line="360" w:lineRule="auto"/>
        <w:ind w:firstLineChars="0"/>
        <w:rPr>
          <w:rFonts w:ascii="宋体" w:hAnsi="宋体"/>
          <w:sz w:val="24"/>
          <w:highlight w:val="none"/>
        </w:rPr>
      </w:pPr>
      <w:r>
        <w:rPr>
          <w:rFonts w:hint="eastAsia" w:ascii="宋体" w:hAnsi="宋体"/>
          <w:sz w:val="24"/>
          <w:highlight w:val="none"/>
        </w:rPr>
        <w:t>采购单位：广州城投综合能源投资经营管理有限公司</w:t>
      </w:r>
    </w:p>
    <w:p>
      <w:pPr>
        <w:pStyle w:val="11"/>
        <w:numPr>
          <w:ilvl w:val="0"/>
          <w:numId w:val="8"/>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0"/>
        <w:numPr>
          <w:ilvl w:val="0"/>
          <w:numId w:val="8"/>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0"/>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0"/>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0"/>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0"/>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0"/>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0"/>
        <w:spacing w:line="360" w:lineRule="auto"/>
        <w:ind w:firstLine="480"/>
        <w:jc w:val="center"/>
        <w:rPr>
          <w:rFonts w:ascii="宋体" w:hAnsi="宋体"/>
          <w:sz w:val="24"/>
          <w:highlight w:val="none"/>
        </w:rPr>
      </w:pPr>
      <w:r>
        <w:rPr>
          <w:rFonts w:hint="eastAsia" w:ascii="宋体" w:hAnsi="宋体"/>
          <w:sz w:val="24"/>
          <w:highlight w:val="none"/>
        </w:rPr>
        <w:t xml:space="preserve">             采购人：广州城投综合能源投资经营管理有限公司</w:t>
      </w:r>
    </w:p>
    <w:p>
      <w:pPr>
        <w:pStyle w:val="10"/>
        <w:spacing w:line="360" w:lineRule="auto"/>
        <w:ind w:right="960" w:firstLine="4980" w:firstLineChars="2075"/>
        <w:rPr>
          <w:rFonts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29</w:t>
      </w:r>
      <w:r>
        <w:rPr>
          <w:rFonts w:hint="eastAsia" w:ascii="宋体" w:hAnsi="宋体"/>
          <w:color w:val="auto"/>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p>
    <w:p>
      <w:pPr>
        <w:spacing w:line="360" w:lineRule="auto"/>
        <w:rPr>
          <w:rFonts w:hint="default" w:ascii="宋体" w:hAnsi="宋体" w:eastAsiaTheme="minorEastAsia"/>
          <w:sz w:val="32"/>
          <w:highlight w:val="none"/>
          <w:lang w:val="en-US" w:eastAsia="zh-CN"/>
        </w:rPr>
      </w:pP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0"/>
        </w:numPr>
        <w:tabs>
          <w:tab w:val="left" w:pos="420"/>
        </w:tabs>
        <w:spacing w:line="360" w:lineRule="auto"/>
        <w:rPr>
          <w:sz w:val="24"/>
          <w:highlight w:val="none"/>
        </w:rPr>
      </w:pPr>
      <w:r>
        <w:rPr>
          <w:rFonts w:hint="eastAsia" w:ascii="宋体" w:hAnsi="宋体"/>
          <w:b w:val="0"/>
          <w:sz w:val="24"/>
          <w:highlight w:val="none"/>
          <w:lang w:val="en-US" w:eastAsia="zh-CN"/>
        </w:rPr>
        <w:t>静止无功发生器设备采购</w:t>
      </w:r>
      <w:r>
        <w:rPr>
          <w:rFonts w:hint="eastAsia" w:ascii="宋体" w:hAnsi="宋体"/>
          <w:sz w:val="24"/>
          <w:highlight w:val="none"/>
        </w:rPr>
        <w:t>清单</w:t>
      </w:r>
    </w:p>
    <w:tbl>
      <w:tblPr>
        <w:tblStyle w:val="6"/>
        <w:tblW w:w="8720" w:type="dxa"/>
        <w:tblInd w:w="0" w:type="dxa"/>
        <w:tblLayout w:type="fixed"/>
        <w:tblCellMar>
          <w:top w:w="0" w:type="dxa"/>
          <w:left w:w="108" w:type="dxa"/>
          <w:bottom w:w="0" w:type="dxa"/>
          <w:right w:w="108" w:type="dxa"/>
        </w:tblCellMar>
      </w:tblPr>
      <w:tblGrid>
        <w:gridCol w:w="692"/>
        <w:gridCol w:w="1653"/>
        <w:gridCol w:w="3540"/>
        <w:gridCol w:w="660"/>
        <w:gridCol w:w="795"/>
        <w:gridCol w:w="1380"/>
      </w:tblGrid>
      <w:tr>
        <w:tblPrEx>
          <w:tblCellMar>
            <w:top w:w="0" w:type="dxa"/>
            <w:left w:w="108" w:type="dxa"/>
            <w:bottom w:w="0" w:type="dxa"/>
            <w:right w:w="108" w:type="dxa"/>
          </w:tblCellMar>
        </w:tblPrEx>
        <w:trPr>
          <w:trHeight w:val="762"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54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9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38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CellMar>
            <w:top w:w="0" w:type="dxa"/>
            <w:left w:w="108" w:type="dxa"/>
            <w:bottom w:w="0" w:type="dxa"/>
            <w:right w:w="108" w:type="dxa"/>
          </w:tblCellMar>
        </w:tblPrEx>
        <w:trPr>
          <w:trHeight w:val="9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1</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静止无功发生器</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Abifsey-ABSVG-300KVAR-4L</w:t>
            </w:r>
            <w:r>
              <w:rPr>
                <w:rFonts w:hint="eastAsia" w:ascii="宋体" w:hAnsi="宋体" w:eastAsia="宋体" w:cs="宋体"/>
                <w:color w:val="auto"/>
                <w:sz w:val="20"/>
                <w:szCs w:val="20"/>
                <w:highlight w:val="none"/>
                <w:lang w:val="en-US" w:eastAsia="zh-CN"/>
              </w:rPr>
              <w:t>或</w:t>
            </w:r>
          </w:p>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ASSSVG-150-0.4-4L</w:t>
            </w:r>
            <w:r>
              <w:rPr>
                <w:rFonts w:hint="eastAsia" w:ascii="宋体" w:hAnsi="宋体" w:eastAsia="宋体" w:cs="宋体"/>
                <w:color w:val="auto"/>
                <w:sz w:val="20"/>
                <w:szCs w:val="20"/>
                <w:highlight w:val="none"/>
                <w:lang w:val="en-US" w:eastAsia="zh-CN"/>
              </w:rPr>
              <w:t>或</w:t>
            </w:r>
          </w:p>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GetWave-SVG-150kVar-400V/4L-M</w:t>
            </w:r>
          </w:p>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品牌：</w:t>
            </w:r>
            <w:r>
              <w:rPr>
                <w:rFonts w:hint="eastAsia" w:ascii="宋体" w:hAnsi="宋体" w:eastAsia="宋体" w:cs="宋体"/>
                <w:color w:val="auto"/>
                <w:sz w:val="20"/>
                <w:szCs w:val="20"/>
                <w:highlight w:val="none"/>
              </w:rPr>
              <w:t>艾伯森</w:t>
            </w:r>
            <w:r>
              <w:rPr>
                <w:rFonts w:hint="eastAsia" w:ascii="宋体" w:hAnsi="宋体" w:eastAsia="宋体" w:cs="宋体"/>
                <w:color w:val="auto"/>
                <w:sz w:val="20"/>
                <w:szCs w:val="20"/>
                <w:highlight w:val="none"/>
                <w:lang w:val="en-US" w:eastAsia="zh-CN"/>
              </w:rPr>
              <w:t>或</w:t>
            </w:r>
            <w:r>
              <w:rPr>
                <w:rFonts w:hint="eastAsia" w:ascii="宋体" w:hAnsi="宋体" w:eastAsia="宋体" w:cs="宋体"/>
                <w:color w:val="auto"/>
                <w:sz w:val="20"/>
                <w:szCs w:val="20"/>
                <w:highlight w:val="none"/>
              </w:rPr>
              <w:t>爱森思电气</w:t>
            </w:r>
            <w:r>
              <w:rPr>
                <w:rFonts w:hint="eastAsia" w:ascii="宋体" w:hAnsi="宋体" w:eastAsia="宋体" w:cs="宋体"/>
                <w:color w:val="auto"/>
                <w:sz w:val="20"/>
                <w:szCs w:val="20"/>
                <w:highlight w:val="none"/>
                <w:lang w:val="en-US" w:eastAsia="zh-CN"/>
              </w:rPr>
              <w:t>或</w:t>
            </w:r>
            <w:r>
              <w:rPr>
                <w:rFonts w:hint="eastAsia" w:ascii="宋体" w:hAnsi="宋体" w:eastAsia="宋体" w:cs="宋体"/>
                <w:color w:val="auto"/>
                <w:sz w:val="20"/>
                <w:szCs w:val="20"/>
                <w:highlight w:val="none"/>
              </w:rPr>
              <w:t>默东电气</w:t>
            </w:r>
          </w:p>
        </w:tc>
        <w:tc>
          <w:tcPr>
            <w:tcW w:w="66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22"/>
                <w:szCs w:val="22"/>
                <w:u w:val="none"/>
                <w:lang w:val="en-US" w:eastAsia="zh-CN" w:bidi="ar"/>
              </w:rPr>
              <w:t>套</w:t>
            </w:r>
          </w:p>
        </w:tc>
        <w:tc>
          <w:tcPr>
            <w:tcW w:w="7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9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静止无功发生器</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Abifsey-ABSVG-240KVAR-4L</w:t>
            </w:r>
            <w:r>
              <w:rPr>
                <w:rFonts w:hint="eastAsia" w:ascii="宋体" w:hAnsi="宋体" w:eastAsia="宋体" w:cs="宋体"/>
                <w:color w:val="auto"/>
                <w:sz w:val="20"/>
                <w:szCs w:val="20"/>
                <w:highlight w:val="none"/>
                <w:lang w:val="en-US" w:eastAsia="zh-CN"/>
              </w:rPr>
              <w:t>或</w:t>
            </w:r>
            <w:r>
              <w:rPr>
                <w:rFonts w:hint="eastAsia" w:ascii="宋体" w:hAnsi="宋体" w:eastAsia="宋体" w:cs="宋体"/>
                <w:color w:val="auto"/>
                <w:sz w:val="20"/>
                <w:szCs w:val="20"/>
                <w:highlight w:val="none"/>
              </w:rPr>
              <w:t>ASSSVG-120-0.4-4L</w:t>
            </w:r>
            <w:r>
              <w:rPr>
                <w:rFonts w:hint="eastAsia" w:ascii="宋体" w:hAnsi="宋体" w:eastAsia="宋体" w:cs="宋体"/>
                <w:color w:val="auto"/>
                <w:sz w:val="20"/>
                <w:szCs w:val="20"/>
                <w:highlight w:val="none"/>
                <w:lang w:val="en-US" w:eastAsia="zh-CN"/>
              </w:rPr>
              <w:t>或</w:t>
            </w:r>
            <w:r>
              <w:rPr>
                <w:rFonts w:hint="eastAsia" w:ascii="宋体" w:hAnsi="宋体" w:eastAsia="宋体" w:cs="宋体"/>
                <w:color w:val="auto"/>
                <w:sz w:val="20"/>
                <w:szCs w:val="20"/>
                <w:highlight w:val="none"/>
              </w:rPr>
              <w:t>GetWave-SVG-100kVar-400V/4L-M</w:t>
            </w:r>
          </w:p>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品牌：</w:t>
            </w:r>
            <w:r>
              <w:rPr>
                <w:rFonts w:hint="eastAsia" w:ascii="宋体" w:hAnsi="宋体" w:eastAsia="宋体" w:cs="宋体"/>
                <w:color w:val="auto"/>
                <w:sz w:val="20"/>
                <w:szCs w:val="20"/>
                <w:highlight w:val="none"/>
              </w:rPr>
              <w:t>艾伯森</w:t>
            </w:r>
            <w:r>
              <w:rPr>
                <w:rFonts w:hint="eastAsia" w:ascii="宋体" w:hAnsi="宋体" w:eastAsia="宋体" w:cs="宋体"/>
                <w:color w:val="auto"/>
                <w:sz w:val="20"/>
                <w:szCs w:val="20"/>
                <w:highlight w:val="none"/>
                <w:lang w:val="en-US" w:eastAsia="zh-CN"/>
              </w:rPr>
              <w:t>或</w:t>
            </w:r>
            <w:r>
              <w:rPr>
                <w:rFonts w:hint="eastAsia" w:ascii="宋体" w:hAnsi="宋体" w:eastAsia="宋体" w:cs="宋体"/>
                <w:color w:val="auto"/>
                <w:sz w:val="20"/>
                <w:szCs w:val="20"/>
                <w:highlight w:val="none"/>
              </w:rPr>
              <w:t>爱森思电气</w:t>
            </w:r>
            <w:r>
              <w:rPr>
                <w:rFonts w:hint="eastAsia" w:ascii="宋体" w:hAnsi="宋体" w:eastAsia="宋体" w:cs="宋体"/>
                <w:color w:val="auto"/>
                <w:sz w:val="20"/>
                <w:szCs w:val="20"/>
                <w:highlight w:val="none"/>
                <w:lang w:val="en-US" w:eastAsia="zh-CN"/>
              </w:rPr>
              <w:t>或</w:t>
            </w:r>
            <w:r>
              <w:rPr>
                <w:rFonts w:hint="eastAsia" w:ascii="宋体" w:hAnsi="宋体" w:eastAsia="宋体" w:cs="宋体"/>
                <w:color w:val="auto"/>
                <w:sz w:val="20"/>
                <w:szCs w:val="20"/>
                <w:highlight w:val="none"/>
              </w:rPr>
              <w:t>默东电气</w:t>
            </w:r>
          </w:p>
        </w:tc>
        <w:tc>
          <w:tcPr>
            <w:tcW w:w="66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7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36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54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tc>
        <w:tc>
          <w:tcPr>
            <w:tcW w:w="66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95"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380"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bl>
    <w:p>
      <w:pPr>
        <w:spacing w:line="360" w:lineRule="auto"/>
        <w:rPr>
          <w:rFonts w:ascii="仿宋" w:hAnsi="仿宋"/>
          <w:szCs w:val="28"/>
        </w:rPr>
      </w:pP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lang w:val="en-US" w:eastAsia="zh-CN"/>
        </w:rPr>
        <w:t>配置及要求</w:t>
      </w:r>
    </w:p>
    <w:p>
      <w:pPr>
        <w:numPr>
          <w:ilvl w:val="0"/>
          <w:numId w:val="12"/>
        </w:numPr>
        <w:spacing w:line="360" w:lineRule="auto"/>
        <w:ind w:firstLine="480" w:firstLineChars="200"/>
        <w:rPr>
          <w:rFonts w:hint="eastAsia" w:ascii="宋体" w:hAnsi="宋体"/>
          <w:sz w:val="24"/>
          <w:highlight w:val="none"/>
          <w:lang w:eastAsia="zh-CN"/>
        </w:rPr>
      </w:pPr>
      <w:r>
        <w:rPr>
          <w:rFonts w:hint="eastAsia" w:ascii="宋体" w:hAnsi="宋体"/>
          <w:sz w:val="24"/>
          <w:highlight w:val="none"/>
        </w:rPr>
        <w:t>要求静止无功发生器配置的主要元器件是进口产品（主控制板或主控单元品牌可采用中标单位品牌）</w:t>
      </w:r>
      <w:bookmarkStart w:id="0" w:name="_Hlk153956258"/>
      <w:r>
        <w:rPr>
          <w:rFonts w:hint="eastAsia" w:ascii="宋体" w:hAnsi="宋体"/>
          <w:sz w:val="24"/>
          <w:highlight w:val="none"/>
        </w:rPr>
        <w:t>，其主要元器件见下表</w:t>
      </w:r>
      <w:bookmarkEnd w:id="0"/>
      <w:r>
        <w:rPr>
          <w:rFonts w:hint="eastAsia" w:ascii="宋体" w:hAnsi="宋体"/>
          <w:sz w:val="24"/>
          <w:highlight w:val="none"/>
        </w:rPr>
        <w:t>。</w:t>
      </w:r>
    </w:p>
    <w:p>
      <w:pPr>
        <w:ind w:firstLine="2520" w:firstLineChars="900"/>
        <w:jc w:val="both"/>
        <w:rPr>
          <w:sz w:val="28"/>
          <w:szCs w:val="28"/>
          <w:highlight w:val="none"/>
        </w:rPr>
      </w:pPr>
      <w:r>
        <w:rPr>
          <w:rFonts w:hint="eastAsia"/>
          <w:sz w:val="28"/>
          <w:szCs w:val="28"/>
          <w:highlight w:val="none"/>
        </w:rPr>
        <w:t>进口元器件配置清单表</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2358"/>
        <w:gridCol w:w="141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26" w:type="dxa"/>
          </w:tcPr>
          <w:p>
            <w:pPr>
              <w:jc w:val="center"/>
              <w:rPr>
                <w:sz w:val="28"/>
                <w:szCs w:val="28"/>
                <w:highlight w:val="none"/>
              </w:rPr>
            </w:pPr>
            <w:r>
              <w:rPr>
                <w:rFonts w:hint="eastAsia"/>
                <w:sz w:val="28"/>
                <w:szCs w:val="28"/>
                <w:highlight w:val="none"/>
              </w:rPr>
              <w:t>序号</w:t>
            </w:r>
          </w:p>
        </w:tc>
        <w:tc>
          <w:tcPr>
            <w:tcW w:w="2358" w:type="dxa"/>
          </w:tcPr>
          <w:p>
            <w:pPr>
              <w:jc w:val="center"/>
              <w:rPr>
                <w:sz w:val="28"/>
                <w:szCs w:val="28"/>
                <w:highlight w:val="none"/>
              </w:rPr>
            </w:pPr>
            <w:r>
              <w:rPr>
                <w:rFonts w:hint="eastAsia"/>
                <w:sz w:val="28"/>
                <w:szCs w:val="28"/>
                <w:highlight w:val="none"/>
              </w:rPr>
              <w:t>元器件</w:t>
            </w:r>
          </w:p>
        </w:tc>
        <w:tc>
          <w:tcPr>
            <w:tcW w:w="1410" w:type="dxa"/>
          </w:tcPr>
          <w:p>
            <w:pPr>
              <w:jc w:val="center"/>
              <w:rPr>
                <w:sz w:val="28"/>
                <w:szCs w:val="28"/>
                <w:highlight w:val="none"/>
              </w:rPr>
            </w:pPr>
            <w:r>
              <w:rPr>
                <w:rFonts w:hint="eastAsia"/>
                <w:sz w:val="28"/>
                <w:szCs w:val="28"/>
                <w:highlight w:val="none"/>
              </w:rPr>
              <w:t>序号</w:t>
            </w:r>
          </w:p>
        </w:tc>
        <w:tc>
          <w:tcPr>
            <w:tcW w:w="2460" w:type="dxa"/>
          </w:tcPr>
          <w:p>
            <w:pPr>
              <w:jc w:val="center"/>
              <w:rPr>
                <w:sz w:val="28"/>
                <w:szCs w:val="28"/>
                <w:highlight w:val="none"/>
              </w:rPr>
            </w:pPr>
            <w:r>
              <w:rPr>
                <w:rFonts w:hint="eastAsia"/>
                <w:sz w:val="28"/>
                <w:szCs w:val="28"/>
                <w:highlight w:val="none"/>
              </w:rPr>
              <w:t>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26" w:type="dxa"/>
            <w:vAlign w:val="center"/>
          </w:tcPr>
          <w:p>
            <w:pPr>
              <w:jc w:val="center"/>
              <w:rPr>
                <w:rFonts w:asciiTheme="minorEastAsia" w:hAnsiTheme="minorEastAsia" w:cstheme="minorEastAsia"/>
                <w:color w:val="000000"/>
                <w:spacing w:val="-3"/>
                <w:kern w:val="0"/>
                <w:sz w:val="24"/>
                <w:highlight w:val="none"/>
              </w:rPr>
            </w:pPr>
            <w:r>
              <w:rPr>
                <w:rFonts w:hint="eastAsia" w:asciiTheme="minorEastAsia" w:hAnsiTheme="minorEastAsia" w:cstheme="minorEastAsia"/>
                <w:color w:val="000000"/>
                <w:spacing w:val="-3"/>
                <w:kern w:val="0"/>
                <w:sz w:val="24"/>
                <w:highlight w:val="none"/>
              </w:rPr>
              <w:t>1</w:t>
            </w:r>
          </w:p>
        </w:tc>
        <w:tc>
          <w:tcPr>
            <w:tcW w:w="2358" w:type="dxa"/>
            <w:vAlign w:val="center"/>
          </w:tcPr>
          <w:p>
            <w:pPr>
              <w:jc w:val="center"/>
              <w:rPr>
                <w:rFonts w:asciiTheme="minorEastAsia" w:hAnsiTheme="minorEastAsia" w:cstheme="minorEastAsia"/>
                <w:color w:val="000000"/>
                <w:spacing w:val="-3"/>
                <w:kern w:val="0"/>
                <w:sz w:val="24"/>
                <w:highlight w:val="none"/>
              </w:rPr>
            </w:pPr>
            <w:r>
              <w:rPr>
                <w:rFonts w:asciiTheme="minorEastAsia" w:hAnsiTheme="minorEastAsia" w:cstheme="minorEastAsia"/>
                <w:color w:val="000000"/>
                <w:spacing w:val="-3"/>
                <w:kern w:val="0"/>
                <w:sz w:val="24"/>
                <w:highlight w:val="none"/>
              </w:rPr>
              <w:t>主控芯片</w:t>
            </w:r>
          </w:p>
        </w:tc>
        <w:tc>
          <w:tcPr>
            <w:tcW w:w="1410" w:type="dxa"/>
            <w:vAlign w:val="center"/>
          </w:tcPr>
          <w:p>
            <w:pPr>
              <w:jc w:val="center"/>
              <w:rPr>
                <w:rFonts w:asciiTheme="minorEastAsia" w:hAnsiTheme="minorEastAsia" w:cstheme="minorEastAsia"/>
                <w:color w:val="000000"/>
                <w:spacing w:val="-3"/>
                <w:kern w:val="0"/>
                <w:sz w:val="24"/>
                <w:highlight w:val="none"/>
              </w:rPr>
            </w:pPr>
            <w:r>
              <w:rPr>
                <w:rFonts w:hint="eastAsia" w:asciiTheme="minorEastAsia" w:hAnsiTheme="minorEastAsia" w:cstheme="minorEastAsia"/>
                <w:color w:val="000000"/>
                <w:spacing w:val="-3"/>
                <w:kern w:val="0"/>
                <w:sz w:val="24"/>
                <w:highlight w:val="none"/>
              </w:rPr>
              <w:t>6</w:t>
            </w:r>
          </w:p>
        </w:tc>
        <w:tc>
          <w:tcPr>
            <w:tcW w:w="2460" w:type="dxa"/>
            <w:vAlign w:val="center"/>
          </w:tcPr>
          <w:p>
            <w:pPr>
              <w:jc w:val="center"/>
              <w:rPr>
                <w:rFonts w:asciiTheme="minorEastAsia" w:hAnsiTheme="minorEastAsia" w:cstheme="minorEastAsia"/>
                <w:color w:val="000000"/>
                <w:spacing w:val="-3"/>
                <w:kern w:val="0"/>
                <w:sz w:val="24"/>
                <w:highlight w:val="none"/>
              </w:rPr>
            </w:pPr>
            <w:r>
              <w:rPr>
                <w:rFonts w:asciiTheme="minorEastAsia" w:hAnsiTheme="minorEastAsia" w:cstheme="minorEastAsia"/>
                <w:color w:val="000000"/>
                <w:spacing w:val="-3"/>
                <w:kern w:val="0"/>
                <w:sz w:val="24"/>
                <w:highlight w:val="none"/>
              </w:rPr>
              <w:t>控制芯片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26" w:type="dxa"/>
            <w:vAlign w:val="center"/>
          </w:tcPr>
          <w:p>
            <w:pPr>
              <w:jc w:val="center"/>
              <w:rPr>
                <w:rFonts w:asciiTheme="minorEastAsia" w:hAnsiTheme="minorEastAsia" w:cstheme="minorEastAsia"/>
                <w:color w:val="000000"/>
                <w:spacing w:val="-3"/>
                <w:kern w:val="0"/>
                <w:sz w:val="24"/>
                <w:highlight w:val="none"/>
              </w:rPr>
            </w:pPr>
            <w:r>
              <w:rPr>
                <w:rFonts w:hint="eastAsia" w:asciiTheme="minorEastAsia" w:hAnsiTheme="minorEastAsia" w:cstheme="minorEastAsia"/>
                <w:color w:val="000000"/>
                <w:spacing w:val="-3"/>
                <w:kern w:val="0"/>
                <w:sz w:val="24"/>
                <w:highlight w:val="none"/>
              </w:rPr>
              <w:t>2</w:t>
            </w:r>
          </w:p>
        </w:tc>
        <w:tc>
          <w:tcPr>
            <w:tcW w:w="2358" w:type="dxa"/>
            <w:vAlign w:val="center"/>
          </w:tcPr>
          <w:p>
            <w:pPr>
              <w:jc w:val="center"/>
              <w:rPr>
                <w:rFonts w:asciiTheme="minorEastAsia" w:hAnsiTheme="minorEastAsia" w:cstheme="minorEastAsia"/>
                <w:color w:val="000000"/>
                <w:spacing w:val="-3"/>
                <w:kern w:val="0"/>
                <w:sz w:val="24"/>
                <w:highlight w:val="none"/>
              </w:rPr>
            </w:pPr>
            <w:r>
              <w:rPr>
                <w:rFonts w:asciiTheme="minorEastAsia" w:hAnsiTheme="minorEastAsia" w:cstheme="minorEastAsia"/>
                <w:color w:val="000000"/>
                <w:spacing w:val="-3"/>
                <w:kern w:val="0"/>
                <w:sz w:val="24"/>
                <w:highlight w:val="none"/>
              </w:rPr>
              <w:t>谐波技术分离单元</w:t>
            </w:r>
          </w:p>
        </w:tc>
        <w:tc>
          <w:tcPr>
            <w:tcW w:w="1410" w:type="dxa"/>
            <w:vAlign w:val="center"/>
          </w:tcPr>
          <w:p>
            <w:pPr>
              <w:jc w:val="center"/>
              <w:rPr>
                <w:rFonts w:asciiTheme="minorEastAsia" w:hAnsiTheme="minorEastAsia" w:cstheme="minorEastAsia"/>
                <w:color w:val="000000"/>
                <w:spacing w:val="-3"/>
                <w:kern w:val="0"/>
                <w:sz w:val="24"/>
                <w:highlight w:val="none"/>
              </w:rPr>
            </w:pPr>
            <w:r>
              <w:rPr>
                <w:rFonts w:hint="eastAsia" w:asciiTheme="minorEastAsia" w:hAnsiTheme="minorEastAsia" w:cstheme="minorEastAsia"/>
                <w:color w:val="000000"/>
                <w:spacing w:val="-3"/>
                <w:kern w:val="0"/>
                <w:sz w:val="24"/>
                <w:highlight w:val="none"/>
              </w:rPr>
              <w:t>7</w:t>
            </w:r>
          </w:p>
        </w:tc>
        <w:tc>
          <w:tcPr>
            <w:tcW w:w="2460" w:type="dxa"/>
            <w:vAlign w:val="center"/>
          </w:tcPr>
          <w:p>
            <w:pPr>
              <w:jc w:val="center"/>
              <w:rPr>
                <w:rFonts w:asciiTheme="minorEastAsia" w:hAnsiTheme="minorEastAsia" w:cstheme="minorEastAsia"/>
                <w:color w:val="000000"/>
                <w:spacing w:val="-3"/>
                <w:kern w:val="0"/>
                <w:sz w:val="24"/>
                <w:highlight w:val="none"/>
              </w:rPr>
            </w:pPr>
            <w:r>
              <w:rPr>
                <w:rFonts w:asciiTheme="minorEastAsia" w:hAnsiTheme="minorEastAsia" w:cstheme="minorEastAsia"/>
                <w:color w:val="000000"/>
                <w:spacing w:val="-3"/>
                <w:kern w:val="0"/>
                <w:sz w:val="24"/>
                <w:highlight w:val="none"/>
              </w:rPr>
              <w:t>滤波电容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26" w:type="dxa"/>
            <w:vAlign w:val="center"/>
          </w:tcPr>
          <w:p>
            <w:pPr>
              <w:jc w:val="center"/>
              <w:rPr>
                <w:rFonts w:asciiTheme="minorEastAsia" w:hAnsiTheme="minorEastAsia" w:cstheme="minorEastAsia"/>
                <w:color w:val="000000"/>
                <w:spacing w:val="-3"/>
                <w:kern w:val="0"/>
                <w:sz w:val="24"/>
                <w:highlight w:val="none"/>
              </w:rPr>
            </w:pPr>
            <w:r>
              <w:rPr>
                <w:rFonts w:hint="eastAsia" w:asciiTheme="minorEastAsia" w:hAnsiTheme="minorEastAsia" w:cstheme="minorEastAsia"/>
                <w:color w:val="000000"/>
                <w:spacing w:val="-3"/>
                <w:kern w:val="0"/>
                <w:sz w:val="24"/>
                <w:highlight w:val="none"/>
              </w:rPr>
              <w:t>3</w:t>
            </w:r>
          </w:p>
        </w:tc>
        <w:tc>
          <w:tcPr>
            <w:tcW w:w="2358" w:type="dxa"/>
            <w:vAlign w:val="center"/>
          </w:tcPr>
          <w:p>
            <w:pPr>
              <w:jc w:val="center"/>
              <w:rPr>
                <w:rFonts w:asciiTheme="minorEastAsia" w:hAnsiTheme="minorEastAsia" w:cstheme="minorEastAsia"/>
                <w:color w:val="000000"/>
                <w:spacing w:val="-3"/>
                <w:kern w:val="0"/>
                <w:sz w:val="24"/>
                <w:highlight w:val="none"/>
              </w:rPr>
            </w:pPr>
            <w:r>
              <w:rPr>
                <w:rFonts w:asciiTheme="minorEastAsia" w:hAnsiTheme="minorEastAsia" w:cstheme="minorEastAsia"/>
                <w:color w:val="000000"/>
                <w:spacing w:val="-3"/>
                <w:kern w:val="0"/>
                <w:sz w:val="24"/>
                <w:highlight w:val="none"/>
              </w:rPr>
              <w:t>IGBT 模块</w:t>
            </w:r>
          </w:p>
        </w:tc>
        <w:tc>
          <w:tcPr>
            <w:tcW w:w="1410" w:type="dxa"/>
            <w:vAlign w:val="center"/>
          </w:tcPr>
          <w:p>
            <w:pPr>
              <w:jc w:val="center"/>
              <w:rPr>
                <w:rFonts w:asciiTheme="minorEastAsia" w:hAnsiTheme="minorEastAsia" w:cstheme="minorEastAsia"/>
                <w:color w:val="000000"/>
                <w:spacing w:val="-3"/>
                <w:kern w:val="0"/>
                <w:sz w:val="24"/>
                <w:highlight w:val="none"/>
              </w:rPr>
            </w:pPr>
            <w:r>
              <w:rPr>
                <w:rFonts w:hint="eastAsia" w:asciiTheme="minorEastAsia" w:hAnsiTheme="minorEastAsia" w:cstheme="minorEastAsia"/>
                <w:color w:val="000000"/>
                <w:spacing w:val="-3"/>
                <w:kern w:val="0"/>
                <w:sz w:val="24"/>
                <w:highlight w:val="none"/>
              </w:rPr>
              <w:t>8</w:t>
            </w:r>
          </w:p>
        </w:tc>
        <w:tc>
          <w:tcPr>
            <w:tcW w:w="2460" w:type="dxa"/>
            <w:vAlign w:val="center"/>
          </w:tcPr>
          <w:p>
            <w:pPr>
              <w:jc w:val="center"/>
              <w:rPr>
                <w:rFonts w:asciiTheme="minorEastAsia" w:hAnsiTheme="minorEastAsia" w:cstheme="minorEastAsia"/>
                <w:color w:val="000000"/>
                <w:spacing w:val="-3"/>
                <w:kern w:val="0"/>
                <w:sz w:val="24"/>
                <w:highlight w:val="none"/>
              </w:rPr>
            </w:pPr>
            <w:r>
              <w:rPr>
                <w:rFonts w:asciiTheme="minorEastAsia" w:hAnsiTheme="minorEastAsia" w:cstheme="minorEastAsia"/>
                <w:color w:val="000000"/>
                <w:spacing w:val="-3"/>
                <w:kern w:val="0"/>
                <w:sz w:val="24"/>
                <w:highlight w:val="none"/>
              </w:rPr>
              <w:t>熔丝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26" w:type="dxa"/>
            <w:vAlign w:val="center"/>
          </w:tcPr>
          <w:p>
            <w:pPr>
              <w:jc w:val="center"/>
              <w:rPr>
                <w:rFonts w:asciiTheme="minorEastAsia" w:hAnsiTheme="minorEastAsia" w:cstheme="minorEastAsia"/>
                <w:color w:val="000000"/>
                <w:spacing w:val="-3"/>
                <w:kern w:val="0"/>
                <w:sz w:val="24"/>
                <w:highlight w:val="none"/>
              </w:rPr>
            </w:pPr>
            <w:r>
              <w:rPr>
                <w:rFonts w:hint="eastAsia" w:asciiTheme="minorEastAsia" w:hAnsiTheme="minorEastAsia" w:cstheme="minorEastAsia"/>
                <w:color w:val="000000"/>
                <w:spacing w:val="-3"/>
                <w:kern w:val="0"/>
                <w:sz w:val="24"/>
                <w:highlight w:val="none"/>
              </w:rPr>
              <w:t>4</w:t>
            </w:r>
          </w:p>
        </w:tc>
        <w:tc>
          <w:tcPr>
            <w:tcW w:w="2358" w:type="dxa"/>
            <w:vAlign w:val="center"/>
          </w:tcPr>
          <w:p>
            <w:pPr>
              <w:jc w:val="center"/>
              <w:rPr>
                <w:rFonts w:asciiTheme="minorEastAsia" w:hAnsiTheme="minorEastAsia" w:cstheme="minorEastAsia"/>
                <w:color w:val="000000"/>
                <w:spacing w:val="-3"/>
                <w:kern w:val="0"/>
                <w:sz w:val="24"/>
                <w:highlight w:val="none"/>
              </w:rPr>
            </w:pPr>
            <w:r>
              <w:rPr>
                <w:rFonts w:asciiTheme="minorEastAsia" w:hAnsiTheme="minorEastAsia" w:cstheme="minorEastAsia"/>
                <w:color w:val="000000"/>
                <w:spacing w:val="-3"/>
                <w:kern w:val="0"/>
                <w:sz w:val="24"/>
                <w:highlight w:val="none"/>
              </w:rPr>
              <w:t>电感</w:t>
            </w:r>
          </w:p>
        </w:tc>
        <w:tc>
          <w:tcPr>
            <w:tcW w:w="1410" w:type="dxa"/>
            <w:vAlign w:val="center"/>
          </w:tcPr>
          <w:p>
            <w:pPr>
              <w:jc w:val="center"/>
              <w:rPr>
                <w:rFonts w:asciiTheme="minorEastAsia" w:hAnsiTheme="minorEastAsia" w:cstheme="minorEastAsia"/>
                <w:color w:val="000000"/>
                <w:spacing w:val="-3"/>
                <w:kern w:val="0"/>
                <w:sz w:val="24"/>
                <w:highlight w:val="none"/>
              </w:rPr>
            </w:pPr>
            <w:r>
              <w:rPr>
                <w:rFonts w:hint="eastAsia" w:asciiTheme="minorEastAsia" w:hAnsiTheme="minorEastAsia" w:cstheme="minorEastAsia"/>
                <w:color w:val="000000"/>
                <w:spacing w:val="-3"/>
                <w:kern w:val="0"/>
                <w:sz w:val="24"/>
                <w:highlight w:val="none"/>
              </w:rPr>
              <w:t>9</w:t>
            </w:r>
          </w:p>
        </w:tc>
        <w:tc>
          <w:tcPr>
            <w:tcW w:w="2460" w:type="dxa"/>
            <w:vAlign w:val="center"/>
          </w:tcPr>
          <w:p>
            <w:pPr>
              <w:jc w:val="center"/>
              <w:rPr>
                <w:rFonts w:asciiTheme="minorEastAsia" w:hAnsiTheme="minorEastAsia" w:cstheme="minorEastAsia"/>
                <w:color w:val="000000"/>
                <w:spacing w:val="-3"/>
                <w:kern w:val="0"/>
                <w:sz w:val="24"/>
                <w:highlight w:val="none"/>
              </w:rPr>
            </w:pPr>
            <w:r>
              <w:rPr>
                <w:rFonts w:hint="eastAsia" w:asciiTheme="minorEastAsia" w:hAnsiTheme="minorEastAsia" w:cstheme="minorEastAsia"/>
                <w:color w:val="000000"/>
                <w:spacing w:val="-3"/>
                <w:kern w:val="0"/>
                <w:sz w:val="24"/>
                <w:highlight w:val="none"/>
              </w:rPr>
              <w:t>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26" w:type="dxa"/>
            <w:vAlign w:val="center"/>
          </w:tcPr>
          <w:p>
            <w:pPr>
              <w:jc w:val="center"/>
              <w:rPr>
                <w:rFonts w:asciiTheme="minorEastAsia" w:hAnsiTheme="minorEastAsia" w:cstheme="minorEastAsia"/>
                <w:color w:val="000000"/>
                <w:spacing w:val="-3"/>
                <w:kern w:val="0"/>
                <w:sz w:val="24"/>
                <w:highlight w:val="none"/>
              </w:rPr>
            </w:pPr>
            <w:r>
              <w:rPr>
                <w:rFonts w:hint="eastAsia" w:asciiTheme="minorEastAsia" w:hAnsiTheme="minorEastAsia" w:cstheme="minorEastAsia"/>
                <w:color w:val="000000"/>
                <w:spacing w:val="-3"/>
                <w:kern w:val="0"/>
                <w:sz w:val="24"/>
                <w:highlight w:val="none"/>
              </w:rPr>
              <w:t>5</w:t>
            </w:r>
          </w:p>
        </w:tc>
        <w:tc>
          <w:tcPr>
            <w:tcW w:w="2358" w:type="dxa"/>
            <w:vAlign w:val="center"/>
          </w:tcPr>
          <w:p>
            <w:pPr>
              <w:jc w:val="center"/>
              <w:rPr>
                <w:rFonts w:asciiTheme="minorEastAsia" w:hAnsiTheme="minorEastAsia" w:cstheme="minorEastAsia"/>
                <w:color w:val="000000"/>
                <w:spacing w:val="-3"/>
                <w:kern w:val="0"/>
                <w:sz w:val="24"/>
                <w:highlight w:val="none"/>
              </w:rPr>
            </w:pPr>
            <w:r>
              <w:rPr>
                <w:rFonts w:hint="eastAsia" w:asciiTheme="minorEastAsia" w:hAnsiTheme="minorEastAsia" w:cstheme="minorEastAsia"/>
                <w:color w:val="000000"/>
                <w:spacing w:val="-3"/>
                <w:kern w:val="0"/>
                <w:sz w:val="24"/>
                <w:highlight w:val="none"/>
              </w:rPr>
              <w:t>避雷器</w:t>
            </w:r>
          </w:p>
        </w:tc>
        <w:tc>
          <w:tcPr>
            <w:tcW w:w="1410" w:type="dxa"/>
            <w:vAlign w:val="center"/>
          </w:tcPr>
          <w:p>
            <w:pPr>
              <w:jc w:val="center"/>
              <w:rPr>
                <w:rFonts w:asciiTheme="minorEastAsia" w:hAnsiTheme="minorEastAsia" w:cstheme="minorEastAsia"/>
                <w:color w:val="000000"/>
                <w:spacing w:val="-3"/>
                <w:kern w:val="0"/>
                <w:sz w:val="24"/>
                <w:highlight w:val="none"/>
              </w:rPr>
            </w:pPr>
          </w:p>
        </w:tc>
        <w:tc>
          <w:tcPr>
            <w:tcW w:w="2460" w:type="dxa"/>
            <w:vAlign w:val="center"/>
          </w:tcPr>
          <w:p>
            <w:pPr>
              <w:jc w:val="center"/>
              <w:rPr>
                <w:rFonts w:asciiTheme="minorEastAsia" w:hAnsiTheme="minorEastAsia" w:cstheme="minorEastAsia"/>
                <w:color w:val="000000"/>
                <w:spacing w:val="-3"/>
                <w:kern w:val="0"/>
                <w:sz w:val="24"/>
                <w:highlight w:val="none"/>
              </w:rPr>
            </w:pPr>
          </w:p>
        </w:tc>
      </w:tr>
    </w:tbl>
    <w:p>
      <w:pPr>
        <w:numPr>
          <w:ilvl w:val="0"/>
          <w:numId w:val="0"/>
        </w:numPr>
        <w:spacing w:line="360" w:lineRule="auto"/>
        <w:rPr>
          <w:rFonts w:hint="eastAsia" w:ascii="宋体" w:hAnsi="宋体"/>
          <w:sz w:val="24"/>
          <w:highlight w:val="none"/>
          <w:lang w:eastAsia="zh-CN"/>
        </w:rPr>
      </w:pPr>
    </w:p>
    <w:p>
      <w:pPr>
        <w:numPr>
          <w:ilvl w:val="0"/>
          <w:numId w:val="12"/>
        </w:numPr>
        <w:spacing w:line="360" w:lineRule="auto"/>
        <w:ind w:firstLine="480" w:firstLineChars="200"/>
        <w:rPr>
          <w:rFonts w:hint="eastAsia" w:ascii="宋体" w:hAnsi="宋体"/>
          <w:b w:val="0"/>
          <w:bCs w:val="0"/>
          <w:sz w:val="24"/>
          <w:highlight w:val="none"/>
          <w:lang w:eastAsia="zh-CN"/>
        </w:rPr>
      </w:pPr>
      <w:r>
        <w:rPr>
          <w:rFonts w:hint="eastAsia" w:ascii="宋体" w:hAnsi="宋体"/>
          <w:b w:val="0"/>
          <w:bCs w:val="0"/>
          <w:color w:val="FF0000"/>
          <w:sz w:val="24"/>
          <w:highlight w:val="none"/>
        </w:rPr>
        <w:t>要求提供静止无功发生器进口元器件配置清单(加盖公章)，清单应有产品型号、品牌及数量</w:t>
      </w:r>
      <w:r>
        <w:rPr>
          <w:rFonts w:hint="eastAsia" w:ascii="宋体" w:hAnsi="宋体"/>
          <w:b w:val="0"/>
          <w:bCs w:val="0"/>
          <w:color w:val="FF0000"/>
          <w:sz w:val="24"/>
          <w:highlight w:val="none"/>
          <w:lang w:val="en-US" w:eastAsia="zh-CN"/>
        </w:rPr>
        <w:t>等内容</w:t>
      </w:r>
      <w:r>
        <w:rPr>
          <w:rFonts w:hint="eastAsia" w:ascii="宋体" w:hAnsi="宋体"/>
          <w:b w:val="0"/>
          <w:bCs w:val="0"/>
          <w:sz w:val="24"/>
          <w:highlight w:val="none"/>
          <w:lang w:eastAsia="zh-CN"/>
        </w:rPr>
        <w:t>；</w:t>
      </w:r>
    </w:p>
    <w:p>
      <w:pPr>
        <w:numPr>
          <w:ilvl w:val="0"/>
          <w:numId w:val="12"/>
        </w:numPr>
        <w:spacing w:line="360" w:lineRule="auto"/>
        <w:ind w:firstLine="480" w:firstLineChars="200"/>
        <w:rPr>
          <w:rFonts w:hint="eastAsia" w:ascii="宋体" w:hAnsi="宋体"/>
          <w:sz w:val="24"/>
          <w:highlight w:val="none"/>
          <w:lang w:eastAsia="zh-CN"/>
        </w:rPr>
      </w:pPr>
      <w:r>
        <w:rPr>
          <w:rFonts w:hint="eastAsia" w:ascii="宋体" w:hAnsi="宋体"/>
          <w:sz w:val="24"/>
          <w:highlight w:val="none"/>
        </w:rPr>
        <w:t>设备到我司仓库后，由我司人员和供方人员共同验证、核对元器件是否符合技术协议</w:t>
      </w:r>
      <w:r>
        <w:rPr>
          <w:rFonts w:hint="eastAsia" w:ascii="宋体" w:hAnsi="宋体"/>
          <w:sz w:val="24"/>
          <w:highlight w:val="none"/>
          <w:lang w:val="en-US" w:eastAsia="zh-CN"/>
        </w:rPr>
        <w:t>。</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lang w:val="en-US" w:eastAsia="zh-CN"/>
        </w:rPr>
        <w:t>技术及安装要求</w:t>
      </w:r>
    </w:p>
    <w:p>
      <w:pPr>
        <w:numPr>
          <w:ilvl w:val="0"/>
          <w:numId w:val="13"/>
        </w:numPr>
        <w:spacing w:line="360" w:lineRule="auto"/>
        <w:ind w:left="0" w:leftChars="0" w:firstLine="480" w:firstLineChars="200"/>
        <w:rPr>
          <w:rFonts w:hint="eastAsia" w:ascii="宋体" w:hAnsi="宋体"/>
          <w:b w:val="0"/>
          <w:bCs w:val="0"/>
          <w:sz w:val="24"/>
          <w:highlight w:val="none"/>
          <w:lang w:eastAsia="zh-CN"/>
        </w:rPr>
      </w:pPr>
      <w:r>
        <w:rPr>
          <w:rFonts w:hint="eastAsia" w:ascii="宋体" w:hAnsi="宋体"/>
          <w:color w:val="auto"/>
          <w:sz w:val="24"/>
          <w:highlight w:val="none"/>
        </w:rPr>
        <w:t>先在B3配电系统低压侧安装2台静止无功发生器，测试其补偿效果，若达到补偿效果，继续在3#站B4配电系统低压侧安装2台静止无功发生器，若达不到补偿效果，4台静止无功发生器可全额退款。</w:t>
      </w:r>
    </w:p>
    <w:p>
      <w:pPr>
        <w:numPr>
          <w:ilvl w:val="0"/>
          <w:numId w:val="13"/>
        </w:numPr>
        <w:spacing w:line="360"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安装</w:t>
      </w:r>
      <w:r>
        <w:rPr>
          <w:rFonts w:hint="eastAsia" w:ascii="宋体" w:hAnsi="宋体"/>
          <w:color w:val="auto"/>
          <w:sz w:val="24"/>
          <w:highlight w:val="none"/>
        </w:rPr>
        <w:t>利用原补偿电柜且只能在电柜下柜《见附图一，红线（分支铜排）上面为电柜上柜，红线下面为电柜下柜》放置静止无功发生器。</w:t>
      </w:r>
    </w:p>
    <w:p>
      <w:pPr>
        <w:numPr>
          <w:ilvl w:val="0"/>
          <w:numId w:val="13"/>
        </w:numPr>
        <w:spacing w:line="360"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现有电柜下柜体使用空间为：1000mm*800mm*990mm（</w:t>
      </w:r>
      <w:bookmarkStart w:id="1" w:name="_Hlk150518918"/>
      <w:r>
        <w:rPr>
          <w:rFonts w:hint="eastAsia" w:ascii="宋体" w:hAnsi="宋体"/>
          <w:color w:val="auto"/>
          <w:sz w:val="24"/>
          <w:highlight w:val="none"/>
        </w:rPr>
        <w:t>深*宽*高</w:t>
      </w:r>
      <w:bookmarkEnd w:id="1"/>
      <w:r>
        <w:rPr>
          <w:rFonts w:hint="eastAsia" w:ascii="宋体" w:hAnsi="宋体"/>
          <w:color w:val="auto"/>
          <w:sz w:val="24"/>
          <w:highlight w:val="none"/>
        </w:rPr>
        <w:t>），其高度是电柜红线至电柜下柜底部高度（见附图一）</w:t>
      </w:r>
      <w:r>
        <w:rPr>
          <w:rFonts w:hint="eastAsia" w:ascii="宋体" w:hAnsi="宋体"/>
          <w:color w:val="auto"/>
          <w:sz w:val="24"/>
          <w:highlight w:val="none"/>
          <w:lang w:eastAsia="zh-CN"/>
        </w:rPr>
        <w:t>。</w:t>
      </w:r>
    </w:p>
    <w:p>
      <w:pPr>
        <w:numPr>
          <w:ilvl w:val="0"/>
          <w:numId w:val="0"/>
        </w:numPr>
        <w:spacing w:line="360" w:lineRule="auto"/>
        <w:ind w:leftChars="200"/>
        <w:rPr>
          <w:rFonts w:hint="eastAsia" w:ascii="宋体" w:hAnsi="宋体" w:eastAsiaTheme="minorEastAsia"/>
          <w:sz w:val="24"/>
          <w:highlight w:val="none"/>
          <w:lang w:eastAsia="zh-CN"/>
        </w:rPr>
      </w:pPr>
      <w:r>
        <w:rPr>
          <w:rFonts w:hint="eastAsia" w:ascii="宋体" w:hAnsi="宋体"/>
          <w:sz w:val="24"/>
          <w:highlight w:val="none"/>
        </w:rPr>
        <w:t>附图一</w:t>
      </w:r>
      <w:r>
        <w:rPr>
          <w:rFonts w:hint="eastAsia" w:ascii="宋体" w:hAnsi="宋体"/>
          <w:sz w:val="24"/>
          <w:highlight w:val="none"/>
          <w:lang w:eastAsia="zh-CN"/>
        </w:rPr>
        <w:t>：</w:t>
      </w:r>
    </w:p>
    <w:p>
      <w:pPr>
        <w:numPr>
          <w:ilvl w:val="0"/>
          <w:numId w:val="0"/>
        </w:numPr>
        <w:spacing w:line="360" w:lineRule="auto"/>
        <w:ind w:leftChars="200"/>
      </w:pPr>
      <w:r>
        <w:drawing>
          <wp:inline distT="0" distB="0" distL="0" distR="0">
            <wp:extent cx="2209800" cy="5143500"/>
            <wp:effectExtent l="0" t="0" r="0" b="0"/>
            <wp:docPr id="13" name="图片 13" descr="d:\Users\yuzp\Documents\WeChat Files\wxid_21diqa4b5e0d22\FileStorage\Temp\e7b8d099b2aa077f261448d1def9b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Users\yuzp\Documents\WeChat Files\wxid_21diqa4b5e0d22\FileStorage\Temp\e7b8d099b2aa077f261448d1def9bd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09800" cy="5143500"/>
                    </a:xfrm>
                    <a:prstGeom prst="rect">
                      <a:avLst/>
                    </a:prstGeom>
                    <a:noFill/>
                    <a:ln>
                      <a:noFill/>
                    </a:ln>
                  </pic:spPr>
                </pic:pic>
              </a:graphicData>
            </a:graphic>
          </wp:inline>
        </w:drawing>
      </w:r>
      <w:r>
        <w:drawing>
          <wp:inline distT="0" distB="0" distL="0" distR="0">
            <wp:extent cx="2650490" cy="5133975"/>
            <wp:effectExtent l="0" t="0" r="16510" b="9525"/>
            <wp:docPr id="14" name="图片 14" descr="d:\Users\yuzp\Documents\WeChat Files\wxid_21diqa4b5e0d22\FileStorage\Temp\185cec1068b45a7a1d9ee814a35e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Users\yuzp\Documents\WeChat Files\wxid_21diqa4b5e0d22\FileStorage\Temp\185cec1068b45a7a1d9ee814a35eef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50490" cy="5133975"/>
                    </a:xfrm>
                    <a:prstGeom prst="rect">
                      <a:avLst/>
                    </a:prstGeom>
                    <a:noFill/>
                    <a:ln>
                      <a:noFill/>
                    </a:ln>
                  </pic:spPr>
                </pic:pic>
              </a:graphicData>
            </a:graphic>
          </wp:inline>
        </w:drawing>
      </w:r>
    </w:p>
    <w:p>
      <w:pPr>
        <w:numPr>
          <w:ilvl w:val="0"/>
          <w:numId w:val="0"/>
        </w:numPr>
        <w:spacing w:line="360" w:lineRule="auto"/>
        <w:ind w:leftChars="200"/>
        <w:rPr>
          <w:rFonts w:hint="eastAsia"/>
          <w:lang w:eastAsia="zh-CN"/>
        </w:rPr>
      </w:pPr>
    </w:p>
    <w:p>
      <w:pPr>
        <w:numPr>
          <w:ilvl w:val="0"/>
          <w:numId w:val="13"/>
        </w:numPr>
        <w:spacing w:line="360" w:lineRule="auto"/>
        <w:ind w:left="0" w:leftChars="0"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不得改动电柜原有结构、外观及原状（包括在电柜门上开孔、扩孔或加装其他设备等），新的控制器只能安装在原控制器处（拆除原控制器，见附图二），不得改动原控制器安装孔尺寸，原安装孔尺寸为134mm*134mm（长*宽）。</w:t>
      </w:r>
    </w:p>
    <w:p>
      <w:pPr>
        <w:numPr>
          <w:ilvl w:val="0"/>
          <w:numId w:val="13"/>
        </w:numPr>
        <w:spacing w:line="360" w:lineRule="auto"/>
        <w:ind w:left="0" w:leftChars="0"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保留且利用电柜上柜现有的电源刀熔总开关作为静止无功发生器的电源总开关，无需增加其他电源总开关，停送电只能在关好电柜门后，在电柜门外操作。</w:t>
      </w:r>
    </w:p>
    <w:p>
      <w:pPr>
        <w:numPr>
          <w:ilvl w:val="0"/>
          <w:numId w:val="13"/>
        </w:numPr>
        <w:spacing w:line="360" w:lineRule="auto"/>
        <w:ind w:left="0" w:leftChars="0"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静止无功发生器所需机式为机架抽屉式（见附图二）。</w:t>
      </w:r>
    </w:p>
    <w:p>
      <w:pPr>
        <w:numPr>
          <w:ilvl w:val="0"/>
          <w:numId w:val="0"/>
        </w:numPr>
        <w:spacing w:line="360" w:lineRule="auto"/>
        <w:ind w:leftChars="200"/>
        <w:rPr>
          <w:rFonts w:hint="eastAsia" w:ascii="宋体" w:hAnsi="宋体"/>
          <w:sz w:val="24"/>
          <w:highlight w:val="none"/>
          <w:lang w:val="en-US" w:eastAsia="zh-CN"/>
        </w:rPr>
      </w:pPr>
    </w:p>
    <w:p>
      <w:pPr>
        <w:numPr>
          <w:ilvl w:val="0"/>
          <w:numId w:val="0"/>
        </w:numPr>
        <w:spacing w:line="360" w:lineRule="auto"/>
        <w:ind w:firstLine="1050" w:firstLineChars="500"/>
        <w:rPr>
          <w:rFonts w:hint="eastAsia" w:ascii="宋体" w:hAnsi="宋体"/>
          <w:sz w:val="24"/>
          <w:highlight w:val="none"/>
          <w:lang w:val="en-US" w:eastAsia="zh-CN"/>
        </w:rPr>
      </w:pPr>
      <w:r>
        <w:drawing>
          <wp:anchor distT="0" distB="0" distL="0" distR="0" simplePos="0" relativeHeight="251659264" behindDoc="0" locked="0" layoutInCell="1" allowOverlap="1">
            <wp:simplePos x="0" y="0"/>
            <wp:positionH relativeFrom="column">
              <wp:posOffset>942975</wp:posOffset>
            </wp:positionH>
            <wp:positionV relativeFrom="paragraph">
              <wp:posOffset>292100</wp:posOffset>
            </wp:positionV>
            <wp:extent cx="2905760" cy="1370330"/>
            <wp:effectExtent l="0" t="0" r="8890" b="1270"/>
            <wp:wrapNone/>
            <wp:docPr id="1" name="图片 1" descr="C:\Users\yuzp\AppData\Local\Temp\WeChat Files\3a08640649725037473e4d3bb336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uzp\AppData\Local\Temp\WeChat Files\3a08640649725037473e4d3bb3364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05760" cy="1370330"/>
                    </a:xfrm>
                    <a:prstGeom prst="rect">
                      <a:avLst/>
                    </a:prstGeom>
                    <a:noFill/>
                    <a:ln>
                      <a:noFill/>
                    </a:ln>
                  </pic:spPr>
                </pic:pic>
              </a:graphicData>
            </a:graphic>
          </wp:anchor>
        </w:drawing>
      </w:r>
      <w:r>
        <w:rPr>
          <w:rFonts w:hint="eastAsia" w:ascii="宋体" w:hAnsi="宋体"/>
          <w:sz w:val="24"/>
          <w:highlight w:val="none"/>
          <w:lang w:val="en-US" w:eastAsia="zh-CN"/>
        </w:rPr>
        <w:t>附图二：</w:t>
      </w:r>
    </w:p>
    <w:p>
      <w:pPr>
        <w:numPr>
          <w:ilvl w:val="0"/>
          <w:numId w:val="0"/>
        </w:numPr>
        <w:spacing w:line="360" w:lineRule="auto"/>
        <w:ind w:leftChars="200"/>
        <w:rPr>
          <w:rFonts w:hint="eastAsia" w:ascii="宋体" w:hAnsi="宋体"/>
          <w:sz w:val="24"/>
          <w:highlight w:val="none"/>
          <w:lang w:val="en-US" w:eastAsia="zh-CN"/>
        </w:rPr>
      </w:pPr>
    </w:p>
    <w:p>
      <w:pPr>
        <w:numPr>
          <w:ilvl w:val="0"/>
          <w:numId w:val="0"/>
        </w:numPr>
        <w:spacing w:line="360" w:lineRule="auto"/>
        <w:ind w:leftChars="200"/>
        <w:rPr>
          <w:rFonts w:hint="eastAsia" w:ascii="宋体" w:hAnsi="宋体"/>
          <w:sz w:val="24"/>
          <w:highlight w:val="none"/>
          <w:lang w:val="en-US" w:eastAsia="zh-CN"/>
        </w:rPr>
      </w:pPr>
    </w:p>
    <w:p>
      <w:pPr>
        <w:numPr>
          <w:ilvl w:val="0"/>
          <w:numId w:val="0"/>
        </w:numPr>
        <w:spacing w:line="360" w:lineRule="auto"/>
        <w:ind w:leftChars="200"/>
        <w:rPr>
          <w:rFonts w:hint="eastAsia" w:ascii="宋体" w:hAnsi="宋体"/>
          <w:sz w:val="24"/>
          <w:highlight w:val="none"/>
          <w:lang w:val="en-US" w:eastAsia="zh-CN"/>
        </w:rPr>
      </w:pPr>
    </w:p>
    <w:p>
      <w:pPr>
        <w:numPr>
          <w:ilvl w:val="0"/>
          <w:numId w:val="0"/>
        </w:numPr>
        <w:spacing w:line="360" w:lineRule="auto"/>
        <w:ind w:leftChars="200"/>
        <w:rPr>
          <w:rFonts w:hint="eastAsia" w:ascii="宋体" w:hAnsi="宋体"/>
          <w:sz w:val="24"/>
          <w:highlight w:val="none"/>
          <w:lang w:val="en-US" w:eastAsia="zh-CN"/>
        </w:rPr>
      </w:pPr>
    </w:p>
    <w:p>
      <w:pPr>
        <w:numPr>
          <w:ilvl w:val="0"/>
          <w:numId w:val="0"/>
        </w:numPr>
        <w:spacing w:line="360" w:lineRule="auto"/>
        <w:ind w:leftChars="200"/>
        <w:rPr>
          <w:rFonts w:hint="eastAsia" w:ascii="宋体" w:hAnsi="宋体"/>
          <w:sz w:val="24"/>
          <w:highlight w:val="none"/>
          <w:lang w:val="en-US" w:eastAsia="zh-CN"/>
        </w:rPr>
      </w:pPr>
      <w:r>
        <w:rPr>
          <w:rFonts w:hint="eastAsia" w:ascii="宋体" w:hAnsi="宋体"/>
          <w:sz w:val="24"/>
          <w:highlight w:val="none"/>
          <w:lang w:val="en-US" w:eastAsia="zh-CN"/>
        </w:rPr>
        <w:t xml:space="preserve">  </w:t>
      </w:r>
    </w:p>
    <w:p>
      <w:pPr>
        <w:numPr>
          <w:ilvl w:val="0"/>
          <w:numId w:val="13"/>
        </w:numPr>
        <w:spacing w:line="360" w:lineRule="auto"/>
        <w:ind w:left="0" w:leftChars="0" w:firstLine="480" w:firstLineChars="200"/>
        <w:rPr>
          <w:rFonts w:hint="eastAsia" w:ascii="宋体" w:hAnsi="宋体"/>
          <w:sz w:val="24"/>
          <w:highlight w:val="none"/>
          <w:lang w:eastAsia="zh-CN"/>
        </w:rPr>
      </w:pPr>
      <w:r>
        <w:rPr>
          <w:rFonts w:hint="eastAsia" w:ascii="宋体" w:hAnsi="宋体"/>
          <w:sz w:val="24"/>
          <w:highlight w:val="none"/>
        </w:rPr>
        <w:t>电柜下柜体分上、下两层各摆放一个模块（见附图三），模块安装后，所有空间尺寸要求为：</w:t>
      </w:r>
      <w:r>
        <w:rPr>
          <w:rFonts w:hint="eastAsia" w:ascii="宋体" w:hAnsi="宋体"/>
          <w:sz w:val="24"/>
          <w:highlight w:val="none"/>
        </w:rPr>
        <w:fldChar w:fldCharType="begin"/>
      </w:r>
      <w:r>
        <w:rPr>
          <w:rFonts w:hint="eastAsia" w:ascii="宋体" w:hAnsi="宋体"/>
          <w:sz w:val="24"/>
          <w:highlight w:val="none"/>
        </w:rPr>
        <w:instrText xml:space="preserve"> = 1 \* GB3 </w:instrText>
      </w:r>
      <w:r>
        <w:rPr>
          <w:rFonts w:hint="eastAsia" w:ascii="宋体" w:hAnsi="宋体"/>
          <w:sz w:val="24"/>
          <w:highlight w:val="none"/>
        </w:rPr>
        <w:fldChar w:fldCharType="separate"/>
      </w:r>
      <w:r>
        <w:rPr>
          <w:rFonts w:hint="eastAsia" w:ascii="宋体" w:hAnsi="宋体"/>
          <w:sz w:val="24"/>
          <w:highlight w:val="none"/>
        </w:rPr>
        <w:t>①</w:t>
      </w:r>
      <w:r>
        <w:rPr>
          <w:rFonts w:hint="eastAsia" w:ascii="宋体" w:hAnsi="宋体"/>
          <w:sz w:val="24"/>
          <w:highlight w:val="none"/>
        </w:rPr>
        <w:fldChar w:fldCharType="end"/>
      </w:r>
      <w:r>
        <w:rPr>
          <w:rFonts w:hint="eastAsia" w:ascii="宋体" w:hAnsi="宋体"/>
          <w:sz w:val="24"/>
          <w:highlight w:val="none"/>
        </w:rPr>
        <w:t>前门与模块间距不少于150mm，后门与模块接线柱间距不少于270mm；</w:t>
      </w:r>
      <w:r>
        <w:rPr>
          <w:rFonts w:hint="eastAsia" w:ascii="宋体" w:hAnsi="宋体"/>
          <w:sz w:val="24"/>
          <w:highlight w:val="none"/>
        </w:rPr>
        <w:fldChar w:fldCharType="begin"/>
      </w:r>
      <w:r>
        <w:rPr>
          <w:rFonts w:hint="eastAsia" w:ascii="宋体" w:hAnsi="宋体"/>
          <w:sz w:val="24"/>
          <w:highlight w:val="none"/>
        </w:rPr>
        <w:instrText xml:space="preserve"> = 2 \* GB3 </w:instrText>
      </w:r>
      <w:r>
        <w:rPr>
          <w:rFonts w:hint="eastAsia" w:ascii="宋体" w:hAnsi="宋体"/>
          <w:sz w:val="24"/>
          <w:highlight w:val="none"/>
        </w:rPr>
        <w:fldChar w:fldCharType="separate"/>
      </w:r>
      <w:r>
        <w:rPr>
          <w:rFonts w:hint="eastAsia" w:ascii="宋体" w:hAnsi="宋体"/>
          <w:sz w:val="24"/>
          <w:highlight w:val="none"/>
        </w:rPr>
        <w:t>②</w:t>
      </w:r>
      <w:r>
        <w:rPr>
          <w:rFonts w:hint="eastAsia" w:ascii="宋体" w:hAnsi="宋体"/>
          <w:sz w:val="24"/>
          <w:highlight w:val="none"/>
        </w:rPr>
        <w:fldChar w:fldCharType="end"/>
      </w:r>
      <w:r>
        <w:rPr>
          <w:rFonts w:hint="eastAsia" w:ascii="宋体" w:hAnsi="宋体"/>
          <w:sz w:val="24"/>
          <w:highlight w:val="none"/>
        </w:rPr>
        <w:t>柜体左、右两侧柜门与模块间距分别不少于60mm；</w:t>
      </w:r>
      <w:r>
        <w:rPr>
          <w:rFonts w:hint="eastAsia" w:ascii="宋体" w:hAnsi="宋体"/>
          <w:sz w:val="24"/>
          <w:highlight w:val="none"/>
        </w:rPr>
        <w:fldChar w:fldCharType="begin"/>
      </w:r>
      <w:r>
        <w:rPr>
          <w:rFonts w:hint="eastAsia" w:ascii="宋体" w:hAnsi="宋体"/>
          <w:sz w:val="24"/>
          <w:highlight w:val="none"/>
        </w:rPr>
        <w:instrText xml:space="preserve"> = 3 \* GB3 </w:instrText>
      </w:r>
      <w:r>
        <w:rPr>
          <w:rFonts w:hint="eastAsia" w:ascii="宋体" w:hAnsi="宋体"/>
          <w:sz w:val="24"/>
          <w:highlight w:val="none"/>
        </w:rPr>
        <w:fldChar w:fldCharType="separate"/>
      </w:r>
      <w:r>
        <w:rPr>
          <w:rFonts w:hint="eastAsia" w:ascii="宋体" w:hAnsi="宋体"/>
          <w:sz w:val="24"/>
          <w:highlight w:val="none"/>
        </w:rPr>
        <w:t>③</w:t>
      </w:r>
      <w:r>
        <w:rPr>
          <w:rFonts w:hint="eastAsia" w:ascii="宋体" w:hAnsi="宋体"/>
          <w:sz w:val="24"/>
          <w:highlight w:val="none"/>
        </w:rPr>
        <w:fldChar w:fldCharType="end"/>
      </w:r>
      <w:r>
        <w:rPr>
          <w:rFonts w:hint="eastAsia" w:ascii="宋体" w:hAnsi="宋体"/>
          <w:sz w:val="24"/>
          <w:highlight w:val="none"/>
        </w:rPr>
        <w:t>电源总开关引出分支铜排（见附图一）距1号模块上部垂直距离不少于200mm， 两模块之间间距不少于200mm； 2号模块与柜体底部间距不少于200mm（</w:t>
      </w:r>
      <w:r>
        <w:rPr>
          <w:rFonts w:hint="eastAsia" w:ascii="宋体" w:hAnsi="宋体"/>
          <w:color w:val="FF0000"/>
          <w:sz w:val="24"/>
          <w:highlight w:val="none"/>
        </w:rPr>
        <w:t>要求提供详细的安装图及用文字描述设备前、后、左、右、上、中、下空间间距</w:t>
      </w:r>
      <w:r>
        <w:rPr>
          <w:rFonts w:hint="eastAsia" w:ascii="宋体" w:hAnsi="宋体"/>
          <w:sz w:val="24"/>
          <w:highlight w:val="none"/>
        </w:rPr>
        <w:t>）</w:t>
      </w:r>
      <w:r>
        <w:rPr>
          <w:rFonts w:hint="eastAsia" w:ascii="宋体" w:hAnsi="宋体"/>
          <w:sz w:val="24"/>
          <w:highlight w:val="none"/>
          <w:lang w:eastAsia="zh-CN"/>
        </w:rPr>
        <w:t>。</w:t>
      </w:r>
    </w:p>
    <w:p>
      <w:pPr>
        <w:spacing w:line="360" w:lineRule="auto"/>
        <w:ind w:firstLine="480" w:firstLineChars="200"/>
        <w:rPr>
          <w:rFonts w:hint="eastAsia" w:ascii="宋体" w:hAnsi="宋体"/>
          <w:sz w:val="24"/>
          <w:highlight w:val="none"/>
          <w:lang w:eastAsia="zh-CN"/>
        </w:rPr>
      </w:pPr>
      <w:r>
        <w:rPr>
          <w:rFonts w:hint="eastAsia"/>
          <w:sz w:val="24"/>
        </w:rPr>
        <w:t>附图三：</w:t>
      </w:r>
    </w:p>
    <w:p>
      <w:pPr>
        <w:numPr>
          <w:ilvl w:val="0"/>
          <w:numId w:val="0"/>
        </w:numPr>
        <w:spacing w:line="360" w:lineRule="auto"/>
        <w:ind w:leftChars="200"/>
        <w:rPr>
          <w:rFonts w:hint="eastAsia" w:ascii="宋体" w:hAnsi="宋体"/>
          <w:sz w:val="24"/>
          <w:highlight w:val="none"/>
          <w:lang w:eastAsia="zh-CN"/>
        </w:rPr>
      </w:pPr>
      <w:r>
        <w:drawing>
          <wp:inline distT="0" distB="0" distL="0" distR="0">
            <wp:extent cx="5105400" cy="4772025"/>
            <wp:effectExtent l="0" t="0" r="0" b="9525"/>
            <wp:docPr id="4" name="图片 4" descr="d:\Users\yuzp\Documents\WeChat Files\wxid_21diqa4b5e0d22\FileStorage\Temp\b45a38e515fc7d141146e7aa8284f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Users\yuzp\Documents\WeChat Files\wxid_21diqa4b5e0d22\FileStorage\Temp\b45a38e515fc7d141146e7aa8284f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05400" cy="4772025"/>
                    </a:xfrm>
                    <a:prstGeom prst="rect">
                      <a:avLst/>
                    </a:prstGeom>
                    <a:noFill/>
                    <a:ln>
                      <a:noFill/>
                    </a:ln>
                  </pic:spPr>
                </pic:pic>
              </a:graphicData>
            </a:graphic>
          </wp:inline>
        </w:drawing>
      </w:r>
    </w:p>
    <w:p>
      <w:pPr>
        <w:numPr>
          <w:ilvl w:val="0"/>
          <w:numId w:val="13"/>
        </w:numPr>
        <w:spacing w:line="360" w:lineRule="auto"/>
        <w:ind w:left="0" w:leftChars="0" w:firstLine="480" w:firstLineChars="200"/>
        <w:rPr>
          <w:rFonts w:hint="eastAsia" w:ascii="宋体" w:hAnsi="宋体"/>
          <w:sz w:val="24"/>
          <w:highlight w:val="none"/>
          <w:lang w:eastAsia="zh-CN"/>
        </w:rPr>
      </w:pPr>
      <w:r>
        <w:rPr>
          <w:rFonts w:hint="eastAsia" w:ascii="宋体" w:hAnsi="宋体"/>
          <w:sz w:val="24"/>
          <w:highlight w:val="none"/>
        </w:rPr>
        <w:t>利用原电柜顶部已有的两台散热风扇作为设备散热用，无需增加任何散热装置</w:t>
      </w:r>
      <w:r>
        <w:rPr>
          <w:rFonts w:hint="eastAsia" w:ascii="宋体" w:hAnsi="宋体"/>
          <w:sz w:val="24"/>
          <w:highlight w:val="none"/>
          <w:lang w:eastAsia="zh-CN"/>
        </w:rPr>
        <w:t>。</w:t>
      </w:r>
    </w:p>
    <w:p>
      <w:pPr>
        <w:numPr>
          <w:ilvl w:val="0"/>
          <w:numId w:val="13"/>
        </w:numPr>
        <w:spacing w:line="360" w:lineRule="auto"/>
        <w:ind w:left="0" w:leftChars="0" w:firstLine="480" w:firstLineChars="200"/>
        <w:rPr>
          <w:rFonts w:hint="eastAsia" w:ascii="宋体" w:hAnsi="宋体"/>
          <w:sz w:val="24"/>
          <w:highlight w:val="none"/>
          <w:lang w:val="en-US" w:eastAsia="zh-CN"/>
        </w:rPr>
      </w:pPr>
      <w:r>
        <w:rPr>
          <w:rFonts w:hint="eastAsia" w:ascii="宋体" w:hAnsi="宋体"/>
          <w:sz w:val="24"/>
          <w:highlight w:val="none"/>
        </w:rPr>
        <w:t>CT要求检测到变压器总输出电流，其安装应符合规范</w:t>
      </w:r>
      <w:r>
        <w:rPr>
          <w:rFonts w:hint="eastAsia" w:ascii="宋体" w:hAnsi="宋体"/>
          <w:sz w:val="24"/>
          <w:highlight w:val="none"/>
          <w:lang w:eastAsia="zh-CN"/>
        </w:rPr>
        <w:t>。</w:t>
      </w:r>
    </w:p>
    <w:p>
      <w:pPr>
        <w:numPr>
          <w:ilvl w:val="0"/>
          <w:numId w:val="13"/>
        </w:numPr>
        <w:spacing w:line="360" w:lineRule="auto"/>
        <w:ind w:left="0" w:leftChars="0"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厂家</w:t>
      </w:r>
      <w:bookmarkStart w:id="2" w:name="_Hlk147683102"/>
      <w:r>
        <w:rPr>
          <w:rFonts w:hint="eastAsia" w:ascii="宋体" w:hAnsi="宋体"/>
          <w:sz w:val="24"/>
          <w:highlight w:val="none"/>
          <w:lang w:val="en-US" w:eastAsia="zh-CN"/>
        </w:rPr>
        <w:t>负责免费拆除电柜下柜体原有设备器件及安装</w:t>
      </w:r>
      <w:bookmarkEnd w:id="2"/>
      <w:r>
        <w:rPr>
          <w:rFonts w:hint="eastAsia" w:ascii="宋体" w:hAnsi="宋体"/>
          <w:sz w:val="24"/>
          <w:highlight w:val="none"/>
          <w:lang w:val="en-US" w:eastAsia="zh-CN"/>
        </w:rPr>
        <w:t>、调试、培训等工作，另报价应包含辅助材料费用和运费，辅助材料见附表。</w:t>
      </w:r>
    </w:p>
    <w:p>
      <w:pPr>
        <w:spacing w:line="360" w:lineRule="auto"/>
        <w:ind w:firstLine="720" w:firstLineChars="300"/>
        <w:rPr>
          <w:sz w:val="24"/>
        </w:rPr>
      </w:pPr>
      <w:r>
        <w:rPr>
          <w:rFonts w:hint="eastAsia"/>
          <w:sz w:val="24"/>
        </w:rPr>
        <w:t>附表：</w:t>
      </w:r>
    </w:p>
    <w:p>
      <w:pPr>
        <w:spacing w:line="360" w:lineRule="auto"/>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辅助材料表</w:t>
      </w:r>
    </w:p>
    <w:tbl>
      <w:tblPr>
        <w:tblStyle w:val="16"/>
        <w:tblW w:w="80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1390"/>
        <w:gridCol w:w="3020"/>
        <w:gridCol w:w="690"/>
        <w:gridCol w:w="750"/>
        <w:gridCol w:w="15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662" w:type="dxa"/>
            <w:vAlign w:val="center"/>
          </w:tcPr>
          <w:p>
            <w:pPr>
              <w:pStyle w:val="15"/>
              <w:spacing w:before="164" w:line="219" w:lineRule="auto"/>
              <w:jc w:val="center"/>
              <w:rPr>
                <w:rFonts w:asciiTheme="minorEastAsia" w:hAnsiTheme="minorEastAsia" w:eastAsiaTheme="minorEastAsia"/>
                <w:spacing w:val="-4"/>
                <w:sz w:val="22"/>
                <w:szCs w:val="22"/>
              </w:rPr>
            </w:pPr>
            <w:r>
              <w:rPr>
                <w:rFonts w:asciiTheme="minorEastAsia" w:hAnsiTheme="minorEastAsia" w:eastAsiaTheme="minorEastAsia"/>
                <w:spacing w:val="-4"/>
                <w:sz w:val="22"/>
                <w:szCs w:val="22"/>
              </w:rPr>
              <w:t>序号</w:t>
            </w:r>
          </w:p>
        </w:tc>
        <w:tc>
          <w:tcPr>
            <w:tcW w:w="1390" w:type="dxa"/>
            <w:vAlign w:val="center"/>
          </w:tcPr>
          <w:p>
            <w:pPr>
              <w:pStyle w:val="15"/>
              <w:spacing w:before="164" w:line="219" w:lineRule="auto"/>
              <w:ind w:left="133"/>
              <w:jc w:val="center"/>
              <w:rPr>
                <w:rFonts w:asciiTheme="minorEastAsia" w:hAnsiTheme="minorEastAsia" w:eastAsiaTheme="minorEastAsia"/>
                <w:spacing w:val="-4"/>
                <w:sz w:val="22"/>
                <w:szCs w:val="22"/>
              </w:rPr>
            </w:pPr>
            <w:r>
              <w:rPr>
                <w:rFonts w:asciiTheme="minorEastAsia" w:hAnsiTheme="minorEastAsia" w:eastAsiaTheme="minorEastAsia"/>
                <w:spacing w:val="-4"/>
                <w:sz w:val="22"/>
                <w:szCs w:val="22"/>
              </w:rPr>
              <w:t>名   称</w:t>
            </w:r>
          </w:p>
        </w:tc>
        <w:tc>
          <w:tcPr>
            <w:tcW w:w="3020" w:type="dxa"/>
            <w:vAlign w:val="center"/>
          </w:tcPr>
          <w:p>
            <w:pPr>
              <w:pStyle w:val="15"/>
              <w:spacing w:before="164" w:line="219" w:lineRule="auto"/>
              <w:ind w:left="133"/>
              <w:jc w:val="center"/>
              <w:rPr>
                <w:rFonts w:asciiTheme="minorEastAsia" w:hAnsiTheme="minorEastAsia" w:eastAsiaTheme="minorEastAsia"/>
                <w:spacing w:val="-4"/>
                <w:sz w:val="22"/>
                <w:szCs w:val="22"/>
              </w:rPr>
            </w:pPr>
            <w:r>
              <w:rPr>
                <w:rFonts w:asciiTheme="minorEastAsia" w:hAnsiTheme="minorEastAsia" w:eastAsiaTheme="minorEastAsia"/>
                <w:spacing w:val="-4"/>
                <w:sz w:val="22"/>
                <w:szCs w:val="22"/>
              </w:rPr>
              <w:t>品牌、型号、规格</w:t>
            </w:r>
          </w:p>
        </w:tc>
        <w:tc>
          <w:tcPr>
            <w:tcW w:w="690" w:type="dxa"/>
            <w:vAlign w:val="center"/>
          </w:tcPr>
          <w:p>
            <w:pPr>
              <w:pStyle w:val="15"/>
              <w:spacing w:before="164" w:line="219" w:lineRule="auto"/>
              <w:jc w:val="center"/>
              <w:rPr>
                <w:rFonts w:asciiTheme="minorEastAsia" w:hAnsiTheme="minorEastAsia" w:eastAsiaTheme="minorEastAsia"/>
                <w:spacing w:val="-4"/>
                <w:sz w:val="22"/>
                <w:szCs w:val="22"/>
              </w:rPr>
            </w:pPr>
            <w:r>
              <w:rPr>
                <w:rFonts w:asciiTheme="minorEastAsia" w:hAnsiTheme="minorEastAsia" w:eastAsiaTheme="minorEastAsia"/>
                <w:spacing w:val="-4"/>
                <w:sz w:val="22"/>
                <w:szCs w:val="22"/>
              </w:rPr>
              <w:t>单位</w:t>
            </w:r>
          </w:p>
        </w:tc>
        <w:tc>
          <w:tcPr>
            <w:tcW w:w="750" w:type="dxa"/>
            <w:vAlign w:val="center"/>
          </w:tcPr>
          <w:p>
            <w:pPr>
              <w:pStyle w:val="15"/>
              <w:spacing w:before="164" w:line="219" w:lineRule="auto"/>
              <w:jc w:val="center"/>
              <w:rPr>
                <w:rFonts w:asciiTheme="minorEastAsia" w:hAnsiTheme="minorEastAsia" w:eastAsiaTheme="minorEastAsia"/>
                <w:spacing w:val="-4"/>
                <w:sz w:val="22"/>
                <w:szCs w:val="22"/>
              </w:rPr>
            </w:pPr>
            <w:r>
              <w:rPr>
                <w:rFonts w:asciiTheme="minorEastAsia" w:hAnsiTheme="minorEastAsia" w:eastAsiaTheme="minorEastAsia"/>
                <w:spacing w:val="-4"/>
                <w:sz w:val="22"/>
                <w:szCs w:val="22"/>
              </w:rPr>
              <w:t>数量</w:t>
            </w:r>
          </w:p>
        </w:tc>
        <w:tc>
          <w:tcPr>
            <w:tcW w:w="1584" w:type="dxa"/>
            <w:vAlign w:val="center"/>
          </w:tcPr>
          <w:p>
            <w:pPr>
              <w:pStyle w:val="15"/>
              <w:spacing w:before="164" w:line="219" w:lineRule="auto"/>
              <w:ind w:left="133"/>
              <w:jc w:val="center"/>
              <w:rPr>
                <w:rFonts w:asciiTheme="minorEastAsia" w:hAnsiTheme="minorEastAsia" w:eastAsiaTheme="minorEastAsia"/>
                <w:spacing w:val="-4"/>
                <w:sz w:val="22"/>
                <w:szCs w:val="22"/>
              </w:rPr>
            </w:pPr>
            <w:r>
              <w:rPr>
                <w:rFonts w:asciiTheme="minorEastAsia" w:hAnsiTheme="minorEastAsia" w:eastAsiaTheme="minorEastAsia"/>
                <w:spacing w:val="-4"/>
                <w:sz w:val="22"/>
                <w:szCs w:val="22"/>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662" w:type="dxa"/>
            <w:vAlign w:val="center"/>
          </w:tcPr>
          <w:p>
            <w:pPr>
              <w:pStyle w:val="15"/>
              <w:spacing w:before="78" w:line="183" w:lineRule="auto"/>
              <w:jc w:val="center"/>
              <w:rPr>
                <w:rFonts w:asciiTheme="minorEastAsia" w:hAnsiTheme="minorEastAsia" w:eastAsiaTheme="minorEastAsia"/>
              </w:rPr>
            </w:pPr>
            <w:r>
              <w:rPr>
                <w:rFonts w:asciiTheme="minorEastAsia" w:hAnsiTheme="minorEastAsia" w:eastAsiaTheme="minorEastAsia"/>
              </w:rPr>
              <w:t>1</w:t>
            </w:r>
          </w:p>
        </w:tc>
        <w:tc>
          <w:tcPr>
            <w:tcW w:w="1390" w:type="dxa"/>
            <w:vAlign w:val="center"/>
          </w:tcPr>
          <w:p>
            <w:pPr>
              <w:spacing w:line="394" w:lineRule="auto"/>
              <w:jc w:val="center"/>
              <w:rPr>
                <w:rFonts w:asciiTheme="minorEastAsia" w:hAnsiTheme="minorEastAsia"/>
                <w:snapToGrid w:val="0"/>
                <w:color w:val="000000"/>
                <w:spacing w:val="-2"/>
                <w:sz w:val="21"/>
                <w:szCs w:val="21"/>
                <w:lang w:eastAsia="en-US"/>
              </w:rPr>
            </w:pPr>
            <w:r>
              <w:rPr>
                <w:rFonts w:asciiTheme="minorEastAsia" w:hAnsiTheme="minorEastAsia"/>
                <w:snapToGrid w:val="0"/>
                <w:color w:val="000000"/>
                <w:spacing w:val="-2"/>
                <w:sz w:val="21"/>
                <w:szCs w:val="21"/>
                <w:lang w:eastAsia="en-US"/>
              </w:rPr>
              <w:t>低压</w:t>
            </w:r>
            <w:r>
              <w:rPr>
                <w:rFonts w:hint="eastAsia" w:asciiTheme="minorEastAsia" w:hAnsiTheme="minorEastAsia"/>
                <w:snapToGrid w:val="0"/>
                <w:color w:val="000000"/>
                <w:spacing w:val="-2"/>
                <w:sz w:val="21"/>
                <w:szCs w:val="21"/>
                <w:lang w:eastAsia="zh-CN"/>
              </w:rPr>
              <w:t>电线</w:t>
            </w:r>
          </w:p>
        </w:tc>
        <w:tc>
          <w:tcPr>
            <w:tcW w:w="3020" w:type="dxa"/>
            <w:vAlign w:val="top"/>
          </w:tcPr>
          <w:p>
            <w:pPr>
              <w:spacing w:line="394" w:lineRule="auto"/>
              <w:jc w:val="center"/>
              <w:rPr>
                <w:rFonts w:hint="eastAsia" w:asciiTheme="minorEastAsia" w:hAnsiTheme="minorEastAsia"/>
                <w:snapToGrid w:val="0"/>
                <w:color w:val="000000"/>
                <w:spacing w:val="-2"/>
                <w:sz w:val="21"/>
                <w:szCs w:val="21"/>
                <w:lang w:val="en-US" w:eastAsia="zh-CN"/>
              </w:rPr>
            </w:pPr>
            <w:r>
              <w:rPr>
                <w:rFonts w:hint="eastAsia" w:asciiTheme="minorEastAsia" w:hAnsiTheme="minorEastAsia"/>
                <w:snapToGrid w:val="0"/>
                <w:color w:val="000000"/>
                <w:spacing w:val="-2"/>
                <w:sz w:val="21"/>
                <w:szCs w:val="21"/>
                <w:lang w:val="en-US" w:eastAsia="zh-CN"/>
              </w:rPr>
              <w:t>ZB-YJY-1kv.1*70</w:t>
            </w:r>
          </w:p>
        </w:tc>
        <w:tc>
          <w:tcPr>
            <w:tcW w:w="69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米</w:t>
            </w:r>
          </w:p>
        </w:tc>
        <w:tc>
          <w:tcPr>
            <w:tcW w:w="75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30</w:t>
            </w:r>
          </w:p>
        </w:tc>
        <w:tc>
          <w:tcPr>
            <w:tcW w:w="1584" w:type="dxa"/>
            <w:vAlign w:val="center"/>
          </w:tcPr>
          <w:p>
            <w:pPr>
              <w:jc w:val="center"/>
              <w:rPr>
                <w:rFonts w:asciiTheme="minorEastAsia" w:hAnsiTheme="minorEastAsia"/>
                <w:snapToGrid w:val="0"/>
                <w:color w:val="00000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662" w:type="dxa"/>
            <w:vAlign w:val="center"/>
          </w:tcPr>
          <w:p>
            <w:pPr>
              <w:pStyle w:val="15"/>
              <w:spacing w:before="78" w:line="183" w:lineRule="auto"/>
              <w:jc w:val="center"/>
              <w:rPr>
                <w:rFonts w:asciiTheme="minorEastAsia" w:hAnsiTheme="minorEastAsia" w:eastAsiaTheme="minorEastAsia"/>
                <w:lang w:eastAsia="zh-CN"/>
              </w:rPr>
            </w:pPr>
            <w:r>
              <w:rPr>
                <w:rFonts w:asciiTheme="minorEastAsia" w:hAnsiTheme="minorEastAsia" w:eastAsiaTheme="minorEastAsia" w:cstheme="minorBidi"/>
                <w:kern w:val="2"/>
                <w:lang w:eastAsia="zh-CN"/>
              </w:rPr>
              <w:t>2</w:t>
            </w:r>
          </w:p>
        </w:tc>
        <w:tc>
          <w:tcPr>
            <w:tcW w:w="1390" w:type="dxa"/>
            <w:vAlign w:val="center"/>
          </w:tcPr>
          <w:p>
            <w:pPr>
              <w:spacing w:line="394" w:lineRule="auto"/>
              <w:jc w:val="center"/>
              <w:rPr>
                <w:rFonts w:asciiTheme="minorEastAsia" w:hAnsiTheme="minorEastAsia"/>
                <w:snapToGrid w:val="0"/>
                <w:color w:val="000000"/>
                <w:spacing w:val="-2"/>
                <w:sz w:val="21"/>
                <w:szCs w:val="21"/>
                <w:lang w:eastAsia="en-US"/>
              </w:rPr>
            </w:pPr>
            <w:r>
              <w:rPr>
                <w:rFonts w:hint="eastAsia" w:asciiTheme="minorEastAsia" w:hAnsiTheme="minorEastAsia"/>
                <w:snapToGrid w:val="0"/>
                <w:color w:val="000000"/>
                <w:spacing w:val="-2"/>
                <w:sz w:val="21"/>
                <w:szCs w:val="21"/>
                <w:lang w:eastAsia="zh-CN"/>
              </w:rPr>
              <w:t>二次线</w:t>
            </w:r>
          </w:p>
        </w:tc>
        <w:tc>
          <w:tcPr>
            <w:tcW w:w="3020" w:type="dxa"/>
            <w:vAlign w:val="center"/>
          </w:tcPr>
          <w:p>
            <w:pPr>
              <w:spacing w:line="394" w:lineRule="auto"/>
              <w:jc w:val="center"/>
              <w:rPr>
                <w:rFonts w:hint="eastAsia" w:asciiTheme="minorEastAsia" w:hAnsiTheme="minorEastAsia"/>
                <w:snapToGrid w:val="0"/>
                <w:color w:val="000000"/>
                <w:spacing w:val="-2"/>
                <w:sz w:val="21"/>
                <w:szCs w:val="21"/>
                <w:lang w:val="en-US" w:eastAsia="zh-CN"/>
              </w:rPr>
            </w:pPr>
            <w:r>
              <w:rPr>
                <w:rFonts w:hint="eastAsia" w:asciiTheme="minorEastAsia" w:hAnsiTheme="minorEastAsia"/>
                <w:snapToGrid w:val="0"/>
                <w:color w:val="000000"/>
                <w:spacing w:val="-2"/>
                <w:sz w:val="21"/>
                <w:szCs w:val="21"/>
                <w:lang w:val="en-US" w:eastAsia="zh-CN"/>
              </w:rPr>
              <w:t>1*2.5</w:t>
            </w:r>
          </w:p>
        </w:tc>
        <w:tc>
          <w:tcPr>
            <w:tcW w:w="69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米</w:t>
            </w:r>
          </w:p>
        </w:tc>
        <w:tc>
          <w:tcPr>
            <w:tcW w:w="75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100</w:t>
            </w:r>
          </w:p>
        </w:tc>
        <w:tc>
          <w:tcPr>
            <w:tcW w:w="1584" w:type="dxa"/>
            <w:vAlign w:val="center"/>
          </w:tcPr>
          <w:p>
            <w:pPr>
              <w:pStyle w:val="15"/>
              <w:spacing w:before="78" w:line="221" w:lineRule="auto"/>
              <w:ind w:left="115"/>
              <w:jc w:val="center"/>
              <w:rPr>
                <w:rFonts w:asciiTheme="minorEastAsia" w:hAnsiTheme="minorEastAsia" w:eastAsia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662" w:type="dxa"/>
            <w:vAlign w:val="center"/>
          </w:tcPr>
          <w:p>
            <w:pPr>
              <w:pStyle w:val="15"/>
              <w:spacing w:before="253" w:line="183" w:lineRule="auto"/>
              <w:jc w:val="center"/>
              <w:rPr>
                <w:rFonts w:asciiTheme="minorEastAsia" w:hAnsiTheme="minorEastAsia" w:eastAsiaTheme="minorEastAsia"/>
              </w:rPr>
            </w:pPr>
            <w:r>
              <w:rPr>
                <w:rFonts w:asciiTheme="minorEastAsia" w:hAnsiTheme="minorEastAsia" w:eastAsiaTheme="minorEastAsia"/>
              </w:rPr>
              <w:t>3</w:t>
            </w:r>
          </w:p>
        </w:tc>
        <w:tc>
          <w:tcPr>
            <w:tcW w:w="1390" w:type="dxa"/>
            <w:vAlign w:val="center"/>
          </w:tcPr>
          <w:p>
            <w:pPr>
              <w:spacing w:line="394" w:lineRule="auto"/>
              <w:jc w:val="center"/>
              <w:rPr>
                <w:rFonts w:asciiTheme="minorEastAsia" w:hAnsiTheme="minorEastAsia"/>
                <w:snapToGrid w:val="0"/>
                <w:color w:val="000000"/>
                <w:spacing w:val="-2"/>
                <w:sz w:val="21"/>
                <w:szCs w:val="21"/>
                <w:lang w:eastAsia="en-US"/>
              </w:rPr>
            </w:pPr>
            <w:r>
              <w:rPr>
                <w:rFonts w:asciiTheme="minorEastAsia" w:hAnsiTheme="minorEastAsia"/>
                <w:snapToGrid w:val="0"/>
                <w:color w:val="000000"/>
                <w:spacing w:val="-2"/>
                <w:sz w:val="21"/>
                <w:szCs w:val="21"/>
                <w:lang w:eastAsia="en-US"/>
              </w:rPr>
              <w:t>热缩管</w:t>
            </w:r>
          </w:p>
        </w:tc>
        <w:tc>
          <w:tcPr>
            <w:tcW w:w="3020" w:type="dxa"/>
            <w:vAlign w:val="center"/>
          </w:tcPr>
          <w:p>
            <w:pPr>
              <w:spacing w:line="394" w:lineRule="auto"/>
              <w:jc w:val="center"/>
              <w:rPr>
                <w:rFonts w:hint="eastAsia" w:asciiTheme="minorEastAsia" w:hAnsiTheme="minorEastAsia"/>
                <w:snapToGrid w:val="0"/>
                <w:color w:val="000000"/>
                <w:spacing w:val="-2"/>
                <w:sz w:val="21"/>
                <w:szCs w:val="21"/>
                <w:lang w:val="en-US" w:eastAsia="zh-CN"/>
              </w:rPr>
            </w:pPr>
            <w:r>
              <w:rPr>
                <w:rFonts w:hint="eastAsia" w:asciiTheme="minorEastAsia" w:hAnsiTheme="minorEastAsia"/>
                <w:snapToGrid w:val="0"/>
                <w:color w:val="000000"/>
                <w:spacing w:val="-2"/>
                <w:sz w:val="21"/>
                <w:szCs w:val="21"/>
                <w:lang w:val="en-US" w:eastAsia="zh-CN"/>
              </w:rPr>
              <w:t>70 平方黑色热缩管</w:t>
            </w:r>
          </w:p>
        </w:tc>
        <w:tc>
          <w:tcPr>
            <w:tcW w:w="69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米</w:t>
            </w:r>
          </w:p>
        </w:tc>
        <w:tc>
          <w:tcPr>
            <w:tcW w:w="75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5</w:t>
            </w:r>
          </w:p>
        </w:tc>
        <w:tc>
          <w:tcPr>
            <w:tcW w:w="1584" w:type="dxa"/>
            <w:vAlign w:val="center"/>
          </w:tcPr>
          <w:p>
            <w:pPr>
              <w:jc w:val="center"/>
              <w:rPr>
                <w:rFonts w:asciiTheme="minorEastAsia" w:hAnsiTheme="minorEastAsia"/>
                <w:snapToGrid w:val="0"/>
                <w:color w:val="00000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62" w:type="dxa"/>
            <w:vAlign w:val="center"/>
          </w:tcPr>
          <w:p>
            <w:pPr>
              <w:pStyle w:val="15"/>
              <w:spacing w:before="305" w:line="182" w:lineRule="auto"/>
              <w:jc w:val="center"/>
              <w:rPr>
                <w:rFonts w:asciiTheme="minorEastAsia" w:hAnsiTheme="minorEastAsia" w:eastAsiaTheme="minorEastAsia"/>
              </w:rPr>
            </w:pPr>
            <w:r>
              <w:rPr>
                <w:rFonts w:asciiTheme="minorEastAsia" w:hAnsiTheme="minorEastAsia" w:eastAsiaTheme="minorEastAsia"/>
              </w:rPr>
              <w:t>4</w:t>
            </w:r>
          </w:p>
        </w:tc>
        <w:tc>
          <w:tcPr>
            <w:tcW w:w="1390" w:type="dxa"/>
            <w:vAlign w:val="center"/>
          </w:tcPr>
          <w:p>
            <w:pPr>
              <w:spacing w:line="394" w:lineRule="auto"/>
              <w:jc w:val="center"/>
              <w:rPr>
                <w:rFonts w:asciiTheme="minorEastAsia" w:hAnsiTheme="minorEastAsia"/>
                <w:snapToGrid w:val="0"/>
                <w:color w:val="000000"/>
                <w:spacing w:val="-2"/>
                <w:sz w:val="21"/>
                <w:szCs w:val="21"/>
                <w:lang w:eastAsia="en-US"/>
              </w:rPr>
            </w:pPr>
            <w:r>
              <w:rPr>
                <w:rFonts w:asciiTheme="minorEastAsia" w:hAnsiTheme="minorEastAsia"/>
                <w:snapToGrid w:val="0"/>
                <w:color w:val="000000"/>
                <w:spacing w:val="-2"/>
                <w:sz w:val="21"/>
                <w:szCs w:val="21"/>
                <w:lang w:eastAsia="en-US"/>
              </w:rPr>
              <w:t>热缩管</w:t>
            </w:r>
          </w:p>
        </w:tc>
        <w:tc>
          <w:tcPr>
            <w:tcW w:w="3020" w:type="dxa"/>
            <w:vAlign w:val="center"/>
          </w:tcPr>
          <w:p>
            <w:pPr>
              <w:spacing w:line="394" w:lineRule="auto"/>
              <w:jc w:val="center"/>
              <w:rPr>
                <w:rFonts w:hint="eastAsia" w:asciiTheme="minorEastAsia" w:hAnsiTheme="minorEastAsia"/>
                <w:snapToGrid w:val="0"/>
                <w:color w:val="000000"/>
                <w:spacing w:val="-2"/>
                <w:sz w:val="21"/>
                <w:szCs w:val="21"/>
                <w:lang w:val="en-US" w:eastAsia="zh-CN"/>
              </w:rPr>
            </w:pPr>
            <w:r>
              <w:rPr>
                <w:rFonts w:hint="eastAsia" w:asciiTheme="minorEastAsia" w:hAnsiTheme="minorEastAsia"/>
                <w:snapToGrid w:val="0"/>
                <w:color w:val="000000"/>
                <w:spacing w:val="-2"/>
                <w:sz w:val="20"/>
                <w:szCs w:val="20"/>
                <w:lang w:val="en-US" w:eastAsia="zh-CN"/>
              </w:rPr>
              <w:t>70 平方的热缩管(黄、绿、红）</w:t>
            </w:r>
          </w:p>
        </w:tc>
        <w:tc>
          <w:tcPr>
            <w:tcW w:w="69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米</w:t>
            </w:r>
          </w:p>
        </w:tc>
        <w:tc>
          <w:tcPr>
            <w:tcW w:w="75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6</w:t>
            </w:r>
          </w:p>
        </w:tc>
        <w:tc>
          <w:tcPr>
            <w:tcW w:w="1584" w:type="dxa"/>
            <w:vAlign w:val="center"/>
          </w:tcPr>
          <w:p>
            <w:pPr>
              <w:pStyle w:val="15"/>
              <w:spacing w:before="111" w:line="230" w:lineRule="auto"/>
              <w:ind w:left="115" w:right="144" w:firstLine="2"/>
              <w:jc w:val="center"/>
              <w:rPr>
                <w:rFonts w:asciiTheme="minorEastAsia" w:hAnsiTheme="minorEastAsia" w:eastAsiaTheme="minorEastAsia"/>
                <w:spacing w:val="1"/>
                <w:sz w:val="21"/>
                <w:szCs w:val="21"/>
                <w:lang w:eastAsia="zh-CN"/>
              </w:rPr>
            </w:pPr>
            <w:r>
              <w:rPr>
                <w:rFonts w:hint="eastAsia" w:asciiTheme="minorEastAsia" w:hAnsiTheme="minorEastAsia" w:eastAsiaTheme="minorEastAsia"/>
                <w:spacing w:val="1"/>
                <w:sz w:val="20"/>
                <w:szCs w:val="20"/>
                <w:lang w:eastAsia="zh-CN"/>
              </w:rPr>
              <w:t>每种颜色各2米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jc w:val="center"/>
        </w:trPr>
        <w:tc>
          <w:tcPr>
            <w:tcW w:w="662" w:type="dxa"/>
            <w:vAlign w:val="center"/>
          </w:tcPr>
          <w:p>
            <w:pPr>
              <w:pStyle w:val="15"/>
              <w:spacing w:before="78" w:line="183" w:lineRule="auto"/>
              <w:jc w:val="center"/>
              <w:rPr>
                <w:rFonts w:asciiTheme="minorEastAsia" w:hAnsiTheme="minorEastAsia" w:eastAsiaTheme="minorEastAsia"/>
                <w:lang w:eastAsia="zh-CN"/>
              </w:rPr>
            </w:pPr>
            <w:r>
              <w:rPr>
                <w:rFonts w:asciiTheme="minorEastAsia" w:hAnsiTheme="minorEastAsia" w:eastAsiaTheme="minorEastAsia"/>
                <w:lang w:eastAsia="zh-CN"/>
              </w:rPr>
              <w:t>5</w:t>
            </w:r>
          </w:p>
        </w:tc>
        <w:tc>
          <w:tcPr>
            <w:tcW w:w="1390" w:type="dxa"/>
            <w:vAlign w:val="center"/>
          </w:tcPr>
          <w:p>
            <w:pPr>
              <w:spacing w:line="394" w:lineRule="auto"/>
              <w:jc w:val="center"/>
              <w:rPr>
                <w:rFonts w:asciiTheme="minorEastAsia" w:hAnsiTheme="minorEastAsia"/>
                <w:snapToGrid w:val="0"/>
                <w:color w:val="000000"/>
                <w:spacing w:val="-2"/>
                <w:sz w:val="21"/>
                <w:szCs w:val="21"/>
                <w:lang w:eastAsia="en-US"/>
              </w:rPr>
            </w:pPr>
            <w:r>
              <w:rPr>
                <w:rFonts w:asciiTheme="minorEastAsia" w:hAnsiTheme="minorEastAsia"/>
                <w:snapToGrid w:val="0"/>
                <w:color w:val="000000"/>
                <w:spacing w:val="-2"/>
                <w:sz w:val="21"/>
                <w:szCs w:val="21"/>
                <w:lang w:eastAsia="en-US"/>
              </w:rPr>
              <w:t>铜接线鼻子</w:t>
            </w:r>
          </w:p>
        </w:tc>
        <w:tc>
          <w:tcPr>
            <w:tcW w:w="3020" w:type="dxa"/>
            <w:vAlign w:val="center"/>
          </w:tcPr>
          <w:p>
            <w:pPr>
              <w:spacing w:line="394" w:lineRule="auto"/>
              <w:jc w:val="center"/>
              <w:rPr>
                <w:rFonts w:hint="eastAsia" w:asciiTheme="minorEastAsia" w:hAnsiTheme="minorEastAsia"/>
                <w:snapToGrid w:val="0"/>
                <w:color w:val="000000"/>
                <w:spacing w:val="-2"/>
                <w:sz w:val="21"/>
                <w:szCs w:val="21"/>
                <w:lang w:val="en-US" w:eastAsia="zh-CN"/>
              </w:rPr>
            </w:pPr>
            <w:r>
              <w:rPr>
                <w:rFonts w:hint="eastAsia" w:asciiTheme="minorEastAsia" w:hAnsiTheme="minorEastAsia"/>
                <w:snapToGrid w:val="0"/>
                <w:color w:val="000000"/>
                <w:spacing w:val="-2"/>
                <w:sz w:val="21"/>
                <w:szCs w:val="21"/>
                <w:lang w:val="en-US" w:eastAsia="zh-CN"/>
              </w:rPr>
              <w:t>DT-70 平方铜接线 端子线鼻子</w:t>
            </w:r>
          </w:p>
        </w:tc>
        <w:tc>
          <w:tcPr>
            <w:tcW w:w="69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个</w:t>
            </w:r>
          </w:p>
        </w:tc>
        <w:tc>
          <w:tcPr>
            <w:tcW w:w="75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32</w:t>
            </w:r>
          </w:p>
        </w:tc>
        <w:tc>
          <w:tcPr>
            <w:tcW w:w="1584" w:type="dxa"/>
            <w:vAlign w:val="center"/>
          </w:tcPr>
          <w:p>
            <w:pPr>
              <w:jc w:val="center"/>
              <w:rPr>
                <w:rFonts w:asciiTheme="minorEastAsia" w:hAnsiTheme="minorEastAsia"/>
                <w:snapToGrid w:val="0"/>
                <w:color w:val="00000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662" w:type="dxa"/>
            <w:vAlign w:val="center"/>
          </w:tcPr>
          <w:p>
            <w:pPr>
              <w:pStyle w:val="15"/>
              <w:spacing w:before="78" w:line="182" w:lineRule="auto"/>
              <w:jc w:val="center"/>
              <w:rPr>
                <w:rFonts w:asciiTheme="minorEastAsia" w:hAnsiTheme="minorEastAsia" w:eastAsiaTheme="minorEastAsia"/>
                <w:lang w:eastAsia="zh-CN"/>
              </w:rPr>
            </w:pPr>
            <w:r>
              <w:rPr>
                <w:rFonts w:hint="eastAsia" w:asciiTheme="minorEastAsia" w:hAnsiTheme="minorEastAsia" w:eastAsiaTheme="minorEastAsia"/>
                <w:lang w:eastAsia="zh-CN"/>
              </w:rPr>
              <w:t>6</w:t>
            </w:r>
          </w:p>
        </w:tc>
        <w:tc>
          <w:tcPr>
            <w:tcW w:w="1390" w:type="dxa"/>
            <w:vAlign w:val="center"/>
          </w:tcPr>
          <w:p>
            <w:pPr>
              <w:spacing w:line="394" w:lineRule="auto"/>
              <w:jc w:val="center"/>
              <w:rPr>
                <w:rFonts w:asciiTheme="minorEastAsia" w:hAnsiTheme="minorEastAsia"/>
                <w:snapToGrid w:val="0"/>
                <w:color w:val="000000"/>
                <w:spacing w:val="-2"/>
                <w:sz w:val="21"/>
                <w:szCs w:val="21"/>
                <w:lang w:eastAsia="en-US"/>
              </w:rPr>
            </w:pPr>
            <w:r>
              <w:rPr>
                <w:rFonts w:hint="eastAsia" w:asciiTheme="minorEastAsia" w:hAnsiTheme="minorEastAsia"/>
                <w:snapToGrid w:val="0"/>
                <w:color w:val="000000"/>
                <w:spacing w:val="-2"/>
                <w:sz w:val="21"/>
                <w:szCs w:val="21"/>
                <w:lang w:eastAsia="zh-CN"/>
              </w:rPr>
              <w:t>开口式互感器</w:t>
            </w:r>
          </w:p>
        </w:tc>
        <w:tc>
          <w:tcPr>
            <w:tcW w:w="3020" w:type="dxa"/>
            <w:vAlign w:val="center"/>
          </w:tcPr>
          <w:p>
            <w:pPr>
              <w:spacing w:line="394" w:lineRule="auto"/>
              <w:jc w:val="center"/>
              <w:rPr>
                <w:rFonts w:hint="eastAsia" w:asciiTheme="minorEastAsia" w:hAnsiTheme="minorEastAsia"/>
                <w:snapToGrid w:val="0"/>
                <w:color w:val="000000"/>
                <w:spacing w:val="-2"/>
                <w:sz w:val="21"/>
                <w:szCs w:val="21"/>
                <w:lang w:val="en-US" w:eastAsia="zh-CN"/>
              </w:rPr>
            </w:pPr>
            <w:r>
              <w:rPr>
                <w:rFonts w:hint="eastAsia" w:asciiTheme="minorEastAsia" w:hAnsiTheme="minorEastAsia"/>
                <w:snapToGrid w:val="0"/>
                <w:color w:val="000000"/>
                <w:spacing w:val="-2"/>
                <w:sz w:val="21"/>
                <w:szCs w:val="21"/>
                <w:lang w:val="en-US" w:eastAsia="zh-CN"/>
              </w:rPr>
              <w:t>4000/5</w:t>
            </w:r>
          </w:p>
        </w:tc>
        <w:tc>
          <w:tcPr>
            <w:tcW w:w="69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个</w:t>
            </w:r>
          </w:p>
        </w:tc>
        <w:tc>
          <w:tcPr>
            <w:tcW w:w="75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3</w:t>
            </w:r>
          </w:p>
        </w:tc>
        <w:tc>
          <w:tcPr>
            <w:tcW w:w="1584" w:type="dxa"/>
            <w:vAlign w:val="center"/>
          </w:tcPr>
          <w:p>
            <w:pPr>
              <w:jc w:val="center"/>
              <w:rPr>
                <w:rFonts w:asciiTheme="minorEastAsia" w:hAnsiTheme="minorEastAsia"/>
                <w:snapToGrid w:val="0"/>
                <w:color w:val="00000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662" w:type="dxa"/>
            <w:vAlign w:val="center"/>
          </w:tcPr>
          <w:p>
            <w:pPr>
              <w:spacing w:line="312" w:lineRule="auto"/>
              <w:jc w:val="center"/>
              <w:rPr>
                <w:rFonts w:asciiTheme="minorEastAsia" w:hAnsiTheme="minorEastAsia"/>
                <w:snapToGrid w:val="0"/>
                <w:color w:val="000000"/>
                <w:sz w:val="24"/>
                <w:lang w:eastAsia="zh-CN"/>
              </w:rPr>
            </w:pPr>
            <w:r>
              <w:rPr>
                <w:rFonts w:asciiTheme="minorEastAsia" w:hAnsiTheme="minorEastAsia"/>
                <w:snapToGrid w:val="0"/>
                <w:color w:val="000000"/>
                <w:sz w:val="24"/>
                <w:lang w:eastAsia="zh-CN"/>
              </w:rPr>
              <w:t>7</w:t>
            </w:r>
          </w:p>
        </w:tc>
        <w:tc>
          <w:tcPr>
            <w:tcW w:w="1390" w:type="dxa"/>
            <w:vAlign w:val="center"/>
          </w:tcPr>
          <w:p>
            <w:pPr>
              <w:spacing w:line="394" w:lineRule="auto"/>
              <w:jc w:val="center"/>
              <w:rPr>
                <w:rFonts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端子排</w:t>
            </w:r>
          </w:p>
        </w:tc>
        <w:tc>
          <w:tcPr>
            <w:tcW w:w="3020" w:type="dxa"/>
            <w:vAlign w:val="center"/>
          </w:tcPr>
          <w:p>
            <w:pPr>
              <w:spacing w:line="394" w:lineRule="auto"/>
              <w:jc w:val="center"/>
              <w:rPr>
                <w:rFonts w:hint="eastAsia" w:asciiTheme="minorEastAsia" w:hAnsiTheme="minorEastAsia"/>
                <w:snapToGrid w:val="0"/>
                <w:color w:val="000000"/>
                <w:spacing w:val="-2"/>
                <w:sz w:val="21"/>
                <w:szCs w:val="21"/>
                <w:lang w:val="en-US" w:eastAsia="zh-CN"/>
              </w:rPr>
            </w:pPr>
            <w:r>
              <w:rPr>
                <w:rFonts w:hint="eastAsia" w:asciiTheme="minorEastAsia" w:hAnsiTheme="minorEastAsia"/>
                <w:snapToGrid w:val="0"/>
                <w:color w:val="000000"/>
                <w:spacing w:val="-2"/>
                <w:sz w:val="21"/>
                <w:szCs w:val="21"/>
                <w:lang w:val="en-US" w:eastAsia="zh-CN"/>
              </w:rPr>
              <w:t>IEC947-7-1F-760-006</w:t>
            </w:r>
          </w:p>
          <w:p>
            <w:pPr>
              <w:spacing w:line="394" w:lineRule="auto"/>
              <w:jc w:val="center"/>
              <w:rPr>
                <w:rFonts w:hint="eastAsia" w:asciiTheme="minorEastAsia" w:hAnsiTheme="minorEastAsia"/>
                <w:snapToGrid w:val="0"/>
                <w:color w:val="000000"/>
                <w:spacing w:val="-2"/>
                <w:sz w:val="21"/>
                <w:szCs w:val="21"/>
                <w:lang w:val="en-US" w:eastAsia="zh-CN"/>
              </w:rPr>
            </w:pPr>
            <w:r>
              <w:rPr>
                <w:rFonts w:hint="eastAsia" w:asciiTheme="minorEastAsia" w:hAnsiTheme="minorEastAsia"/>
                <w:snapToGrid w:val="0"/>
                <w:color w:val="000000"/>
                <w:spacing w:val="-2"/>
                <w:sz w:val="21"/>
                <w:szCs w:val="21"/>
                <w:lang w:val="en-US" w:eastAsia="zh-CN"/>
              </w:rPr>
              <w:t>0.5~10/0.5~6mm2 800V 57A</w:t>
            </w:r>
          </w:p>
        </w:tc>
        <w:tc>
          <w:tcPr>
            <w:tcW w:w="69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个</w:t>
            </w:r>
          </w:p>
        </w:tc>
        <w:tc>
          <w:tcPr>
            <w:tcW w:w="75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7</w:t>
            </w:r>
          </w:p>
        </w:tc>
        <w:tc>
          <w:tcPr>
            <w:tcW w:w="1584" w:type="dxa"/>
            <w:vAlign w:val="center"/>
          </w:tcPr>
          <w:p>
            <w:pPr>
              <w:jc w:val="center"/>
              <w:rPr>
                <w:rFonts w:asciiTheme="minorEastAsia" w:hAnsiTheme="minorEastAsia"/>
                <w:snapToGrid w:val="0"/>
                <w:color w:val="000000"/>
                <w:sz w:val="21"/>
                <w:szCs w:val="21"/>
                <w:lang w:eastAsia="en-US"/>
              </w:rPr>
            </w:pPr>
          </w:p>
        </w:tc>
      </w:tr>
    </w:tbl>
    <w:p>
      <w:pPr>
        <w:numPr>
          <w:ilvl w:val="0"/>
          <w:numId w:val="13"/>
        </w:numPr>
        <w:spacing w:line="360" w:lineRule="auto"/>
        <w:ind w:left="0" w:leftChars="0" w:firstLine="480" w:firstLineChars="200"/>
        <w:rPr>
          <w:rFonts w:hint="eastAsia" w:ascii="宋体" w:hAnsi="宋体"/>
          <w:sz w:val="24"/>
          <w:highlight w:val="none"/>
        </w:rPr>
      </w:pPr>
      <w:r>
        <w:rPr>
          <w:rFonts w:hint="eastAsia" w:ascii="宋体" w:hAnsi="宋体"/>
          <w:sz w:val="24"/>
          <w:highlight w:val="none"/>
        </w:rPr>
        <w:t>过零投切要求具有投入无涌流、切除无过压、无电弧重燃、无噪音、响应时间快、可频繁投切等</w:t>
      </w:r>
      <w:r>
        <w:rPr>
          <w:rFonts w:hint="eastAsia" w:ascii="宋体" w:hAnsi="宋体"/>
          <w:sz w:val="24"/>
          <w:highlight w:val="none"/>
          <w:lang w:eastAsia="zh-CN"/>
        </w:rPr>
        <w:t>。</w:t>
      </w:r>
    </w:p>
    <w:p>
      <w:pPr>
        <w:numPr>
          <w:ilvl w:val="0"/>
          <w:numId w:val="13"/>
        </w:numPr>
        <w:spacing w:line="360" w:lineRule="auto"/>
        <w:ind w:left="0" w:leftChars="0" w:firstLine="480" w:firstLineChars="200"/>
        <w:rPr>
          <w:rFonts w:hint="eastAsia" w:ascii="宋体" w:hAnsi="宋体"/>
          <w:sz w:val="24"/>
          <w:highlight w:val="none"/>
        </w:rPr>
      </w:pPr>
      <w:r>
        <w:rPr>
          <w:rFonts w:hint="eastAsia" w:ascii="宋体" w:hAnsi="宋体"/>
          <w:sz w:val="24"/>
          <w:highlight w:val="none"/>
        </w:rPr>
        <w:t>调试期间做好测试，在维持功率因数不小于0.90前提下，使SVG工作在最佳状态。</w:t>
      </w:r>
    </w:p>
    <w:p>
      <w:pPr>
        <w:numPr>
          <w:ilvl w:val="0"/>
          <w:numId w:val="13"/>
        </w:numPr>
        <w:spacing w:line="360" w:lineRule="auto"/>
        <w:ind w:left="0" w:leftChars="0" w:firstLine="480" w:firstLineChars="200"/>
        <w:rPr>
          <w:rFonts w:hint="eastAsia" w:ascii="宋体" w:hAnsi="宋体"/>
          <w:sz w:val="24"/>
          <w:highlight w:val="none"/>
        </w:rPr>
      </w:pPr>
      <w:r>
        <w:rPr>
          <w:rFonts w:hint="eastAsia" w:ascii="宋体" w:hAnsi="宋体"/>
          <w:sz w:val="24"/>
          <w:highlight w:val="none"/>
        </w:rPr>
        <w:t>中标单位提供测试设备并负责检测工作，试运行检测完成，设备性能运行稳定后，进行12小时连续负荷试机，要求满足全部技术协议。</w:t>
      </w:r>
    </w:p>
    <w:p>
      <w:pPr>
        <w:numPr>
          <w:ilvl w:val="0"/>
          <w:numId w:val="13"/>
        </w:numPr>
        <w:spacing w:line="360"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改造完成后，静止无功发生器所有运行参数应能正常传输到我司已有的华力特监控系统和手机上，能实时监控和查看其运行状态及参数（系统电网中负载设备和治理完成后，A、B、C电压、电压畸变率THDV、电流畸变率THDI、基波功因DPF、功因PF、有功功率P、无功功率Q、视在功率S）。</w:t>
      </w:r>
    </w:p>
    <w:p>
      <w:pPr>
        <w:numPr>
          <w:ilvl w:val="0"/>
          <w:numId w:val="13"/>
        </w:numPr>
        <w:spacing w:line="360" w:lineRule="auto"/>
        <w:ind w:left="0" w:leftChars="0" w:firstLine="480" w:firstLineChars="200"/>
        <w:rPr>
          <w:rFonts w:hint="eastAsia" w:ascii="宋体" w:hAnsi="宋体"/>
          <w:sz w:val="24"/>
          <w:highlight w:val="none"/>
        </w:rPr>
      </w:pPr>
      <w:r>
        <w:rPr>
          <w:rFonts w:hint="eastAsia" w:ascii="宋体" w:hAnsi="宋体"/>
          <w:sz w:val="24"/>
          <w:highlight w:val="none"/>
        </w:rPr>
        <w:t>产品质保期不少于</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eastAsia="zh-CN"/>
        </w:rPr>
        <w:t>。</w:t>
      </w:r>
    </w:p>
    <w:p>
      <w:pPr>
        <w:numPr>
          <w:ilvl w:val="0"/>
          <w:numId w:val="13"/>
        </w:numPr>
        <w:spacing w:line="360" w:lineRule="auto"/>
        <w:ind w:left="0" w:leftChars="0" w:firstLine="480" w:firstLineChars="200"/>
        <w:rPr>
          <w:rFonts w:hint="eastAsia" w:ascii="宋体" w:hAnsi="宋体"/>
          <w:sz w:val="24"/>
          <w:highlight w:val="none"/>
        </w:rPr>
      </w:pPr>
      <w:r>
        <w:rPr>
          <w:rFonts w:hint="eastAsia" w:ascii="宋体" w:hAnsi="宋体"/>
          <w:sz w:val="24"/>
          <w:highlight w:val="none"/>
        </w:rPr>
        <w:t>附补偿柜下柜后视图：</w:t>
      </w:r>
    </w:p>
    <w:p>
      <w:pPr>
        <w:numPr>
          <w:ilvl w:val="0"/>
          <w:numId w:val="0"/>
        </w:numPr>
        <w:spacing w:line="360" w:lineRule="auto"/>
        <w:ind w:leftChars="200"/>
        <w:rPr>
          <w:rFonts w:hint="eastAsia" w:ascii="宋体" w:hAnsi="宋体"/>
          <w:sz w:val="24"/>
          <w:highlight w:val="none"/>
          <w:lang w:val="en-US" w:eastAsia="zh-CN"/>
        </w:rPr>
      </w:pPr>
      <w:r>
        <w:rPr>
          <w:sz w:val="28"/>
          <w:szCs w:val="28"/>
        </w:rPr>
        <w:drawing>
          <wp:inline distT="0" distB="0" distL="0" distR="0">
            <wp:extent cx="2354580" cy="3596640"/>
            <wp:effectExtent l="0" t="0" r="7620" b="3810"/>
            <wp:docPr id="2" name="图片 2" descr="d:\Users\yuzp\Documents\WeChat Files\wxid_21diqa4b5e0d22\FileStorage\Temp\5c905462bb4ec002cd7e8a25c174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Users\yuzp\Documents\WeChat Files\wxid_21diqa4b5e0d22\FileStorage\Temp\5c905462bb4ec002cd7e8a25c17454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54580" cy="3596640"/>
                    </a:xfrm>
                    <a:prstGeom prst="rect">
                      <a:avLst/>
                    </a:prstGeom>
                    <a:noFill/>
                    <a:ln>
                      <a:noFill/>
                    </a:ln>
                  </pic:spPr>
                </pic:pic>
              </a:graphicData>
            </a:graphic>
          </wp:inline>
        </w:drawing>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hint="eastAsia" w:ascii="宋体" w:hAnsi="宋体" w:eastAsiaTheme="minorEastAsia"/>
          <w:color w:val="0000FF"/>
          <w:sz w:val="24"/>
          <w:highlight w:val="none"/>
          <w:lang w:val="en-US" w:eastAsia="zh-CN"/>
        </w:rPr>
      </w:pPr>
      <w:r>
        <w:rPr>
          <w:rFonts w:hint="eastAsia" w:ascii="宋体" w:hAnsi="宋体"/>
          <w:sz w:val="24"/>
          <w:highlight w:val="none"/>
        </w:rPr>
        <w:t>1.需送货</w:t>
      </w:r>
      <w:r>
        <w:rPr>
          <w:rFonts w:hint="eastAsia" w:ascii="宋体" w:hAnsi="宋体"/>
          <w:sz w:val="24"/>
          <w:highlight w:val="none"/>
          <w:lang w:val="en-US" w:eastAsia="zh-CN"/>
        </w:rPr>
        <w:t>并摆放</w:t>
      </w:r>
      <w:r>
        <w:rPr>
          <w:rFonts w:hint="eastAsia" w:ascii="宋体" w:hAnsi="宋体"/>
          <w:sz w:val="24"/>
          <w:highlight w:val="none"/>
        </w:rPr>
        <w:t>至指定地点：广州大学城档案馆路36号第四冷站旁边仓库（国家档案馆对面）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货期要求不超过7天。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6"/>
        </w:numPr>
        <w:tabs>
          <w:tab w:val="left" w:pos="420"/>
        </w:tabs>
        <w:spacing w:line="360" w:lineRule="auto"/>
        <w:rPr>
          <w:rFonts w:hint="eastAsia" w:ascii="宋体" w:hAnsi="宋体"/>
          <w:sz w:val="24"/>
          <w:highlight w:val="none"/>
        </w:rPr>
      </w:pPr>
      <w:r>
        <w:rPr>
          <w:rFonts w:hint="eastAsia" w:ascii="宋体" w:hAnsi="宋体"/>
          <w:sz w:val="24"/>
          <w:highlight w:val="none"/>
        </w:rPr>
        <w:t>一次合格率大于98%。</w:t>
      </w:r>
    </w:p>
    <w:p>
      <w:pPr>
        <w:numPr>
          <w:ilvl w:val="0"/>
          <w:numId w:val="16"/>
        </w:numPr>
        <w:tabs>
          <w:tab w:val="left" w:pos="420"/>
        </w:tabs>
        <w:spacing w:line="360" w:lineRule="auto"/>
        <w:rPr>
          <w:rFonts w:hint="eastAsia" w:ascii="宋体" w:hAnsi="宋体"/>
          <w:sz w:val="24"/>
          <w:highlight w:val="none"/>
        </w:rPr>
      </w:pPr>
      <w:r>
        <w:rPr>
          <w:rFonts w:hint="eastAsia" w:ascii="宋体" w:hAnsi="宋体"/>
          <w:sz w:val="24"/>
          <w:highlight w:val="none"/>
        </w:rPr>
        <w:t>设备质量达到要求</w:t>
      </w:r>
      <w:r>
        <w:rPr>
          <w:rFonts w:hint="eastAsia" w:ascii="宋体" w:hAnsi="宋体"/>
          <w:sz w:val="24"/>
          <w:highlight w:val="none"/>
          <w:lang w:eastAsia="zh-CN"/>
        </w:rPr>
        <w:t>：</w:t>
      </w:r>
      <w:r>
        <w:rPr>
          <w:rFonts w:hint="eastAsia" w:ascii="宋体" w:hAnsi="宋体"/>
          <w:sz w:val="24"/>
          <w:highlight w:val="none"/>
        </w:rPr>
        <w:t>安装SVG设备时，应符合产品技术文件要求（检查元器件是否同元器件配置清单相符）</w:t>
      </w:r>
      <w:r>
        <w:rPr>
          <w:rFonts w:hint="eastAsia" w:ascii="宋体" w:hAnsi="宋体"/>
          <w:sz w:val="24"/>
          <w:highlight w:val="none"/>
          <w:lang w:eastAsia="zh-CN"/>
        </w:rPr>
        <w:t>；</w:t>
      </w:r>
      <w:r>
        <w:rPr>
          <w:rFonts w:hint="eastAsia" w:ascii="宋体" w:hAnsi="宋体"/>
          <w:sz w:val="24"/>
          <w:highlight w:val="none"/>
        </w:rPr>
        <w:t>静止无功发生器金属外壳应与接地网可靠连接</w:t>
      </w:r>
      <w:r>
        <w:rPr>
          <w:rFonts w:hint="eastAsia" w:ascii="宋体" w:hAnsi="宋体"/>
          <w:sz w:val="24"/>
          <w:highlight w:val="none"/>
          <w:lang w:eastAsia="zh-CN"/>
        </w:rPr>
        <w:t>；</w:t>
      </w:r>
      <w:r>
        <w:rPr>
          <w:rFonts w:hint="eastAsia" w:ascii="宋体" w:hAnsi="宋体"/>
          <w:sz w:val="24"/>
          <w:highlight w:val="none"/>
        </w:rPr>
        <w:t>安装过程中，要注意保护好低压母排及相关设施的完好，施工前确认好保护措施后方可施工（包括办理好相关票证）</w:t>
      </w:r>
      <w:r>
        <w:rPr>
          <w:rFonts w:hint="eastAsia" w:ascii="宋体" w:hAnsi="宋体"/>
          <w:sz w:val="24"/>
          <w:highlight w:val="none"/>
          <w:lang w:eastAsia="zh-CN"/>
        </w:rPr>
        <w:t>，</w:t>
      </w:r>
      <w:r>
        <w:rPr>
          <w:rFonts w:hint="eastAsia" w:ascii="宋体" w:hAnsi="宋体"/>
          <w:sz w:val="24"/>
          <w:highlight w:val="none"/>
          <w:lang w:val="en-US" w:eastAsia="zh-CN"/>
        </w:rPr>
        <w:t>提供验收报告</w:t>
      </w:r>
      <w:r>
        <w:rPr>
          <w:rFonts w:hint="eastAsia" w:ascii="宋体" w:hAnsi="宋体"/>
          <w:sz w:val="24"/>
          <w:highlight w:val="none"/>
        </w:rPr>
        <w:t>。</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设备安装及验收参考标准《电气装置安装工程低压电器施工及验收规范》 GB50254-2014</w:t>
      </w:r>
      <w:r>
        <w:rPr>
          <w:rFonts w:hint="eastAsia" w:ascii="宋体" w:hAnsi="宋体"/>
          <w:sz w:val="24"/>
          <w:highlight w:val="none"/>
          <w:lang w:eastAsia="zh-CN"/>
        </w:rPr>
        <w:t>；</w:t>
      </w:r>
      <w:r>
        <w:rPr>
          <w:rFonts w:hint="eastAsia" w:ascii="宋体" w:hAnsi="宋体"/>
          <w:sz w:val="24"/>
          <w:highlight w:val="none"/>
        </w:rPr>
        <w:t>《电气装置安装工程接地工程施工及验收规范》 GB50169-2006</w:t>
      </w:r>
      <w:r>
        <w:rPr>
          <w:rFonts w:hint="eastAsia" w:ascii="宋体" w:hAnsi="宋体"/>
          <w:sz w:val="24"/>
          <w:highlight w:val="none"/>
          <w:lang w:eastAsia="zh-CN"/>
        </w:rPr>
        <w:t>；</w:t>
      </w:r>
      <w:r>
        <w:rPr>
          <w:rFonts w:hint="eastAsia" w:ascii="宋体" w:hAnsi="宋体"/>
          <w:sz w:val="24"/>
          <w:highlight w:val="none"/>
        </w:rPr>
        <w:t>《低压配电设计规范》GB 50054-95</w:t>
      </w:r>
      <w:r>
        <w:rPr>
          <w:rFonts w:hint="eastAsia" w:ascii="宋体" w:hAnsi="宋体"/>
          <w:sz w:val="24"/>
          <w:highlight w:val="none"/>
          <w:lang w:eastAsia="zh-CN"/>
        </w:rPr>
        <w:t>；</w:t>
      </w:r>
      <w:r>
        <w:rPr>
          <w:rFonts w:hint="eastAsia" w:ascii="宋体" w:hAnsi="宋体"/>
          <w:sz w:val="24"/>
          <w:highlight w:val="none"/>
        </w:rPr>
        <w:t>《工业企业能源管理导则》GB/T 15587-2008</w:t>
      </w:r>
      <w:r>
        <w:rPr>
          <w:rFonts w:hint="eastAsia" w:ascii="宋体" w:hAnsi="宋体"/>
          <w:sz w:val="24"/>
          <w:highlight w:val="none"/>
          <w:lang w:eastAsia="zh-CN"/>
        </w:rPr>
        <w:t>。</w:t>
      </w:r>
    </w:p>
    <w:p>
      <w:pPr>
        <w:numPr>
          <w:ilvl w:val="0"/>
          <w:numId w:val="1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7"/>
        </w:numPr>
        <w:tabs>
          <w:tab w:val="left" w:pos="420"/>
        </w:tabs>
        <w:spacing w:line="360" w:lineRule="auto"/>
        <w:ind w:left="0" w:leftChars="0" w:firstLine="420" w:firstLineChars="0"/>
        <w:rPr>
          <w:rFonts w:ascii="宋体" w:hAnsi="宋体"/>
          <w:sz w:val="24"/>
          <w:highlight w:val="none"/>
        </w:rPr>
      </w:pPr>
      <w:r>
        <w:rPr>
          <w:rFonts w:hint="eastAsia" w:ascii="宋体" w:hAnsi="宋体"/>
          <w:sz w:val="24"/>
          <w:highlight w:val="none"/>
        </w:rPr>
        <w:t>★设备保修期不少于</w:t>
      </w:r>
      <w:r>
        <w:rPr>
          <w:rFonts w:hint="eastAsia" w:ascii="宋体" w:hAnsi="宋体"/>
          <w:sz w:val="24"/>
          <w:highlight w:val="none"/>
          <w:lang w:val="en-US" w:eastAsia="zh-CN"/>
        </w:rPr>
        <w:t>3</w:t>
      </w:r>
      <w:r>
        <w:rPr>
          <w:rFonts w:hint="eastAsia" w:ascii="宋体" w:hAnsi="宋体"/>
          <w:sz w:val="24"/>
          <w:highlight w:val="none"/>
        </w:rPr>
        <w:t>年，质保期自验收合格之日起计。供应商在投标文件中承诺提供的服务须能提供制造商的服务热线（如400电话等）查证。</w:t>
      </w:r>
    </w:p>
    <w:p>
      <w:pPr>
        <w:numPr>
          <w:ilvl w:val="0"/>
          <w:numId w:val="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8"/>
        </w:numPr>
        <w:tabs>
          <w:tab w:val="left" w:pos="420"/>
        </w:tabs>
        <w:spacing w:line="360" w:lineRule="auto"/>
        <w:rPr>
          <w:rFonts w:ascii="宋体" w:hAnsi="宋体"/>
          <w:color w:val="0000FF"/>
          <w:sz w:val="24"/>
          <w:highlight w:val="none"/>
        </w:rPr>
      </w:pPr>
      <w:r>
        <w:rPr>
          <w:rFonts w:hint="eastAsia" w:ascii="宋体" w:hAnsi="宋体"/>
          <w:sz w:val="24"/>
          <w:highlight w:val="none"/>
        </w:rPr>
        <w:t>★付款方式：全部货物货到现场</w:t>
      </w:r>
      <w:r>
        <w:rPr>
          <w:rFonts w:hint="eastAsia" w:ascii="宋体" w:hAnsi="宋体"/>
          <w:sz w:val="24"/>
          <w:highlight w:val="none"/>
          <w:lang w:val="en-US" w:eastAsia="zh-CN"/>
        </w:rPr>
        <w:t>安装合格</w:t>
      </w:r>
      <w:r>
        <w:rPr>
          <w:rFonts w:hint="eastAsia" w:ascii="宋体" w:hAnsi="宋体"/>
          <w:sz w:val="24"/>
          <w:highlight w:val="none"/>
        </w:rPr>
        <w:t>并经</w:t>
      </w:r>
      <w:r>
        <w:rPr>
          <w:rFonts w:hint="eastAsia" w:ascii="宋体" w:hAnsi="宋体"/>
          <w:sz w:val="24"/>
          <w:highlight w:val="none"/>
          <w:lang w:val="en-US" w:eastAsia="zh-CN"/>
        </w:rPr>
        <w:t>需</w:t>
      </w:r>
      <w:r>
        <w:rPr>
          <w:rFonts w:hint="eastAsia" w:ascii="宋体" w:hAnsi="宋体"/>
          <w:sz w:val="24"/>
          <w:highlight w:val="none"/>
        </w:rPr>
        <w:t>方验收签字和收到供方相关的技术资料后15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b w:val="0"/>
          <w:sz w:val="24"/>
          <w:highlight w:val="none"/>
          <w:lang w:val="en-US" w:eastAsia="zh-CN"/>
        </w:rPr>
        <w:t>静止无功发生器设备采购</w:t>
      </w:r>
    </w:p>
    <w:tbl>
      <w:tblPr>
        <w:tblStyle w:val="6"/>
        <w:tblW w:w="8296" w:type="dxa"/>
        <w:tblInd w:w="0" w:type="dxa"/>
        <w:tblLayout w:type="fixed"/>
        <w:tblCellMar>
          <w:top w:w="0" w:type="dxa"/>
          <w:left w:w="108" w:type="dxa"/>
          <w:bottom w:w="0" w:type="dxa"/>
          <w:right w:w="108" w:type="dxa"/>
        </w:tblCellMar>
      </w:tblPr>
      <w:tblGrid>
        <w:gridCol w:w="669"/>
        <w:gridCol w:w="705"/>
        <w:gridCol w:w="1260"/>
        <w:gridCol w:w="750"/>
        <w:gridCol w:w="753"/>
        <w:gridCol w:w="927"/>
        <w:gridCol w:w="998"/>
        <w:gridCol w:w="652"/>
        <w:gridCol w:w="730"/>
        <w:gridCol w:w="823"/>
        <w:gridCol w:w="29"/>
      </w:tblGrid>
      <w:tr>
        <w:tblPrEx>
          <w:tblCellMar>
            <w:top w:w="0" w:type="dxa"/>
            <w:left w:w="108" w:type="dxa"/>
            <w:bottom w:w="0" w:type="dxa"/>
            <w:right w:w="108" w:type="dxa"/>
          </w:tblCellMar>
        </w:tblPrEx>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9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99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263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662"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rFonts w:hint="eastAsia" w:eastAsiaTheme="minorEastAsia"/>
          <w:sz w:val="24"/>
          <w:highlight w:val="none"/>
          <w:lang w:val="en-US" w:eastAsia="zh-CN"/>
        </w:rPr>
      </w:pPr>
      <w:r>
        <w:rPr>
          <w:rFonts w:hint="eastAsia"/>
          <w:sz w:val="24"/>
          <w:highlight w:val="none"/>
        </w:rPr>
        <w:t>说明：</w:t>
      </w:r>
    </w:p>
    <w:p>
      <w:pPr>
        <w:widowControl/>
        <w:numPr>
          <w:ilvl w:val="0"/>
          <w:numId w:val="20"/>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spacing w:line="360" w:lineRule="auto"/>
        <w:jc w:val="center"/>
        <w:rPr>
          <w:rFonts w:hint="eastAsia" w:ascii="宋体" w:hAnsi="宋体"/>
          <w:sz w:val="32"/>
          <w:highlight w:val="none"/>
          <w:lang w:val="en-US" w:eastAsia="zh-CN"/>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ind w:firstLine="3360" w:firstLineChars="1400"/>
        <w:jc w:val="both"/>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r>
        <w:rPr>
          <w:rFonts w:hint="eastAsia" w:ascii="宋体" w:hAnsi="宋体"/>
          <w:b w:val="0"/>
          <w:sz w:val="24"/>
          <w:highlight w:val="none"/>
          <w:lang w:val="en-US" w:eastAsia="zh-CN"/>
        </w:rPr>
        <w:t>静止无功发生器设备采购</w:t>
      </w:r>
    </w:p>
    <w:tbl>
      <w:tblPr>
        <w:tblStyle w:val="6"/>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b w:val="0"/>
          <w:sz w:val="24"/>
          <w:highlight w:val="none"/>
          <w:lang w:val="en-US" w:eastAsia="zh-CN"/>
        </w:rPr>
        <w:t>静止无功发生器设备采购</w:t>
      </w:r>
    </w:p>
    <w:tbl>
      <w:tblPr>
        <w:tblStyle w:val="6"/>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4839"/>
        <w:gridCol w:w="1932"/>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839"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32"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jc w:val="left"/>
              <w:rPr>
                <w:rFonts w:ascii="宋体" w:hAnsi="宋体"/>
                <w:sz w:val="18"/>
                <w:szCs w:val="18"/>
                <w:highlight w:val="none"/>
              </w:rPr>
            </w:pPr>
            <w:r>
              <w:rPr>
                <w:rFonts w:hint="eastAsia" w:ascii="宋体" w:hAnsi="宋体"/>
                <w:sz w:val="18"/>
                <w:szCs w:val="18"/>
                <w:highlight w:val="none"/>
              </w:rPr>
              <w:t>采购需求四、需求内容（</w:t>
            </w:r>
            <w:r>
              <w:rPr>
                <w:rFonts w:hint="eastAsia" w:ascii="宋体" w:hAnsi="宋体"/>
                <w:sz w:val="18"/>
                <w:szCs w:val="18"/>
                <w:highlight w:val="none"/>
                <w:lang w:val="en-US" w:eastAsia="zh-CN"/>
              </w:rPr>
              <w:t>三</w:t>
            </w:r>
            <w:r>
              <w:rPr>
                <w:rFonts w:hint="eastAsia" w:ascii="宋体" w:hAnsi="宋体"/>
                <w:sz w:val="18"/>
                <w:szCs w:val="18"/>
                <w:highlight w:val="none"/>
              </w:rPr>
              <w:t>）★</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hint="eastAsia" w:ascii="宋体" w:hAnsi="宋体"/>
                <w:kern w:val="15"/>
                <w:sz w:val="18"/>
                <w:szCs w:val="18"/>
                <w:highlight w:val="none"/>
              </w:rPr>
              <w:t>3</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jc w:val="left"/>
              <w:rPr>
                <w:rFonts w:hint="eastAsia"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w:t>
            </w:r>
            <w:r>
              <w:rPr>
                <w:rFonts w:hint="eastAsia" w:ascii="宋体" w:hAnsi="宋体"/>
                <w:sz w:val="18"/>
                <w:szCs w:val="18"/>
                <w:highlight w:val="none"/>
                <w:lang w:val="en-US" w:eastAsia="zh-CN"/>
              </w:rPr>
              <w:t>五</w:t>
            </w:r>
            <w:r>
              <w:rPr>
                <w:rFonts w:hint="eastAsia" w:ascii="宋体" w:hAnsi="宋体"/>
                <w:sz w:val="18"/>
                <w:szCs w:val="18"/>
                <w:highlight w:val="none"/>
              </w:rPr>
              <w:t>）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6"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val="en-US" w:eastAsia="zh-CN"/>
              </w:rPr>
            </w:pPr>
            <w:r>
              <w:rPr>
                <w:rFonts w:hint="eastAsia" w:ascii="宋体" w:hAnsi="宋体"/>
                <w:kern w:val="15"/>
                <w:sz w:val="18"/>
                <w:szCs w:val="18"/>
                <w:highlight w:val="none"/>
                <w:lang w:val="en-US" w:eastAsia="zh-CN"/>
              </w:rPr>
              <w:t>4</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rPr>
              <w:t>采购需求</w:t>
            </w:r>
            <w:r>
              <w:rPr>
                <w:rFonts w:ascii="宋体" w:hAnsi="宋体"/>
                <w:color w:val="auto"/>
                <w:sz w:val="18"/>
                <w:szCs w:val="18"/>
                <w:highlight w:val="none"/>
              </w:rPr>
              <w:t xml:space="preserve"> </w:t>
            </w:r>
            <w:r>
              <w:rPr>
                <w:rFonts w:hint="eastAsia" w:ascii="宋体" w:hAnsi="宋体"/>
                <w:color w:val="auto"/>
                <w:sz w:val="18"/>
                <w:szCs w:val="18"/>
                <w:highlight w:val="none"/>
              </w:rPr>
              <w:t>四、需求内容</w:t>
            </w:r>
            <w:r>
              <w:rPr>
                <w:rFonts w:ascii="宋体" w:hAnsi="宋体"/>
                <w:color w:val="auto"/>
                <w:sz w:val="18"/>
                <w:szCs w:val="18"/>
                <w:highlight w:val="none"/>
              </w:rPr>
              <w:t xml:space="preserve"> （</w:t>
            </w:r>
            <w:r>
              <w:rPr>
                <w:rFonts w:hint="eastAsia" w:ascii="宋体" w:hAnsi="宋体"/>
                <w:color w:val="auto"/>
                <w:sz w:val="18"/>
                <w:szCs w:val="18"/>
                <w:highlight w:val="none"/>
                <w:lang w:val="en-US" w:eastAsia="zh-CN"/>
              </w:rPr>
              <w:t>八</w:t>
            </w:r>
            <w:r>
              <w:rPr>
                <w:rFonts w:ascii="宋体" w:hAnsi="宋体"/>
                <w:color w:val="auto"/>
                <w:sz w:val="18"/>
                <w:szCs w:val="18"/>
                <w:highlight w:val="none"/>
              </w:rPr>
              <w:t>）</w:t>
            </w:r>
            <w:r>
              <w:rPr>
                <w:rFonts w:hint="eastAsia" w:ascii="宋体" w:hAnsi="宋体"/>
                <w:color w:val="auto"/>
                <w:sz w:val="18"/>
                <w:szCs w:val="18"/>
                <w:highlight w:val="none"/>
                <w:lang w:val="en-US" w:eastAsia="zh-CN"/>
              </w:rPr>
              <w:t>4</w:t>
            </w:r>
            <w:r>
              <w:rPr>
                <w:rFonts w:ascii="宋体" w:hAnsi="宋体"/>
                <w:color w:val="auto"/>
                <w:sz w:val="18"/>
                <w:szCs w:val="18"/>
                <w:highlight w:val="none"/>
              </w:rPr>
              <w:t>、 ★</w:t>
            </w:r>
            <w:r>
              <w:rPr>
                <w:rFonts w:hint="eastAsia" w:ascii="宋体" w:hAnsi="宋体"/>
                <w:sz w:val="18"/>
                <w:szCs w:val="18"/>
                <w:highlight w:val="none"/>
              </w:rPr>
              <w:t>设备保修期不少于</w:t>
            </w:r>
            <w:r>
              <w:rPr>
                <w:rFonts w:hint="eastAsia" w:ascii="宋体" w:hAnsi="宋体"/>
                <w:sz w:val="18"/>
                <w:szCs w:val="18"/>
                <w:highlight w:val="none"/>
                <w:lang w:val="en-US" w:eastAsia="zh-CN"/>
              </w:rPr>
              <w:t>3</w:t>
            </w:r>
            <w:r>
              <w:rPr>
                <w:rFonts w:hint="eastAsia" w:ascii="宋体" w:hAnsi="宋体"/>
                <w:sz w:val="18"/>
                <w:szCs w:val="18"/>
                <w:highlight w:val="none"/>
              </w:rPr>
              <w:t>年，质保期自验收合格之日起计。供应商在投标文件中承诺提供的服务须能提供制造商的服务热线（如400电话等）查证。</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ascii="宋体" w:hAnsi="宋体"/>
                <w:color w:val="auto"/>
                <w:szCs w:val="18"/>
                <w:highlight w:val="none"/>
              </w:rPr>
            </w:pPr>
            <w:r>
              <w:rPr>
                <w:rFonts w:hint="eastAsia" w:ascii="宋体" w:hAnsi="宋体"/>
                <w:color w:val="auto"/>
                <w:sz w:val="18"/>
                <w:szCs w:val="18"/>
                <w:highlight w:val="none"/>
                <w:lang w:val="en-US" w:eastAsia="zh-CN"/>
              </w:rPr>
              <w:t>采购需求 五、商务要求（一）★付款方式：</w:t>
            </w:r>
            <w:r>
              <w:rPr>
                <w:rFonts w:hint="eastAsia" w:ascii="宋体" w:hAnsi="宋体"/>
                <w:sz w:val="18"/>
                <w:szCs w:val="18"/>
                <w:highlight w:val="none"/>
              </w:rPr>
              <w:t>全部货物货到现场</w:t>
            </w:r>
            <w:r>
              <w:rPr>
                <w:rFonts w:hint="eastAsia" w:ascii="宋体" w:hAnsi="宋体"/>
                <w:sz w:val="18"/>
                <w:szCs w:val="18"/>
                <w:highlight w:val="none"/>
                <w:lang w:val="en-US" w:eastAsia="zh-CN"/>
              </w:rPr>
              <w:t>安装合格</w:t>
            </w:r>
            <w:r>
              <w:rPr>
                <w:rFonts w:hint="eastAsia" w:ascii="宋体" w:hAnsi="宋体"/>
                <w:sz w:val="18"/>
                <w:szCs w:val="18"/>
                <w:highlight w:val="none"/>
              </w:rPr>
              <w:t>并经</w:t>
            </w:r>
            <w:r>
              <w:rPr>
                <w:rFonts w:hint="eastAsia" w:ascii="宋体" w:hAnsi="宋体"/>
                <w:sz w:val="18"/>
                <w:szCs w:val="18"/>
                <w:highlight w:val="none"/>
                <w:lang w:val="en-US" w:eastAsia="zh-CN"/>
              </w:rPr>
              <w:t>需</w:t>
            </w:r>
            <w:r>
              <w:rPr>
                <w:rFonts w:hint="eastAsia" w:ascii="宋体" w:hAnsi="宋体"/>
                <w:sz w:val="18"/>
                <w:szCs w:val="18"/>
                <w:highlight w:val="none"/>
              </w:rPr>
              <w:t>方验收签字和收到供方相关的技术资料后15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ind w:firstLine="5250" w:firstLineChars="2500"/>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r>
        <w:rPr>
          <w:rFonts w:hint="eastAsia" w:ascii="宋体" w:hAnsi="宋体"/>
          <w:b w:val="0"/>
          <w:sz w:val="24"/>
          <w:highlight w:val="none"/>
          <w:lang w:val="en-US" w:eastAsia="zh-CN"/>
        </w:rPr>
        <w:t>静止无功发生器设备采购</w:t>
      </w:r>
    </w:p>
    <w:tbl>
      <w:tblPr>
        <w:tblStyle w:val="6"/>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1"/>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1"/>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1"/>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1"/>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numPr>
          <w:numId w:val="0"/>
        </w:numPr>
        <w:adjustRightInd w:val="0"/>
        <w:snapToGrid w:val="0"/>
        <w:spacing w:line="400" w:lineRule="exact"/>
        <w:rPr>
          <w:rFonts w:ascii="宋体" w:hAnsi="宋体"/>
          <w:highlight w:val="none"/>
        </w:rPr>
      </w:pPr>
    </w:p>
    <w:p>
      <w:pPr>
        <w:spacing w:line="360" w:lineRule="auto"/>
        <w:rPr>
          <w:rFonts w:ascii="宋体" w:hAnsi="宋体"/>
          <w:highlight w:val="none"/>
        </w:rPr>
      </w:pPr>
      <w:r>
        <w:rPr>
          <w:rFonts w:hint="eastAsia" w:ascii="宋体" w:hAnsi="宋体"/>
          <w:highlight w:val="none"/>
        </w:rPr>
        <w:t xml:space="preserve">评委签名：             </w:t>
      </w:r>
      <w:r>
        <w:rPr>
          <w:rFonts w:hint="eastAsia" w:ascii="宋体" w:hAnsi="宋体"/>
          <w:highlight w:val="none"/>
          <w:lang w:val="en-US" w:eastAsia="zh-CN"/>
        </w:rPr>
        <w:t xml:space="preserve">                                </w:t>
      </w:r>
      <w:bookmarkStart w:id="3" w:name="_GoBack"/>
      <w:bookmarkEnd w:id="3"/>
      <w:r>
        <w:rPr>
          <w:rFonts w:hint="eastAsia" w:ascii="宋体" w:hAnsi="宋体"/>
          <w:highlight w:val="none"/>
        </w:rPr>
        <w:t xml:space="preserve">日 期：    年   月   日                                                                </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01AE4"/>
    <w:multiLevelType w:val="singleLevel"/>
    <w:tmpl w:val="C2F01AE4"/>
    <w:lvl w:ilvl="0" w:tentative="0">
      <w:start w:val="1"/>
      <w:numFmt w:val="decimal"/>
      <w:suff w:val="nothing"/>
      <w:lvlText w:val="%1、"/>
      <w:lvlJc w:val="left"/>
      <w:rPr>
        <w:rFonts w:hint="default"/>
        <w:color w:val="auto"/>
      </w:rPr>
    </w:lvl>
  </w:abstractNum>
  <w:abstractNum w:abstractNumId="1">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2">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6">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47BB0C68"/>
    <w:multiLevelType w:val="singleLevel"/>
    <w:tmpl w:val="47BB0C68"/>
    <w:lvl w:ilvl="0" w:tentative="0">
      <w:start w:val="1"/>
      <w:numFmt w:val="chineseCounting"/>
      <w:suff w:val="nothing"/>
      <w:lvlText w:val="（%1）"/>
      <w:lvlJc w:val="left"/>
      <w:pPr>
        <w:ind w:left="0" w:firstLine="420"/>
      </w:pPr>
      <w:rPr>
        <w:rFonts w:hint="eastAsia"/>
        <w:color w:val="auto"/>
      </w:rPr>
    </w:lvl>
  </w:abstractNum>
  <w:abstractNum w:abstractNumId="9">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0">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2">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abstractNum w:abstractNumId="20">
    <w:nsid w:val="7B940999"/>
    <w:multiLevelType w:val="singleLevel"/>
    <w:tmpl w:val="7B940999"/>
    <w:lvl w:ilvl="0" w:tentative="0">
      <w:start w:val="1"/>
      <w:numFmt w:val="decimal"/>
      <w:suff w:val="nothing"/>
      <w:lvlText w:val="%1、"/>
      <w:lvlJc w:val="left"/>
      <w:rPr>
        <w:rFonts w:hint="default"/>
        <w:color w:val="auto"/>
      </w:rPr>
    </w:lvl>
  </w:abstractNum>
  <w:num w:numId="1">
    <w:abstractNumId w:val="14"/>
  </w:num>
  <w:num w:numId="2">
    <w:abstractNumId w:val="11"/>
  </w:num>
  <w:num w:numId="3">
    <w:abstractNumId w:val="4"/>
  </w:num>
  <w:num w:numId="4">
    <w:abstractNumId w:val="16"/>
  </w:num>
  <w:num w:numId="5">
    <w:abstractNumId w:val="7"/>
  </w:num>
  <w:num w:numId="6">
    <w:abstractNumId w:val="3"/>
  </w:num>
  <w:num w:numId="7">
    <w:abstractNumId w:val="6"/>
  </w:num>
  <w:num w:numId="8">
    <w:abstractNumId w:val="5"/>
  </w:num>
  <w:num w:numId="9">
    <w:abstractNumId w:val="18"/>
  </w:num>
  <w:num w:numId="10">
    <w:abstractNumId w:val="17"/>
  </w:num>
  <w:num w:numId="11">
    <w:abstractNumId w:val="19"/>
  </w:num>
  <w:num w:numId="12">
    <w:abstractNumId w:val="20"/>
  </w:num>
  <w:num w:numId="13">
    <w:abstractNumId w:val="0"/>
  </w:num>
  <w:num w:numId="14">
    <w:abstractNumId w:val="2"/>
  </w:num>
  <w:num w:numId="15">
    <w:abstractNumId w:val="13"/>
  </w:num>
  <w:num w:numId="16">
    <w:abstractNumId w:val="15"/>
  </w:num>
  <w:num w:numId="17">
    <w:abstractNumId w:val="9"/>
  </w:num>
  <w:num w:numId="18">
    <w:abstractNumId w:val="8"/>
  </w:num>
  <w:num w:numId="19">
    <w:abstractNumId w:val="1"/>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300659"/>
    <w:rsid w:val="02CC3DF4"/>
    <w:rsid w:val="040752F1"/>
    <w:rsid w:val="05B94074"/>
    <w:rsid w:val="0AB404CF"/>
    <w:rsid w:val="105F7BEE"/>
    <w:rsid w:val="155C17E7"/>
    <w:rsid w:val="1A405CA5"/>
    <w:rsid w:val="1B431393"/>
    <w:rsid w:val="1C326EE2"/>
    <w:rsid w:val="1D494923"/>
    <w:rsid w:val="1D4A68CA"/>
    <w:rsid w:val="1F6317DE"/>
    <w:rsid w:val="20022BF3"/>
    <w:rsid w:val="21426207"/>
    <w:rsid w:val="219C5AD0"/>
    <w:rsid w:val="21EF441B"/>
    <w:rsid w:val="22344EAD"/>
    <w:rsid w:val="261B75D1"/>
    <w:rsid w:val="2AC216B9"/>
    <w:rsid w:val="2E16557C"/>
    <w:rsid w:val="30880D6D"/>
    <w:rsid w:val="315670E0"/>
    <w:rsid w:val="338220BD"/>
    <w:rsid w:val="36A7666B"/>
    <w:rsid w:val="39504558"/>
    <w:rsid w:val="471F338C"/>
    <w:rsid w:val="4A5D6314"/>
    <w:rsid w:val="4FFE6292"/>
    <w:rsid w:val="5349618D"/>
    <w:rsid w:val="53DC470C"/>
    <w:rsid w:val="544368CA"/>
    <w:rsid w:val="55C8186D"/>
    <w:rsid w:val="595048C3"/>
    <w:rsid w:val="605F149E"/>
    <w:rsid w:val="61345013"/>
    <w:rsid w:val="61F560D6"/>
    <w:rsid w:val="6370437E"/>
    <w:rsid w:val="6908487B"/>
    <w:rsid w:val="69A35E39"/>
    <w:rsid w:val="6C9E4944"/>
    <w:rsid w:val="6DEF70E9"/>
    <w:rsid w:val="788D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Body Text First Indent 2"/>
    <w:basedOn w:val="2"/>
    <w:autoRedefine/>
    <w:qFormat/>
    <w:uiPriority w:val="0"/>
    <w:pPr>
      <w:spacing w:line="360" w:lineRule="auto"/>
      <w:ind w:left="0" w:leftChars="0"/>
      <w:jc w:val="left"/>
    </w:pPr>
    <w:rPr>
      <w:kern w:val="0"/>
      <w:sz w:val="24"/>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000FF"/>
      <w:u w:val="single"/>
    </w:rPr>
  </w:style>
  <w:style w:type="paragraph" w:customStyle="1" w:styleId="10">
    <w:name w:val="列出段落1"/>
    <w:basedOn w:val="1"/>
    <w:autoRedefine/>
    <w:unhideWhenUsed/>
    <w:qFormat/>
    <w:uiPriority w:val="0"/>
    <w:pPr>
      <w:ind w:firstLine="420" w:firstLineChars="200"/>
    </w:pPr>
  </w:style>
  <w:style w:type="paragraph" w:styleId="11">
    <w:name w:val="List Paragraph"/>
    <w:basedOn w:val="1"/>
    <w:autoRedefine/>
    <w:unhideWhenUsed/>
    <w:qFormat/>
    <w:uiPriority w:val="34"/>
    <w:pPr>
      <w:ind w:firstLine="420" w:firstLineChars="200"/>
    </w:pPr>
  </w:style>
  <w:style w:type="character" w:customStyle="1" w:styleId="12">
    <w:name w:val="font11"/>
    <w:basedOn w:val="8"/>
    <w:autoRedefine/>
    <w:qFormat/>
    <w:uiPriority w:val="0"/>
    <w:rPr>
      <w:rFonts w:hint="eastAsia" w:ascii="宋体" w:hAnsi="宋体" w:eastAsia="宋体" w:cs="宋体"/>
      <w:color w:val="000000"/>
      <w:sz w:val="22"/>
      <w:szCs w:val="22"/>
      <w:u w:val="none"/>
    </w:rPr>
  </w:style>
  <w:style w:type="character" w:customStyle="1" w:styleId="13">
    <w:name w:val="font01"/>
    <w:basedOn w:val="8"/>
    <w:autoRedefine/>
    <w:qFormat/>
    <w:uiPriority w:val="0"/>
    <w:rPr>
      <w:rFonts w:hint="eastAsia" w:ascii="宋体" w:hAnsi="宋体" w:eastAsia="宋体" w:cs="宋体"/>
      <w:color w:val="FF0000"/>
      <w:sz w:val="22"/>
      <w:szCs w:val="22"/>
      <w:u w:val="none"/>
    </w:rPr>
  </w:style>
  <w:style w:type="character" w:customStyle="1" w:styleId="14">
    <w:name w:val="font21"/>
    <w:basedOn w:val="8"/>
    <w:autoRedefine/>
    <w:qFormat/>
    <w:uiPriority w:val="0"/>
    <w:rPr>
      <w:rFonts w:hint="eastAsia" w:ascii="宋体" w:hAnsi="宋体" w:eastAsia="宋体" w:cs="宋体"/>
      <w:color w:val="FF0000"/>
      <w:sz w:val="22"/>
      <w:szCs w:val="22"/>
      <w:u w:val="none"/>
    </w:rPr>
  </w:style>
  <w:style w:type="paragraph" w:customStyle="1" w:styleId="15">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lang w:eastAsia="en-US"/>
    </w:rPr>
  </w:style>
  <w:style w:type="table" w:customStyle="1" w:styleId="16">
    <w:name w:val="Table Normal"/>
    <w:autoRedefine/>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2024-01-29T01:18:45Z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E2292B73062840FBBF86407292665C0E_12</vt:lpwstr>
  </property>
</Properties>
</file>