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F17DE">
      <w:pPr>
        <w:spacing w:line="360" w:lineRule="auto"/>
        <w:jc w:val="center"/>
        <w:rPr>
          <w:rFonts w:hint="eastAsia" w:eastAsia="宋体"/>
          <w:b/>
          <w:sz w:val="28"/>
          <w:szCs w:val="28"/>
          <w:lang w:eastAsia="zh-CN"/>
        </w:rPr>
      </w:pPr>
      <w:bookmarkStart w:id="0" w:name="_Hlk102747051"/>
      <w:bookmarkEnd w:id="0"/>
      <w:r>
        <w:rPr>
          <w:rFonts w:hint="eastAsia"/>
          <w:b/>
          <w:sz w:val="28"/>
          <w:szCs w:val="28"/>
          <w:lang w:eastAsia="zh-CN"/>
        </w:rPr>
        <w:t>广州城投保盈综合能源有限公司</w:t>
      </w:r>
    </w:p>
    <w:p w14:paraId="69513820">
      <w:pPr>
        <w:spacing w:before="0" w:beforeLines="-2147483648" w:after="0" w:afterLines="-2147483648" w:line="360" w:lineRule="auto"/>
        <w:jc w:val="center"/>
        <w:rPr>
          <w:rFonts w:hint="eastAsia" w:eastAsia="宋体"/>
          <w:b/>
          <w:sz w:val="28"/>
          <w:szCs w:val="28"/>
          <w:lang w:eastAsia="zh-CN"/>
        </w:rPr>
      </w:pPr>
      <w:r>
        <w:rPr>
          <w:rFonts w:hint="eastAsia"/>
          <w:b/>
          <w:sz w:val="28"/>
          <w:szCs w:val="28"/>
          <w:lang w:eastAsia="zh-CN"/>
        </w:rPr>
        <w:t>保盈项目中央空调系统水质处理年度服务</w:t>
      </w:r>
      <w:r>
        <w:rPr>
          <w:rFonts w:hint="eastAsia"/>
          <w:b/>
          <w:sz w:val="28"/>
          <w:szCs w:val="28"/>
        </w:rPr>
        <w:t>竞选文件</w:t>
      </w:r>
    </w:p>
    <w:p w14:paraId="2357914F">
      <w:pPr>
        <w:numPr>
          <w:ilvl w:val="0"/>
          <w:numId w:val="0"/>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一、</w:t>
      </w:r>
      <w:r>
        <w:rPr>
          <w:rFonts w:hint="eastAsia" w:ascii="宋体" w:hAnsi="宋体" w:eastAsia="宋体" w:cs="宋体"/>
          <w:b/>
          <w:bCs/>
          <w:sz w:val="21"/>
          <w:szCs w:val="21"/>
        </w:rPr>
        <w:t>项目基本情况</w:t>
      </w:r>
    </w:p>
    <w:p w14:paraId="1522A7F3">
      <w:pPr>
        <w:numPr>
          <w:ilvl w:val="0"/>
          <w:numId w:val="0"/>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（一）</w:t>
      </w:r>
      <w:r>
        <w:rPr>
          <w:rFonts w:hint="eastAsia" w:ascii="宋体" w:hAnsi="宋体" w:eastAsia="宋体" w:cs="宋体"/>
          <w:sz w:val="21"/>
          <w:szCs w:val="21"/>
        </w:rPr>
        <w:t>项目名称：</w:t>
      </w:r>
      <w:r>
        <w:rPr>
          <w:rFonts w:hint="eastAsia" w:ascii="宋体" w:hAnsi="宋体" w:eastAsia="宋体" w:cs="宋体"/>
          <w:sz w:val="21"/>
          <w:szCs w:val="21"/>
          <w:lang w:eastAsia="zh-CN"/>
        </w:rPr>
        <w:t>保盈项目中央空调系统水质处理年度服务</w:t>
      </w:r>
    </w:p>
    <w:p w14:paraId="4E41D151">
      <w:pPr>
        <w:numPr>
          <w:ilvl w:val="0"/>
          <w:numId w:val="0"/>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（二）</w:t>
      </w:r>
      <w:r>
        <w:rPr>
          <w:rFonts w:hint="eastAsia" w:ascii="宋体" w:hAnsi="宋体" w:eastAsia="宋体" w:cs="宋体"/>
          <w:sz w:val="21"/>
          <w:szCs w:val="21"/>
        </w:rPr>
        <w:t>采购限价</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人民币</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7.2万元</w:t>
      </w:r>
    </w:p>
    <w:p w14:paraId="68C658E2">
      <w:pPr>
        <w:pStyle w:val="6"/>
        <w:spacing w:line="360" w:lineRule="auto"/>
        <w:rPr>
          <w:rFonts w:hint="eastAsia" w:ascii="宋体" w:hAnsi="宋体" w:eastAsia="宋体" w:cs="宋体"/>
          <w:szCs w:val="21"/>
          <w:lang w:val="en-US"/>
        </w:rPr>
      </w:pPr>
      <w:r>
        <w:rPr>
          <w:rFonts w:hint="eastAsia" w:ascii="宋体" w:hAnsi="宋体" w:eastAsia="宋体" w:cs="宋体"/>
          <w:sz w:val="21"/>
          <w:szCs w:val="21"/>
          <w:lang w:val="en-US" w:eastAsia="zh-CN"/>
        </w:rPr>
        <w:t>（三）项目地点：广州黄埔保税区保盈商业广场</w:t>
      </w:r>
    </w:p>
    <w:p w14:paraId="253A722A">
      <w:pPr>
        <w:numPr>
          <w:ilvl w:val="0"/>
          <w:numId w:val="0"/>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（四）</w:t>
      </w:r>
      <w:r>
        <w:rPr>
          <w:rFonts w:hint="eastAsia" w:ascii="宋体" w:hAnsi="宋体" w:eastAsia="宋体" w:cs="宋体"/>
          <w:sz w:val="21"/>
          <w:szCs w:val="21"/>
        </w:rPr>
        <w:t>项目概况</w:t>
      </w:r>
    </w:p>
    <w:p w14:paraId="20533D44">
      <w:pPr>
        <w:spacing w:line="360" w:lineRule="auto"/>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为确保公司保盈项目中央空调系统安全、高效、稳定运行，延长设备使用寿命，降低运行能耗和维修成本。现采购一家水处理供应商负责我司水质处理项目。</w:t>
      </w:r>
    </w:p>
    <w:p w14:paraId="57AB2EE9">
      <w:pPr>
        <w:pStyle w:val="6"/>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 w:val="21"/>
          <w:szCs w:val="21"/>
          <w:lang w:val="en-US" w:eastAsia="zh-CN"/>
        </w:rPr>
        <w:t>注：本文件中甲方特指采购人，乙方特指中标单位。</w:t>
      </w:r>
    </w:p>
    <w:p w14:paraId="29E17052">
      <w:pPr>
        <w:numPr>
          <w:ilvl w:val="0"/>
          <w:numId w:val="0"/>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二、</w:t>
      </w:r>
      <w:r>
        <w:rPr>
          <w:rFonts w:hint="eastAsia" w:ascii="宋体" w:hAnsi="宋体" w:eastAsia="宋体" w:cs="宋体"/>
          <w:b/>
          <w:bCs/>
          <w:sz w:val="21"/>
          <w:szCs w:val="21"/>
        </w:rPr>
        <w:t>合格投标人资格要求</w:t>
      </w:r>
    </w:p>
    <w:p w14:paraId="450AB12E">
      <w:pPr>
        <w:pStyle w:val="40"/>
        <w:numPr>
          <w:ilvl w:val="0"/>
          <w:numId w:val="1"/>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w:t>
      </w:r>
      <w:r>
        <w:rPr>
          <w:rFonts w:hint="eastAsia" w:ascii="宋体" w:hAnsi="宋体" w:eastAsia="宋体" w:cs="宋体"/>
          <w:sz w:val="21"/>
          <w:szCs w:val="21"/>
          <w:lang w:val="en-US" w:eastAsia="zh-CN"/>
        </w:rPr>
        <w:t>人</w:t>
      </w:r>
      <w:r>
        <w:rPr>
          <w:rFonts w:hint="eastAsia" w:ascii="宋体" w:hAnsi="宋体" w:eastAsia="宋体" w:cs="宋体"/>
          <w:sz w:val="21"/>
          <w:szCs w:val="21"/>
        </w:rPr>
        <w:t>必须是具有独立承担民事责任能力的在中华人民共和国境内注册的法人或其他组织，提供营业执照扫描件盖章证明；</w:t>
      </w:r>
    </w:p>
    <w:p w14:paraId="34C0BC0D">
      <w:pPr>
        <w:pStyle w:val="40"/>
        <w:numPr>
          <w:ilvl w:val="0"/>
          <w:numId w:val="1"/>
        </w:numPr>
        <w:spacing w:before="120" w:beforeLines="50" w:after="120" w:afterLines="50" w:line="360" w:lineRule="auto"/>
        <w:ind w:left="0" w:firstLine="480"/>
        <w:rPr>
          <w:rFonts w:hint="eastAsia" w:ascii="宋体" w:hAnsi="宋体" w:eastAsia="宋体" w:cs="宋体"/>
          <w:sz w:val="21"/>
          <w:szCs w:val="21"/>
        </w:rPr>
      </w:pPr>
      <w:bookmarkStart w:id="1" w:name="OLE_LINK1"/>
      <w:r>
        <w:rPr>
          <w:rFonts w:hint="eastAsia" w:ascii="宋体" w:hAnsi="宋体" w:eastAsia="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1"/>
      <w:r>
        <w:rPr>
          <w:rFonts w:hint="eastAsia" w:ascii="宋体" w:hAnsi="宋体" w:eastAsia="宋体" w:cs="宋体"/>
          <w:sz w:val="21"/>
          <w:szCs w:val="21"/>
          <w:lang w:eastAsia="zh-CN"/>
        </w:rPr>
        <w:t>；</w:t>
      </w:r>
    </w:p>
    <w:p w14:paraId="2AB73228">
      <w:pPr>
        <w:pStyle w:val="40"/>
        <w:numPr>
          <w:ilvl w:val="0"/>
          <w:numId w:val="1"/>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val="en-US" w:eastAsia="zh-CN"/>
        </w:rPr>
        <w:t>见附件6</w:t>
      </w:r>
      <w:r>
        <w:rPr>
          <w:rFonts w:hint="eastAsia" w:ascii="宋体" w:hAnsi="宋体" w:eastAsia="宋体" w:cs="宋体"/>
          <w:sz w:val="21"/>
          <w:szCs w:val="21"/>
        </w:rPr>
        <w:t>)</w:t>
      </w:r>
    </w:p>
    <w:p w14:paraId="34F74B35">
      <w:pPr>
        <w:pStyle w:val="40"/>
        <w:numPr>
          <w:ilvl w:val="0"/>
          <w:numId w:val="1"/>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投标人近3年内(202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年1月1日至今)完成过类似</w:t>
      </w:r>
      <w:r>
        <w:rPr>
          <w:rFonts w:hint="eastAsia" w:ascii="宋体" w:hAnsi="宋体" w:eastAsia="宋体" w:cs="宋体"/>
          <w:sz w:val="21"/>
          <w:szCs w:val="21"/>
          <w:lang w:val="en-US" w:eastAsia="zh-CN"/>
        </w:rPr>
        <w:t>水处理服务</w:t>
      </w:r>
      <w:r>
        <w:rPr>
          <w:rFonts w:hint="eastAsia" w:ascii="宋体" w:hAnsi="宋体" w:eastAsia="宋体" w:cs="宋体"/>
          <w:sz w:val="21"/>
          <w:szCs w:val="21"/>
        </w:rPr>
        <w:t>项目业绩（需提供合同等相关证明材料复印件；</w:t>
      </w:r>
    </w:p>
    <w:p w14:paraId="5BD123CA">
      <w:pPr>
        <w:pStyle w:val="40"/>
        <w:numPr>
          <w:ilvl w:val="0"/>
          <w:numId w:val="1"/>
        </w:numPr>
        <w:spacing w:before="120" w:beforeLines="50" w:after="120" w:afterLines="50" w:line="360" w:lineRule="auto"/>
        <w:ind w:left="0" w:firstLine="480"/>
        <w:rPr>
          <w:rFonts w:hint="eastAsia" w:ascii="宋体" w:hAnsi="宋体" w:eastAsia="宋体" w:cs="宋体"/>
          <w:sz w:val="21"/>
          <w:szCs w:val="21"/>
        </w:rPr>
      </w:pPr>
      <w:r>
        <w:rPr>
          <w:rFonts w:hint="eastAsia" w:ascii="宋体" w:hAnsi="宋体" w:eastAsia="宋体" w:cs="宋体"/>
          <w:sz w:val="21"/>
          <w:szCs w:val="21"/>
        </w:rPr>
        <w:t>不接受联合体报价。</w:t>
      </w:r>
    </w:p>
    <w:p w14:paraId="025DAD1C">
      <w:pPr>
        <w:numPr>
          <w:ilvl w:val="0"/>
          <w:numId w:val="0"/>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三、</w:t>
      </w:r>
      <w:r>
        <w:rPr>
          <w:rFonts w:hint="eastAsia" w:ascii="宋体" w:hAnsi="宋体" w:eastAsia="宋体" w:cs="宋体"/>
          <w:b/>
          <w:bCs/>
          <w:sz w:val="21"/>
          <w:szCs w:val="21"/>
          <w:lang w:val="en-US" w:eastAsia="zh-CN"/>
        </w:rPr>
        <w:t>项目概况</w:t>
      </w:r>
    </w:p>
    <w:p w14:paraId="0D12C3BA">
      <w:pPr>
        <w:pStyle w:val="11"/>
        <w:numPr>
          <w:ilvl w:val="0"/>
          <w:numId w:val="2"/>
        </w:numPr>
        <w:spacing w:line="360" w:lineRule="auto"/>
        <w:ind w:firstLine="560"/>
        <w:rPr>
          <w:rFonts w:hint="eastAsia" w:ascii="宋体" w:hAnsi="宋体" w:eastAsia="宋体" w:cs="宋体"/>
          <w:b w:val="0"/>
          <w:bCs w:val="0"/>
          <w:color w:val="auto"/>
          <w:sz w:val="21"/>
          <w:szCs w:val="21"/>
          <w:highlight w:val="none"/>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color w:val="auto"/>
          <w:sz w:val="21"/>
          <w:szCs w:val="21"/>
          <w:highlight w:val="none"/>
          <w:lang w:val="en-US" w:eastAsia="zh-CN"/>
        </w:rPr>
        <w:t>冷却水系统：</w:t>
      </w:r>
    </w:p>
    <w:p w14:paraId="3E527600">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冷却水系统分为A栋冷却水系统和B东冷却水两个独立系统，均采用开式循环。</w:t>
      </w:r>
    </w:p>
    <w:p w14:paraId="7B5D92D3">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auto"/>
          <w:sz w:val="21"/>
          <w:szCs w:val="21"/>
          <w:highlight w:val="none"/>
          <w:lang w:val="en-US" w:eastAsia="zh-CN"/>
        </w:rPr>
      </w:pPr>
    </w:p>
    <w:p w14:paraId="40245417">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auto"/>
          <w:sz w:val="21"/>
          <w:szCs w:val="21"/>
          <w:highlight w:val="none"/>
          <w:lang w:val="en-US" w:eastAsia="zh-CN"/>
        </w:rPr>
      </w:pPr>
    </w:p>
    <w:p w14:paraId="1D79A2C9">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auto"/>
          <w:sz w:val="21"/>
          <w:szCs w:val="21"/>
          <w:highlight w:val="none"/>
          <w:lang w:val="en-US" w:eastAsia="zh-CN"/>
        </w:rPr>
      </w:pPr>
    </w:p>
    <w:p w14:paraId="26695DCF">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color w:val="auto"/>
          <w:sz w:val="21"/>
          <w:szCs w:val="21"/>
          <w:highlight w:val="none"/>
          <w:lang w:val="en-US" w:eastAsia="zh-CN"/>
        </w:rPr>
      </w:pPr>
    </w:p>
    <w:tbl>
      <w:tblPr>
        <w:tblStyle w:val="23"/>
        <w:tblW w:w="89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890"/>
        <w:gridCol w:w="945"/>
        <w:gridCol w:w="870"/>
        <w:gridCol w:w="1005"/>
        <w:gridCol w:w="1725"/>
        <w:gridCol w:w="1020"/>
        <w:gridCol w:w="1530"/>
      </w:tblGrid>
      <w:tr w14:paraId="1B110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Align w:val="center"/>
          </w:tcPr>
          <w:p w14:paraId="267B7FEE">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系统名称</w:t>
            </w:r>
          </w:p>
        </w:tc>
        <w:tc>
          <w:tcPr>
            <w:tcW w:w="890" w:type="dxa"/>
            <w:vAlign w:val="center"/>
          </w:tcPr>
          <w:p w14:paraId="30A3A619">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系统主要材质</w:t>
            </w:r>
          </w:p>
        </w:tc>
        <w:tc>
          <w:tcPr>
            <w:tcW w:w="945" w:type="dxa"/>
            <w:vAlign w:val="center"/>
          </w:tcPr>
          <w:p w14:paraId="3386E1C9">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保有水量（预估）</w:t>
            </w:r>
          </w:p>
        </w:tc>
        <w:tc>
          <w:tcPr>
            <w:tcW w:w="870" w:type="dxa"/>
            <w:vAlign w:val="center"/>
          </w:tcPr>
          <w:p w14:paraId="0F5A1370">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冷却</w:t>
            </w:r>
            <w:r>
              <w:rPr>
                <w:rFonts w:hint="eastAsia" w:ascii="宋体" w:hAnsi="宋体" w:eastAsia="宋体" w:cs="宋体"/>
                <w:b w:val="0"/>
                <w:bCs w:val="0"/>
                <w:color w:val="auto"/>
                <w:sz w:val="21"/>
                <w:szCs w:val="21"/>
                <w:highlight w:val="none"/>
              </w:rPr>
              <w:t>水泵台数</w:t>
            </w:r>
          </w:p>
        </w:tc>
        <w:tc>
          <w:tcPr>
            <w:tcW w:w="1005" w:type="dxa"/>
            <w:vAlign w:val="center"/>
          </w:tcPr>
          <w:p w14:paraId="29263E19">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单台水泵循环量</w:t>
            </w:r>
          </w:p>
        </w:tc>
        <w:tc>
          <w:tcPr>
            <w:tcW w:w="1725" w:type="dxa"/>
            <w:vAlign w:val="center"/>
          </w:tcPr>
          <w:p w14:paraId="047462B6">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制冷主机</w:t>
            </w:r>
          </w:p>
        </w:tc>
        <w:tc>
          <w:tcPr>
            <w:tcW w:w="1020" w:type="dxa"/>
            <w:vAlign w:val="center"/>
          </w:tcPr>
          <w:p w14:paraId="487E385C">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冷却塔品牌型号</w:t>
            </w:r>
          </w:p>
        </w:tc>
        <w:tc>
          <w:tcPr>
            <w:tcW w:w="1530" w:type="dxa"/>
            <w:vAlign w:val="center"/>
          </w:tcPr>
          <w:p w14:paraId="1FC3433F">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加药装置</w:t>
            </w:r>
          </w:p>
        </w:tc>
      </w:tr>
      <w:tr w14:paraId="5647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Merge w:val="restart"/>
            <w:vAlign w:val="center"/>
          </w:tcPr>
          <w:p w14:paraId="7061FC3A">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A栋冷却水系统</w:t>
            </w:r>
          </w:p>
        </w:tc>
        <w:tc>
          <w:tcPr>
            <w:tcW w:w="890" w:type="dxa"/>
            <w:vAlign w:val="center"/>
          </w:tcPr>
          <w:p w14:paraId="59E52181">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碳钢、铜</w:t>
            </w:r>
          </w:p>
        </w:tc>
        <w:tc>
          <w:tcPr>
            <w:tcW w:w="945" w:type="dxa"/>
            <w:vAlign w:val="center"/>
          </w:tcPr>
          <w:p w14:paraId="2384EC6E">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40m³</w:t>
            </w:r>
          </w:p>
        </w:tc>
        <w:tc>
          <w:tcPr>
            <w:tcW w:w="870" w:type="dxa"/>
            <w:vAlign w:val="center"/>
          </w:tcPr>
          <w:p w14:paraId="6FF4AFA4">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1005" w:type="dxa"/>
            <w:vAlign w:val="center"/>
          </w:tcPr>
          <w:p w14:paraId="39DB1EF9">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180m³/h</w:t>
            </w:r>
          </w:p>
        </w:tc>
        <w:tc>
          <w:tcPr>
            <w:tcW w:w="1725" w:type="dxa"/>
            <w:vAlign w:val="center"/>
          </w:tcPr>
          <w:p w14:paraId="0980ABC9">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r>
              <w:rPr>
                <w:rFonts w:hint="eastAsia" w:ascii="宋体" w:hAnsi="宋体" w:eastAsia="宋体" w:cs="宋体"/>
                <w:b w:val="0"/>
                <w:bCs w:val="0"/>
                <w:color w:val="auto"/>
                <w:sz w:val="21"/>
                <w:szCs w:val="21"/>
                <w:highlight w:val="none"/>
              </w:rPr>
              <w:t>500</w:t>
            </w:r>
            <w:r>
              <w:rPr>
                <w:rFonts w:hint="eastAsia" w:ascii="宋体" w:hAnsi="宋体" w:eastAsia="宋体" w:cs="宋体"/>
                <w:b w:val="0"/>
                <w:bCs w:val="0"/>
                <w:color w:val="auto"/>
                <w:sz w:val="21"/>
                <w:szCs w:val="21"/>
                <w:highlight w:val="none"/>
                <w:lang w:val="en-US" w:eastAsia="zh-CN"/>
              </w:rPr>
              <w:t>冷吨，1台</w:t>
            </w:r>
            <w:r>
              <w:rPr>
                <w:rFonts w:hint="eastAsia" w:ascii="宋体" w:hAnsi="宋体" w:eastAsia="宋体" w:cs="宋体"/>
                <w:b w:val="0"/>
                <w:bCs w:val="0"/>
                <w:color w:val="auto"/>
                <w:sz w:val="21"/>
                <w:szCs w:val="21"/>
                <w:highlight w:val="none"/>
              </w:rPr>
              <w:t>200冷吨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配胶球在线清洗装置</w:t>
            </w:r>
          </w:p>
        </w:tc>
        <w:tc>
          <w:tcPr>
            <w:tcW w:w="1020" w:type="dxa"/>
            <w:vAlign w:val="center"/>
          </w:tcPr>
          <w:p w14:paraId="39D771BE">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斯频徳：KG-SDL301-D</w:t>
            </w:r>
          </w:p>
        </w:tc>
        <w:tc>
          <w:tcPr>
            <w:tcW w:w="1530" w:type="dxa"/>
            <w:vAlign w:val="center"/>
          </w:tcPr>
          <w:p w14:paraId="6A7A3763">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1套双桶（100L/桶）自动加药装置</w:t>
            </w:r>
          </w:p>
        </w:tc>
      </w:tr>
      <w:tr w14:paraId="0C74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Merge w:val="continue"/>
            <w:vAlign w:val="center"/>
          </w:tcPr>
          <w:p w14:paraId="566B0340">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2915538B">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冷却塔数量</w:t>
            </w:r>
          </w:p>
        </w:tc>
        <w:tc>
          <w:tcPr>
            <w:tcW w:w="945" w:type="dxa"/>
            <w:vAlign w:val="center"/>
          </w:tcPr>
          <w:p w14:paraId="3BA89831">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单台</w:t>
            </w:r>
            <w:r>
              <w:rPr>
                <w:rFonts w:hint="eastAsia" w:ascii="宋体" w:hAnsi="宋体" w:eastAsia="宋体" w:cs="宋体"/>
                <w:b w:val="0"/>
                <w:bCs w:val="0"/>
                <w:color w:val="auto"/>
                <w:sz w:val="21"/>
                <w:szCs w:val="21"/>
                <w:highlight w:val="none"/>
              </w:rPr>
              <w:t>冷却塔流量</w:t>
            </w:r>
          </w:p>
        </w:tc>
        <w:tc>
          <w:tcPr>
            <w:tcW w:w="870" w:type="dxa"/>
            <w:vAlign w:val="center"/>
          </w:tcPr>
          <w:p w14:paraId="0B6EC5D7">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冷却塔类型</w:t>
            </w:r>
          </w:p>
        </w:tc>
        <w:tc>
          <w:tcPr>
            <w:tcW w:w="1005" w:type="dxa"/>
            <w:vAlign w:val="center"/>
          </w:tcPr>
          <w:p w14:paraId="0D3406A5">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补水方式</w:t>
            </w:r>
          </w:p>
        </w:tc>
        <w:tc>
          <w:tcPr>
            <w:tcW w:w="1725" w:type="dxa"/>
            <w:vAlign w:val="center"/>
          </w:tcPr>
          <w:p w14:paraId="5DE4D788">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补水水质</w:t>
            </w:r>
          </w:p>
        </w:tc>
        <w:tc>
          <w:tcPr>
            <w:tcW w:w="1020" w:type="dxa"/>
            <w:vAlign w:val="center"/>
          </w:tcPr>
          <w:p w14:paraId="1AEC4AC0">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冷却塔安装位置</w:t>
            </w:r>
          </w:p>
        </w:tc>
        <w:tc>
          <w:tcPr>
            <w:tcW w:w="1530" w:type="dxa"/>
            <w:vAlign w:val="center"/>
          </w:tcPr>
          <w:p w14:paraId="13045DF6">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安装位置</w:t>
            </w:r>
          </w:p>
        </w:tc>
      </w:tr>
      <w:tr w14:paraId="436E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Merge w:val="continue"/>
            <w:vAlign w:val="center"/>
          </w:tcPr>
          <w:p w14:paraId="2243690F">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3A043435">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945" w:type="dxa"/>
            <w:vAlign w:val="center"/>
          </w:tcPr>
          <w:p w14:paraId="00723353">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165 m³/h</w:t>
            </w:r>
          </w:p>
        </w:tc>
        <w:tc>
          <w:tcPr>
            <w:tcW w:w="870" w:type="dxa"/>
            <w:vAlign w:val="center"/>
          </w:tcPr>
          <w:p w14:paraId="6C6940FD">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玻璃钢</w:t>
            </w:r>
            <w:r>
              <w:rPr>
                <w:rFonts w:hint="eastAsia" w:ascii="宋体" w:hAnsi="宋体" w:eastAsia="宋体" w:cs="宋体"/>
                <w:b w:val="0"/>
                <w:bCs w:val="0"/>
                <w:color w:val="auto"/>
                <w:sz w:val="21"/>
                <w:szCs w:val="21"/>
                <w:highlight w:val="none"/>
              </w:rPr>
              <w:t>横流冷却塔</w:t>
            </w:r>
          </w:p>
        </w:tc>
        <w:tc>
          <w:tcPr>
            <w:tcW w:w="1005" w:type="dxa"/>
            <w:vAlign w:val="center"/>
          </w:tcPr>
          <w:p w14:paraId="72FA412B">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自动补水</w:t>
            </w:r>
          </w:p>
        </w:tc>
        <w:tc>
          <w:tcPr>
            <w:tcW w:w="1725" w:type="dxa"/>
            <w:vAlign w:val="center"/>
          </w:tcPr>
          <w:p w14:paraId="4B166D67">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自来水</w:t>
            </w:r>
          </w:p>
        </w:tc>
        <w:tc>
          <w:tcPr>
            <w:tcW w:w="1020" w:type="dxa"/>
            <w:vAlign w:val="center"/>
          </w:tcPr>
          <w:p w14:paraId="788671F7">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A栋12层天面</w:t>
            </w:r>
          </w:p>
        </w:tc>
        <w:tc>
          <w:tcPr>
            <w:tcW w:w="1530" w:type="dxa"/>
            <w:vAlign w:val="center"/>
          </w:tcPr>
          <w:p w14:paraId="71B705AC">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主机、水泵、加药装置安装于负二机房</w:t>
            </w:r>
          </w:p>
        </w:tc>
      </w:tr>
      <w:tr w14:paraId="01BB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Align w:val="center"/>
          </w:tcPr>
          <w:p w14:paraId="4510D6C0">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系统名称</w:t>
            </w:r>
          </w:p>
        </w:tc>
        <w:tc>
          <w:tcPr>
            <w:tcW w:w="890" w:type="dxa"/>
            <w:vAlign w:val="center"/>
          </w:tcPr>
          <w:p w14:paraId="778F90F4">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系统主要材质</w:t>
            </w:r>
          </w:p>
        </w:tc>
        <w:tc>
          <w:tcPr>
            <w:tcW w:w="945" w:type="dxa"/>
            <w:vAlign w:val="center"/>
          </w:tcPr>
          <w:p w14:paraId="50895716">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保有水量（预估）</w:t>
            </w:r>
          </w:p>
        </w:tc>
        <w:tc>
          <w:tcPr>
            <w:tcW w:w="870" w:type="dxa"/>
            <w:vAlign w:val="center"/>
          </w:tcPr>
          <w:p w14:paraId="47AB8379">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冷却</w:t>
            </w:r>
            <w:r>
              <w:rPr>
                <w:rFonts w:hint="eastAsia" w:ascii="宋体" w:hAnsi="宋体" w:eastAsia="宋体" w:cs="宋体"/>
                <w:b w:val="0"/>
                <w:bCs w:val="0"/>
                <w:color w:val="auto"/>
                <w:sz w:val="21"/>
                <w:szCs w:val="21"/>
                <w:highlight w:val="none"/>
              </w:rPr>
              <w:t>水泵台数</w:t>
            </w:r>
          </w:p>
        </w:tc>
        <w:tc>
          <w:tcPr>
            <w:tcW w:w="1005" w:type="dxa"/>
            <w:vAlign w:val="center"/>
          </w:tcPr>
          <w:p w14:paraId="726CF272">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单台水泵循环量</w:t>
            </w:r>
          </w:p>
        </w:tc>
        <w:tc>
          <w:tcPr>
            <w:tcW w:w="1725" w:type="dxa"/>
            <w:vAlign w:val="center"/>
          </w:tcPr>
          <w:p w14:paraId="4D9D17CE">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制冷主机</w:t>
            </w:r>
          </w:p>
        </w:tc>
        <w:tc>
          <w:tcPr>
            <w:tcW w:w="1020" w:type="dxa"/>
            <w:vAlign w:val="center"/>
          </w:tcPr>
          <w:p w14:paraId="528800AF">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冷却塔品牌型号</w:t>
            </w:r>
          </w:p>
        </w:tc>
        <w:tc>
          <w:tcPr>
            <w:tcW w:w="1530" w:type="dxa"/>
            <w:vAlign w:val="center"/>
          </w:tcPr>
          <w:p w14:paraId="690582DB">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加药装置</w:t>
            </w:r>
          </w:p>
        </w:tc>
      </w:tr>
      <w:tr w14:paraId="7436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Merge w:val="restart"/>
            <w:vAlign w:val="center"/>
          </w:tcPr>
          <w:p w14:paraId="7B8AC569">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B</w:t>
            </w:r>
            <w:r>
              <w:rPr>
                <w:rFonts w:hint="eastAsia" w:ascii="宋体" w:hAnsi="宋体" w:eastAsia="宋体" w:cs="宋体"/>
                <w:b w:val="0"/>
                <w:bCs w:val="0"/>
                <w:color w:val="auto"/>
                <w:sz w:val="21"/>
                <w:szCs w:val="21"/>
                <w:highlight w:val="none"/>
              </w:rPr>
              <w:t>栋冷却水系统</w:t>
            </w:r>
          </w:p>
        </w:tc>
        <w:tc>
          <w:tcPr>
            <w:tcW w:w="890" w:type="dxa"/>
            <w:vAlign w:val="center"/>
          </w:tcPr>
          <w:p w14:paraId="7DDCD1B4">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碳钢、铜</w:t>
            </w:r>
          </w:p>
        </w:tc>
        <w:tc>
          <w:tcPr>
            <w:tcW w:w="945" w:type="dxa"/>
            <w:vAlign w:val="center"/>
          </w:tcPr>
          <w:p w14:paraId="24FB5BC6">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0m³</w:t>
            </w:r>
          </w:p>
        </w:tc>
        <w:tc>
          <w:tcPr>
            <w:tcW w:w="870" w:type="dxa"/>
            <w:vAlign w:val="center"/>
          </w:tcPr>
          <w:p w14:paraId="4D48320D">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1005" w:type="dxa"/>
            <w:vAlign w:val="center"/>
          </w:tcPr>
          <w:p w14:paraId="6A1B3BA3">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180m³/h</w:t>
            </w:r>
          </w:p>
        </w:tc>
        <w:tc>
          <w:tcPr>
            <w:tcW w:w="1725" w:type="dxa"/>
            <w:vAlign w:val="center"/>
          </w:tcPr>
          <w:p w14:paraId="3695C54E">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r>
              <w:rPr>
                <w:rFonts w:hint="eastAsia" w:ascii="宋体" w:hAnsi="宋体" w:eastAsia="宋体" w:cs="宋体"/>
                <w:b w:val="0"/>
                <w:bCs w:val="0"/>
                <w:color w:val="auto"/>
                <w:sz w:val="21"/>
                <w:szCs w:val="21"/>
                <w:highlight w:val="none"/>
              </w:rPr>
              <w:t>500</w:t>
            </w:r>
            <w:r>
              <w:rPr>
                <w:rFonts w:hint="eastAsia" w:ascii="宋体" w:hAnsi="宋体" w:eastAsia="宋体" w:cs="宋体"/>
                <w:b w:val="0"/>
                <w:bCs w:val="0"/>
                <w:color w:val="auto"/>
                <w:sz w:val="21"/>
                <w:szCs w:val="21"/>
                <w:highlight w:val="none"/>
                <w:lang w:val="en-US" w:eastAsia="zh-CN"/>
              </w:rPr>
              <w:t>冷吨，1台</w:t>
            </w:r>
            <w:r>
              <w:rPr>
                <w:rFonts w:hint="eastAsia" w:ascii="宋体" w:hAnsi="宋体" w:eastAsia="宋体" w:cs="宋体"/>
                <w:b w:val="0"/>
                <w:bCs w:val="0"/>
                <w:color w:val="auto"/>
                <w:sz w:val="21"/>
                <w:szCs w:val="21"/>
                <w:highlight w:val="none"/>
              </w:rPr>
              <w:t>200冷吨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配胶球在线清洗装置</w:t>
            </w:r>
          </w:p>
        </w:tc>
        <w:tc>
          <w:tcPr>
            <w:tcW w:w="1020" w:type="dxa"/>
            <w:vAlign w:val="center"/>
          </w:tcPr>
          <w:p w14:paraId="3A2ADC04">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斯频徳：KG-SDL301-D</w:t>
            </w:r>
          </w:p>
        </w:tc>
        <w:tc>
          <w:tcPr>
            <w:tcW w:w="1530" w:type="dxa"/>
            <w:vAlign w:val="center"/>
          </w:tcPr>
          <w:p w14:paraId="5B97FC35">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1套双桶（100L/桶）自动加药装置</w:t>
            </w:r>
          </w:p>
        </w:tc>
      </w:tr>
      <w:tr w14:paraId="2B39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Merge w:val="continue"/>
            <w:vAlign w:val="center"/>
          </w:tcPr>
          <w:p w14:paraId="080353F4">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672F73A4">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冷却塔数量</w:t>
            </w:r>
          </w:p>
        </w:tc>
        <w:tc>
          <w:tcPr>
            <w:tcW w:w="945" w:type="dxa"/>
            <w:vAlign w:val="center"/>
          </w:tcPr>
          <w:p w14:paraId="3F54BD9F">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单台</w:t>
            </w:r>
            <w:r>
              <w:rPr>
                <w:rFonts w:hint="eastAsia" w:ascii="宋体" w:hAnsi="宋体" w:eastAsia="宋体" w:cs="宋体"/>
                <w:b w:val="0"/>
                <w:bCs w:val="0"/>
                <w:color w:val="auto"/>
                <w:sz w:val="21"/>
                <w:szCs w:val="21"/>
                <w:highlight w:val="none"/>
              </w:rPr>
              <w:t>冷却塔流量</w:t>
            </w:r>
          </w:p>
        </w:tc>
        <w:tc>
          <w:tcPr>
            <w:tcW w:w="870" w:type="dxa"/>
            <w:vAlign w:val="center"/>
          </w:tcPr>
          <w:p w14:paraId="6C9DF663">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冷却塔类型</w:t>
            </w:r>
          </w:p>
        </w:tc>
        <w:tc>
          <w:tcPr>
            <w:tcW w:w="1005" w:type="dxa"/>
            <w:vAlign w:val="center"/>
          </w:tcPr>
          <w:p w14:paraId="118C31D8">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补水方式</w:t>
            </w:r>
          </w:p>
        </w:tc>
        <w:tc>
          <w:tcPr>
            <w:tcW w:w="1725" w:type="dxa"/>
            <w:vAlign w:val="center"/>
          </w:tcPr>
          <w:p w14:paraId="19A2BE1B">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补水水质</w:t>
            </w:r>
          </w:p>
        </w:tc>
        <w:tc>
          <w:tcPr>
            <w:tcW w:w="1020" w:type="dxa"/>
            <w:vAlign w:val="center"/>
          </w:tcPr>
          <w:p w14:paraId="012D3897">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冷却塔安装位置</w:t>
            </w:r>
          </w:p>
        </w:tc>
        <w:tc>
          <w:tcPr>
            <w:tcW w:w="1530" w:type="dxa"/>
            <w:vAlign w:val="center"/>
          </w:tcPr>
          <w:p w14:paraId="1AF2B71D">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安装位置</w:t>
            </w:r>
          </w:p>
        </w:tc>
      </w:tr>
      <w:tr w14:paraId="5350F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Merge w:val="continue"/>
            <w:vAlign w:val="center"/>
          </w:tcPr>
          <w:p w14:paraId="641B87BE">
            <w:pPr>
              <w:pStyle w:val="11"/>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0FAF769F">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945" w:type="dxa"/>
            <w:vAlign w:val="center"/>
          </w:tcPr>
          <w:p w14:paraId="40308D16">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165 m³/h</w:t>
            </w:r>
          </w:p>
        </w:tc>
        <w:tc>
          <w:tcPr>
            <w:tcW w:w="870" w:type="dxa"/>
            <w:vAlign w:val="center"/>
          </w:tcPr>
          <w:p w14:paraId="6028E652">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玻璃钢</w:t>
            </w:r>
            <w:r>
              <w:rPr>
                <w:rFonts w:hint="eastAsia" w:ascii="宋体" w:hAnsi="宋体" w:eastAsia="宋体" w:cs="宋体"/>
                <w:b w:val="0"/>
                <w:bCs w:val="0"/>
                <w:color w:val="auto"/>
                <w:sz w:val="21"/>
                <w:szCs w:val="21"/>
                <w:highlight w:val="none"/>
              </w:rPr>
              <w:t>横流冷却塔</w:t>
            </w:r>
          </w:p>
        </w:tc>
        <w:tc>
          <w:tcPr>
            <w:tcW w:w="1005" w:type="dxa"/>
            <w:vAlign w:val="center"/>
          </w:tcPr>
          <w:p w14:paraId="19577A1E">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自动补水</w:t>
            </w:r>
          </w:p>
        </w:tc>
        <w:tc>
          <w:tcPr>
            <w:tcW w:w="1725" w:type="dxa"/>
            <w:vAlign w:val="center"/>
          </w:tcPr>
          <w:p w14:paraId="286ACDDE">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自来水</w:t>
            </w:r>
          </w:p>
        </w:tc>
        <w:tc>
          <w:tcPr>
            <w:tcW w:w="1020" w:type="dxa"/>
            <w:vAlign w:val="center"/>
          </w:tcPr>
          <w:p w14:paraId="18D9546D">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B栋19层天面</w:t>
            </w:r>
          </w:p>
        </w:tc>
        <w:tc>
          <w:tcPr>
            <w:tcW w:w="1530" w:type="dxa"/>
            <w:vAlign w:val="center"/>
          </w:tcPr>
          <w:p w14:paraId="256353EB">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主机、水泵、加药装置安装于负二机房</w:t>
            </w:r>
          </w:p>
        </w:tc>
      </w:tr>
    </w:tbl>
    <w:p w14:paraId="0C9C09A9">
      <w:pPr>
        <w:pStyle w:val="11"/>
        <w:numPr>
          <w:ilvl w:val="-1"/>
          <w:numId w:val="0"/>
        </w:numPr>
        <w:spacing w:line="360" w:lineRule="auto"/>
        <w:ind w:leftChars="200" w:firstLine="0" w:firstLineChars="0"/>
        <w:rPr>
          <w:rFonts w:hint="eastAsia" w:ascii="宋体" w:hAnsi="宋体" w:eastAsia="宋体" w:cs="宋体"/>
          <w:b w:val="0"/>
          <w:bCs w:val="0"/>
          <w:color w:val="auto"/>
          <w:sz w:val="21"/>
          <w:szCs w:val="21"/>
          <w:highlight w:val="none"/>
          <w:lang w:val="en-US" w:eastAsia="zh-CN"/>
        </w:rPr>
      </w:pPr>
    </w:p>
    <w:p w14:paraId="56F80303">
      <w:pPr>
        <w:pStyle w:val="11"/>
        <w:numPr>
          <w:ilvl w:val="0"/>
          <w:numId w:val="2"/>
        </w:numPr>
        <w:spacing w:line="360" w:lineRule="auto"/>
        <w:ind w:firstLine="56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冷冻水系统采用一套闭式循环系统，主要供冷时间每年4-12月，主要供暖时间（仅酒店区域）每年12-3月，供暖时间冷冻水系统运行。</w:t>
      </w:r>
    </w:p>
    <w:tbl>
      <w:tblPr>
        <w:tblStyle w:val="2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215"/>
        <w:gridCol w:w="1335"/>
        <w:gridCol w:w="1830"/>
        <w:gridCol w:w="1125"/>
        <w:gridCol w:w="990"/>
        <w:gridCol w:w="1058"/>
      </w:tblGrid>
      <w:tr w14:paraId="5B85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Merge w:val="restart"/>
            <w:vAlign w:val="center"/>
          </w:tcPr>
          <w:p w14:paraId="1EA0E779">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冷冻水系统</w:t>
            </w:r>
          </w:p>
        </w:tc>
        <w:tc>
          <w:tcPr>
            <w:tcW w:w="1215" w:type="dxa"/>
            <w:vAlign w:val="center"/>
          </w:tcPr>
          <w:p w14:paraId="3E327C74">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循环方式</w:t>
            </w:r>
          </w:p>
        </w:tc>
        <w:tc>
          <w:tcPr>
            <w:tcW w:w="1335" w:type="dxa"/>
            <w:vAlign w:val="center"/>
          </w:tcPr>
          <w:p w14:paraId="43E96D72">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运行方式</w:t>
            </w:r>
          </w:p>
        </w:tc>
        <w:tc>
          <w:tcPr>
            <w:tcW w:w="1830" w:type="dxa"/>
            <w:vAlign w:val="center"/>
          </w:tcPr>
          <w:p w14:paraId="4F4A0D21">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加药装置</w:t>
            </w:r>
          </w:p>
        </w:tc>
        <w:tc>
          <w:tcPr>
            <w:tcW w:w="1125" w:type="dxa"/>
            <w:vAlign w:val="center"/>
          </w:tcPr>
          <w:p w14:paraId="113453BC">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运行方式</w:t>
            </w:r>
          </w:p>
        </w:tc>
        <w:tc>
          <w:tcPr>
            <w:tcW w:w="990" w:type="dxa"/>
            <w:vAlign w:val="center"/>
          </w:tcPr>
          <w:p w14:paraId="6F342587">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补水水源</w:t>
            </w:r>
          </w:p>
        </w:tc>
        <w:tc>
          <w:tcPr>
            <w:tcW w:w="1058" w:type="dxa"/>
            <w:vAlign w:val="center"/>
          </w:tcPr>
          <w:p w14:paraId="55000E4F">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保有水量（预估）</w:t>
            </w:r>
          </w:p>
        </w:tc>
      </w:tr>
      <w:tr w14:paraId="3FE0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dxa"/>
            <w:vMerge w:val="continue"/>
          </w:tcPr>
          <w:p w14:paraId="73092201">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p>
        </w:tc>
        <w:tc>
          <w:tcPr>
            <w:tcW w:w="1215" w:type="dxa"/>
            <w:vAlign w:val="center"/>
          </w:tcPr>
          <w:p w14:paraId="2ED8F08D">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闭式循环</w:t>
            </w:r>
          </w:p>
        </w:tc>
        <w:tc>
          <w:tcPr>
            <w:tcW w:w="1335" w:type="dxa"/>
            <w:vAlign w:val="center"/>
          </w:tcPr>
          <w:p w14:paraId="0F9233D8">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夏季供冷、冬季供暖</w:t>
            </w:r>
          </w:p>
        </w:tc>
        <w:tc>
          <w:tcPr>
            <w:tcW w:w="1830" w:type="dxa"/>
            <w:vAlign w:val="center"/>
          </w:tcPr>
          <w:p w14:paraId="638C7B9E">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2套单桶（200L/桶）自动加药装置</w:t>
            </w:r>
          </w:p>
        </w:tc>
        <w:tc>
          <w:tcPr>
            <w:tcW w:w="1125" w:type="dxa"/>
            <w:vAlign w:val="center"/>
          </w:tcPr>
          <w:p w14:paraId="7E13B603">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直供方式供冷</w:t>
            </w:r>
          </w:p>
        </w:tc>
        <w:tc>
          <w:tcPr>
            <w:tcW w:w="990" w:type="dxa"/>
            <w:vAlign w:val="center"/>
          </w:tcPr>
          <w:p w14:paraId="38309DC6">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自来水</w:t>
            </w:r>
          </w:p>
        </w:tc>
        <w:tc>
          <w:tcPr>
            <w:tcW w:w="1058" w:type="dxa"/>
            <w:vAlign w:val="center"/>
          </w:tcPr>
          <w:p w14:paraId="73A1BC2A">
            <w:pPr>
              <w:pStyle w:val="11"/>
              <w:keepNext w:val="0"/>
              <w:keepLines w:val="0"/>
              <w:suppressLineNumbers w:val="0"/>
              <w:spacing w:before="0" w:beforeAutospacing="0" w:after="0" w:afterAutospacing="0" w:line="36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80</w:t>
            </w:r>
          </w:p>
        </w:tc>
      </w:tr>
    </w:tbl>
    <w:p w14:paraId="4475EF41">
      <w:pPr>
        <w:pStyle w:val="6"/>
        <w:spacing w:line="360" w:lineRule="auto"/>
        <w:ind w:firstLine="0"/>
        <w:rPr>
          <w:rFonts w:hint="eastAsia" w:ascii="宋体" w:hAnsi="宋体" w:eastAsia="宋体" w:cs="宋体"/>
          <w:szCs w:val="21"/>
          <w:lang w:val="en-US"/>
        </w:rPr>
      </w:pPr>
    </w:p>
    <w:p w14:paraId="7A8D26DD">
      <w:pPr>
        <w:numPr>
          <w:ilvl w:val="0"/>
          <w:numId w:val="0"/>
        </w:numPr>
        <w:spacing w:before="120" w:beforeLines="50" w:after="120" w:afterLines="50" w:line="360" w:lineRule="auto"/>
        <w:ind w:left="0" w:firstLine="422" w:firstLineChars="200"/>
        <w:rPr>
          <w:rFonts w:hint="eastAsia" w:ascii="宋体" w:hAnsi="宋体" w:eastAsia="宋体" w:cs="宋体"/>
          <w:b/>
          <w:bCs/>
          <w:sz w:val="21"/>
          <w:szCs w:val="21"/>
        </w:rPr>
      </w:pPr>
      <w:r>
        <w:rPr>
          <w:rFonts w:hint="eastAsia" w:ascii="宋体" w:hAnsi="宋体" w:eastAsia="宋体" w:cs="宋体"/>
          <w:b/>
          <w:bCs/>
          <w:kern w:val="2"/>
          <w:sz w:val="21"/>
          <w:szCs w:val="21"/>
          <w:lang w:val="en-US" w:eastAsia="zh-CN" w:bidi="ar-SA"/>
        </w:rPr>
        <w:t>四、</w:t>
      </w:r>
      <w:r>
        <w:rPr>
          <w:rFonts w:hint="eastAsia" w:ascii="宋体" w:hAnsi="宋体" w:eastAsia="宋体" w:cs="宋体"/>
          <w:b/>
          <w:bCs/>
          <w:sz w:val="21"/>
          <w:szCs w:val="21"/>
        </w:rPr>
        <w:t>项目工作</w:t>
      </w:r>
      <w:r>
        <w:rPr>
          <w:rFonts w:hint="eastAsia" w:ascii="宋体" w:hAnsi="宋体" w:eastAsia="宋体" w:cs="宋体"/>
          <w:b/>
          <w:bCs/>
          <w:sz w:val="21"/>
          <w:szCs w:val="21"/>
          <w:lang w:val="en-US" w:eastAsia="zh-CN"/>
        </w:rPr>
        <w:t>内容及要求</w:t>
      </w:r>
    </w:p>
    <w:p w14:paraId="560A31D7">
      <w:pPr>
        <w:pStyle w:val="1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需为保盈项目中央空调系统的冷冻水系统、A冷却水系统、B冷却水系统提供全面的年度水质处理与维护服务，包括但不限于以下内容：</w:t>
      </w:r>
    </w:p>
    <w:p w14:paraId="71C72BA6">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水质检测与分析：</w:t>
      </w:r>
    </w:p>
    <w:p w14:paraId="2A9E5D78">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每月对冷冻水系统、A冷却水系统、B冷却水系统、补充水（自来水）进行现场采样。</w:t>
      </w:r>
    </w:p>
    <w:p w14:paraId="7DC61813">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对水样进行关键指标实验室分析，具体项目及频次详见表1。</w:t>
      </w:r>
    </w:p>
    <w:p w14:paraId="519E4527">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表</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1</w:t>
      </w:r>
      <w:r>
        <w:rPr>
          <w:rStyle w:val="25"/>
          <w:rFonts w:hint="eastAsia" w:ascii="宋体" w:hAnsi="宋体" w:eastAsia="宋体" w:cs="宋体"/>
          <w:b w:val="0"/>
          <w:bCs w:val="0"/>
          <w:i w:val="0"/>
          <w:caps w:val="0"/>
          <w:color w:val="auto"/>
          <w:spacing w:val="0"/>
          <w:sz w:val="21"/>
          <w:szCs w:val="21"/>
          <w:highlight w:val="none"/>
          <w:shd w:val="clear" w:fill="FFFFFF"/>
        </w:rPr>
        <w:t>：</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月度</w:t>
      </w:r>
      <w:r>
        <w:rPr>
          <w:rStyle w:val="25"/>
          <w:rFonts w:hint="eastAsia" w:ascii="宋体" w:hAnsi="宋体" w:eastAsia="宋体" w:cs="宋体"/>
          <w:b w:val="0"/>
          <w:bCs w:val="0"/>
          <w:i w:val="0"/>
          <w:caps w:val="0"/>
          <w:color w:val="auto"/>
          <w:spacing w:val="0"/>
          <w:sz w:val="21"/>
          <w:szCs w:val="21"/>
          <w:highlight w:val="none"/>
          <w:shd w:val="clear" w:fill="FFFFFF"/>
        </w:rPr>
        <w:t>水质测试项目</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指标</w:t>
      </w:r>
      <w:r>
        <w:rPr>
          <w:rStyle w:val="25"/>
          <w:rFonts w:hint="eastAsia" w:ascii="宋体" w:hAnsi="宋体" w:eastAsia="宋体" w:cs="宋体"/>
          <w:b w:val="0"/>
          <w:bCs w:val="0"/>
          <w:i w:val="0"/>
          <w:caps w:val="0"/>
          <w:color w:val="auto"/>
          <w:spacing w:val="0"/>
          <w:sz w:val="21"/>
          <w:szCs w:val="21"/>
          <w:highlight w:val="none"/>
          <w:shd w:val="clear" w:fill="FFFFFF"/>
        </w:rPr>
        <w:t>及频次要求</w:t>
      </w:r>
    </w:p>
    <w:tbl>
      <w:tblPr>
        <w:tblStyle w:val="23"/>
        <w:tblW w:w="6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674"/>
        <w:gridCol w:w="1961"/>
        <w:gridCol w:w="1405"/>
      </w:tblGrid>
      <w:tr w14:paraId="3A1DE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tblHeader/>
          <w:jc w:val="center"/>
        </w:trPr>
        <w:tc>
          <w:tcPr>
            <w:tcW w:w="2674" w:type="dxa"/>
            <w:shd w:val="clear" w:color="auto" w:fill="auto"/>
            <w:vAlign w:val="center"/>
          </w:tcPr>
          <w:p w14:paraId="770AE57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冷却水分析项目</w:t>
            </w:r>
          </w:p>
        </w:tc>
        <w:tc>
          <w:tcPr>
            <w:tcW w:w="1961" w:type="dxa"/>
            <w:shd w:val="clear" w:color="auto" w:fill="auto"/>
            <w:vAlign w:val="center"/>
          </w:tcPr>
          <w:p w14:paraId="61FDDB7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1405" w:type="dxa"/>
            <w:shd w:val="clear" w:color="auto" w:fill="auto"/>
            <w:vAlign w:val="center"/>
          </w:tcPr>
          <w:p w14:paraId="5238B1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r>
      <w:tr w14:paraId="7411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674" w:type="dxa"/>
            <w:shd w:val="clear" w:color="auto" w:fill="auto"/>
            <w:vAlign w:val="center"/>
          </w:tcPr>
          <w:p w14:paraId="451C962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pH值 (25℃)</w:t>
            </w:r>
          </w:p>
        </w:tc>
        <w:tc>
          <w:tcPr>
            <w:tcW w:w="1961" w:type="dxa"/>
            <w:shd w:val="clear" w:color="auto" w:fill="auto"/>
            <w:vAlign w:val="center"/>
          </w:tcPr>
          <w:p w14:paraId="0EAD1BE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7.5 - 9.5</w:t>
            </w:r>
          </w:p>
        </w:tc>
        <w:tc>
          <w:tcPr>
            <w:tcW w:w="1405" w:type="dxa"/>
            <w:shd w:val="clear" w:color="auto" w:fill="auto"/>
            <w:vAlign w:val="center"/>
          </w:tcPr>
          <w:p w14:paraId="4A6EA26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6ED2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2674" w:type="dxa"/>
            <w:shd w:val="clear" w:color="auto" w:fill="auto"/>
            <w:vAlign w:val="center"/>
          </w:tcPr>
          <w:p w14:paraId="76B1207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浊度</w:t>
            </w:r>
          </w:p>
        </w:tc>
        <w:tc>
          <w:tcPr>
            <w:tcW w:w="1961" w:type="dxa"/>
            <w:shd w:val="clear" w:color="auto" w:fill="auto"/>
            <w:vAlign w:val="center"/>
          </w:tcPr>
          <w:p w14:paraId="19327AD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20 NTU</w:t>
            </w:r>
          </w:p>
        </w:tc>
        <w:tc>
          <w:tcPr>
            <w:tcW w:w="1405" w:type="dxa"/>
            <w:shd w:val="clear" w:color="auto" w:fill="auto"/>
            <w:vAlign w:val="center"/>
          </w:tcPr>
          <w:p w14:paraId="6EF8FAB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45B3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jc w:val="center"/>
        </w:trPr>
        <w:tc>
          <w:tcPr>
            <w:tcW w:w="2674" w:type="dxa"/>
            <w:shd w:val="clear" w:color="auto" w:fill="auto"/>
            <w:vAlign w:val="center"/>
          </w:tcPr>
          <w:p w14:paraId="63074D5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电导率</w:t>
            </w:r>
          </w:p>
        </w:tc>
        <w:tc>
          <w:tcPr>
            <w:tcW w:w="1961" w:type="dxa"/>
            <w:shd w:val="clear" w:color="auto" w:fill="auto"/>
            <w:vAlign w:val="center"/>
          </w:tcPr>
          <w:p w14:paraId="1DA3AD9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2300 μS/cm</w:t>
            </w:r>
          </w:p>
        </w:tc>
        <w:tc>
          <w:tcPr>
            <w:tcW w:w="1405" w:type="dxa"/>
            <w:shd w:val="clear" w:color="auto" w:fill="auto"/>
            <w:vAlign w:val="center"/>
          </w:tcPr>
          <w:p w14:paraId="3BCEF24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1BF6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jc w:val="center"/>
        </w:trPr>
        <w:tc>
          <w:tcPr>
            <w:tcW w:w="2674" w:type="dxa"/>
            <w:shd w:val="clear" w:color="auto" w:fill="auto"/>
            <w:vAlign w:val="center"/>
          </w:tcPr>
          <w:p w14:paraId="60C9EF9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总碱度 (以CaCO3计)</w:t>
            </w:r>
          </w:p>
        </w:tc>
        <w:tc>
          <w:tcPr>
            <w:tcW w:w="1961" w:type="dxa"/>
            <w:shd w:val="clear" w:color="auto" w:fill="auto"/>
            <w:vAlign w:val="center"/>
          </w:tcPr>
          <w:p w14:paraId="232D1A7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600 mg/L</w:t>
            </w:r>
          </w:p>
        </w:tc>
        <w:tc>
          <w:tcPr>
            <w:tcW w:w="1405" w:type="dxa"/>
            <w:shd w:val="clear" w:color="auto" w:fill="auto"/>
            <w:vAlign w:val="center"/>
          </w:tcPr>
          <w:p w14:paraId="3320CC5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70FDC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jc w:val="center"/>
        </w:trPr>
        <w:tc>
          <w:tcPr>
            <w:tcW w:w="2674" w:type="dxa"/>
            <w:shd w:val="clear" w:color="auto" w:fill="auto"/>
            <w:vAlign w:val="center"/>
          </w:tcPr>
          <w:p w14:paraId="1219BF8B">
            <w:pPr>
              <w:keepNext w:val="0"/>
              <w:keepLines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钙硬度+总碱度(以CaCO3计)</w:t>
            </w:r>
          </w:p>
        </w:tc>
        <w:tc>
          <w:tcPr>
            <w:tcW w:w="1961" w:type="dxa"/>
            <w:shd w:val="clear" w:color="auto" w:fill="auto"/>
            <w:vAlign w:val="center"/>
          </w:tcPr>
          <w:p w14:paraId="16C62359">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1100 mg/L</w:t>
            </w:r>
          </w:p>
        </w:tc>
        <w:tc>
          <w:tcPr>
            <w:tcW w:w="1405" w:type="dxa"/>
            <w:shd w:val="clear" w:color="auto" w:fill="auto"/>
            <w:vAlign w:val="center"/>
          </w:tcPr>
          <w:p w14:paraId="67BDD911">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1次/月</w:t>
            </w:r>
          </w:p>
        </w:tc>
      </w:tr>
      <w:tr w14:paraId="0D5F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674" w:type="dxa"/>
            <w:shd w:val="clear" w:color="auto" w:fill="auto"/>
            <w:vAlign w:val="center"/>
          </w:tcPr>
          <w:p w14:paraId="5D89AE1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Cl-</w:t>
            </w:r>
          </w:p>
        </w:tc>
        <w:tc>
          <w:tcPr>
            <w:tcW w:w="1961" w:type="dxa"/>
            <w:shd w:val="clear" w:color="auto" w:fill="auto"/>
            <w:vAlign w:val="center"/>
          </w:tcPr>
          <w:p w14:paraId="49886D7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500 mg/L</w:t>
            </w:r>
          </w:p>
        </w:tc>
        <w:tc>
          <w:tcPr>
            <w:tcW w:w="1405" w:type="dxa"/>
            <w:shd w:val="clear" w:color="auto" w:fill="auto"/>
            <w:vAlign w:val="center"/>
          </w:tcPr>
          <w:p w14:paraId="7A182C8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34A3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674" w:type="dxa"/>
            <w:shd w:val="clear" w:color="auto" w:fill="auto"/>
            <w:vAlign w:val="center"/>
          </w:tcPr>
          <w:p w14:paraId="4AE9E69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总铁</w:t>
            </w:r>
          </w:p>
        </w:tc>
        <w:tc>
          <w:tcPr>
            <w:tcW w:w="1961" w:type="dxa"/>
            <w:shd w:val="clear" w:color="auto" w:fill="auto"/>
            <w:vAlign w:val="center"/>
          </w:tcPr>
          <w:p w14:paraId="4B0D183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1405" w:type="dxa"/>
            <w:shd w:val="clear" w:color="auto" w:fill="auto"/>
            <w:vAlign w:val="center"/>
          </w:tcPr>
          <w:p w14:paraId="1CCD18B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74AE2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2674" w:type="dxa"/>
            <w:shd w:val="clear" w:color="auto" w:fill="auto"/>
            <w:vAlign w:val="center"/>
          </w:tcPr>
          <w:p w14:paraId="44C4E41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NH3-Na</w:t>
            </w:r>
          </w:p>
        </w:tc>
        <w:tc>
          <w:tcPr>
            <w:tcW w:w="1961" w:type="dxa"/>
            <w:shd w:val="clear" w:color="auto" w:fill="auto"/>
            <w:vAlign w:val="center"/>
          </w:tcPr>
          <w:p w14:paraId="736E33F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1405" w:type="dxa"/>
            <w:shd w:val="clear" w:color="auto" w:fill="auto"/>
            <w:vAlign w:val="center"/>
          </w:tcPr>
          <w:p w14:paraId="28A1B91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366D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1" w:hRule="atLeast"/>
          <w:tblHeader/>
          <w:jc w:val="center"/>
        </w:trPr>
        <w:tc>
          <w:tcPr>
            <w:tcW w:w="2674" w:type="dxa"/>
            <w:shd w:val="clear" w:color="auto" w:fill="auto"/>
            <w:vAlign w:val="center"/>
          </w:tcPr>
          <w:p w14:paraId="2E33AD1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游离氯</w:t>
            </w:r>
          </w:p>
        </w:tc>
        <w:tc>
          <w:tcPr>
            <w:tcW w:w="1961" w:type="dxa"/>
            <w:shd w:val="clear" w:color="auto" w:fill="auto"/>
            <w:vAlign w:val="center"/>
          </w:tcPr>
          <w:p w14:paraId="4E02B79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0.05-1.0 10 mg/L（循环水总管处）</w:t>
            </w:r>
          </w:p>
        </w:tc>
        <w:tc>
          <w:tcPr>
            <w:tcW w:w="1405" w:type="dxa"/>
            <w:shd w:val="clear" w:color="auto" w:fill="auto"/>
            <w:vAlign w:val="center"/>
          </w:tcPr>
          <w:p w14:paraId="3359FAD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3ED5D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2674" w:type="dxa"/>
            <w:shd w:val="clear" w:color="auto" w:fill="auto"/>
            <w:vAlign w:val="center"/>
          </w:tcPr>
          <w:p w14:paraId="257C891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CODcr</w:t>
            </w:r>
          </w:p>
        </w:tc>
        <w:tc>
          <w:tcPr>
            <w:tcW w:w="1961" w:type="dxa"/>
            <w:shd w:val="clear" w:color="auto" w:fill="auto"/>
            <w:vAlign w:val="center"/>
          </w:tcPr>
          <w:p w14:paraId="7B6E9EE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100 mg/L</w:t>
            </w:r>
          </w:p>
        </w:tc>
        <w:tc>
          <w:tcPr>
            <w:tcW w:w="1405" w:type="dxa"/>
            <w:shd w:val="clear" w:color="auto" w:fill="auto"/>
            <w:vAlign w:val="center"/>
          </w:tcPr>
          <w:p w14:paraId="16EEA1E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5A9F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blHeader/>
          <w:jc w:val="center"/>
        </w:trPr>
        <w:tc>
          <w:tcPr>
            <w:tcW w:w="2674" w:type="dxa"/>
            <w:shd w:val="clear" w:color="auto" w:fill="auto"/>
            <w:vAlign w:val="center"/>
          </w:tcPr>
          <w:p w14:paraId="7FFD306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异养菌总数</w:t>
            </w:r>
          </w:p>
        </w:tc>
        <w:tc>
          <w:tcPr>
            <w:tcW w:w="1961" w:type="dxa"/>
            <w:shd w:val="clear" w:color="auto" w:fill="auto"/>
            <w:vAlign w:val="center"/>
          </w:tcPr>
          <w:p w14:paraId="309CFEF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1×10⁵ 个/mL</w:t>
            </w:r>
          </w:p>
        </w:tc>
        <w:tc>
          <w:tcPr>
            <w:tcW w:w="1405" w:type="dxa"/>
            <w:shd w:val="clear" w:color="auto" w:fill="auto"/>
            <w:vAlign w:val="center"/>
          </w:tcPr>
          <w:p w14:paraId="04FEA8F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4C20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jc w:val="center"/>
        </w:trPr>
        <w:tc>
          <w:tcPr>
            <w:tcW w:w="2674" w:type="dxa"/>
            <w:shd w:val="clear" w:color="auto" w:fill="auto"/>
            <w:vAlign w:val="center"/>
          </w:tcPr>
          <w:p w14:paraId="682A90E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有机磷 (以P计)</w:t>
            </w:r>
          </w:p>
        </w:tc>
        <w:tc>
          <w:tcPr>
            <w:tcW w:w="1961" w:type="dxa"/>
            <w:shd w:val="clear" w:color="auto" w:fill="auto"/>
            <w:vAlign w:val="center"/>
          </w:tcPr>
          <w:p w14:paraId="09B2D98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0.5 mg/L</w:t>
            </w:r>
          </w:p>
        </w:tc>
        <w:tc>
          <w:tcPr>
            <w:tcW w:w="1405" w:type="dxa"/>
            <w:shd w:val="clear" w:color="auto" w:fill="auto"/>
            <w:vAlign w:val="center"/>
          </w:tcPr>
          <w:p w14:paraId="68DCF9E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bl>
    <w:p w14:paraId="02BDA0F3">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宋体" w:hAnsi="宋体" w:eastAsia="宋体" w:cs="宋体"/>
          <w:b w:val="0"/>
          <w:bCs w:val="0"/>
          <w:i w:val="0"/>
          <w:caps w:val="0"/>
          <w:color w:val="auto"/>
          <w:spacing w:val="0"/>
          <w:sz w:val="21"/>
          <w:szCs w:val="21"/>
          <w:highlight w:val="none"/>
          <w:shd w:val="clear" w:fill="FFFFFF"/>
        </w:rPr>
      </w:pPr>
    </w:p>
    <w:p w14:paraId="61984781">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每月提供详细的水质检测报告，包含实际检测数据、标准限值、趋势分析及初步建议。</w:t>
      </w:r>
    </w:p>
    <w:p w14:paraId="63EE84A4">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lang w:val="en-US" w:eastAsia="zh-CN"/>
        </w:rPr>
        <w:t>冷却水系统每半年一次的铜及碳钢腐蚀率的检测，由甲、乙双方一起对挂片进行挂、取并记录挂片编号，最终腐蚀率结果由乙方出具报告。</w:t>
      </w:r>
    </w:p>
    <w:p w14:paraId="44A4F84A">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宋体" w:hAnsi="宋体" w:eastAsia="宋体" w:cs="宋体"/>
          <w:b w:val="0"/>
          <w:bCs w:val="0"/>
          <w:i w:val="0"/>
          <w:caps w:val="0"/>
          <w:color w:val="auto"/>
          <w:spacing w:val="0"/>
          <w:sz w:val="21"/>
          <w:szCs w:val="21"/>
          <w:highlight w:val="none"/>
          <w:shd w:val="clear" w:fill="FFFFFF"/>
          <w:lang w:val="en-US" w:eastAsia="zh-CN"/>
        </w:rPr>
      </w:pPr>
      <w:r>
        <w:rPr>
          <w:rFonts w:hint="eastAsia" w:ascii="宋体" w:hAnsi="宋体" w:eastAsia="宋体" w:cs="宋体"/>
          <w:b w:val="0"/>
          <w:bCs w:val="0"/>
          <w:i w:val="0"/>
          <w:caps w:val="0"/>
          <w:color w:val="auto"/>
          <w:spacing w:val="0"/>
          <w:sz w:val="21"/>
          <w:szCs w:val="21"/>
          <w:highlight w:val="none"/>
          <w:shd w:val="clear" w:fill="FFFFFF"/>
          <w:lang w:val="en-US" w:eastAsia="zh-CN"/>
        </w:rPr>
        <w:t>表2：挂片检测指标及频次</w:t>
      </w:r>
    </w:p>
    <w:tbl>
      <w:tblPr>
        <w:tblStyle w:val="23"/>
        <w:tblW w:w="5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25"/>
        <w:gridCol w:w="1794"/>
        <w:gridCol w:w="1321"/>
      </w:tblGrid>
      <w:tr w14:paraId="68F4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 w:hRule="atLeast"/>
          <w:tblHeader/>
          <w:jc w:val="center"/>
        </w:trPr>
        <w:tc>
          <w:tcPr>
            <w:tcW w:w="2425" w:type="dxa"/>
            <w:shd w:val="clear" w:color="auto" w:fill="auto"/>
            <w:vAlign w:val="center"/>
          </w:tcPr>
          <w:p w14:paraId="14A09DD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项目</w:t>
            </w:r>
          </w:p>
        </w:tc>
        <w:tc>
          <w:tcPr>
            <w:tcW w:w="1794" w:type="dxa"/>
            <w:shd w:val="clear" w:color="auto" w:fill="auto"/>
            <w:vAlign w:val="center"/>
          </w:tcPr>
          <w:p w14:paraId="2CD86A9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1321" w:type="dxa"/>
            <w:shd w:val="clear" w:color="auto" w:fill="auto"/>
            <w:vAlign w:val="center"/>
          </w:tcPr>
          <w:p w14:paraId="4BF44D2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r>
      <w:tr w14:paraId="7D09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blHeader/>
          <w:jc w:val="center"/>
        </w:trPr>
        <w:tc>
          <w:tcPr>
            <w:tcW w:w="2425" w:type="dxa"/>
            <w:shd w:val="clear" w:color="auto" w:fill="auto"/>
            <w:vAlign w:val="center"/>
          </w:tcPr>
          <w:p w14:paraId="2808D2BE">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铜腐蚀率</w:t>
            </w:r>
          </w:p>
        </w:tc>
        <w:tc>
          <w:tcPr>
            <w:tcW w:w="1794" w:type="dxa"/>
            <w:shd w:val="clear" w:color="auto" w:fill="auto"/>
            <w:vAlign w:val="center"/>
          </w:tcPr>
          <w:p w14:paraId="095158F1">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&lt; 0.005 mm/a</w:t>
            </w:r>
          </w:p>
        </w:tc>
        <w:tc>
          <w:tcPr>
            <w:tcW w:w="1321" w:type="dxa"/>
            <w:shd w:val="clear" w:color="auto" w:fill="auto"/>
            <w:vAlign w:val="center"/>
          </w:tcPr>
          <w:p w14:paraId="58CB403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1次/半年</w:t>
            </w:r>
          </w:p>
        </w:tc>
      </w:tr>
      <w:tr w14:paraId="2BFE5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blHeader/>
          <w:jc w:val="center"/>
        </w:trPr>
        <w:tc>
          <w:tcPr>
            <w:tcW w:w="2425" w:type="dxa"/>
            <w:shd w:val="clear" w:color="auto" w:fill="auto"/>
            <w:vAlign w:val="center"/>
          </w:tcPr>
          <w:p w14:paraId="7D6A39DC">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碳钢腐蚀率</w:t>
            </w:r>
          </w:p>
        </w:tc>
        <w:tc>
          <w:tcPr>
            <w:tcW w:w="1794" w:type="dxa"/>
            <w:shd w:val="clear" w:color="auto" w:fill="auto"/>
            <w:vAlign w:val="center"/>
          </w:tcPr>
          <w:p w14:paraId="3973FD4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&lt; 0.075 mm/a</w:t>
            </w:r>
          </w:p>
        </w:tc>
        <w:tc>
          <w:tcPr>
            <w:tcW w:w="1321" w:type="dxa"/>
            <w:shd w:val="clear" w:color="auto" w:fill="auto"/>
            <w:vAlign w:val="center"/>
          </w:tcPr>
          <w:p w14:paraId="299B2928">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1次/半年</w:t>
            </w:r>
          </w:p>
        </w:tc>
      </w:tr>
    </w:tbl>
    <w:p w14:paraId="5261E9C5">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化学药剂投加与维护：</w:t>
      </w:r>
    </w:p>
    <w:p w14:paraId="715D87C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根据水质分析结果和系统运行状况，科学计算并投加适量的水处理化学药剂（必须包括缓蚀剂、阻垢剂、杀菌剂等）。</w:t>
      </w:r>
    </w:p>
    <w:p w14:paraId="161B92B8">
      <w:pPr>
        <w:pStyle w:val="19"/>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确保冷冻水、冷却水系统中的药剂浓度持续稳定在有效范围内，并根据季节变化、系统运行负荷、排污及补水情况动态调整加药策略。</w:t>
      </w:r>
    </w:p>
    <w:p w14:paraId="351771F1">
      <w:pPr>
        <w:pStyle w:val="19"/>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提供符合国家环保、安全标准及本需求书要求的优质药剂。</w:t>
      </w:r>
    </w:p>
    <w:p w14:paraId="315978E6">
      <w:pPr>
        <w:pStyle w:val="19"/>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负责化学药剂的运输、储存（需符合安全规范）及投加设备的日常操作与维护。</w:t>
      </w:r>
    </w:p>
    <w:p w14:paraId="2CFBD967">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排污与补水管理指导：</w:t>
      </w:r>
    </w:p>
    <w:p w14:paraId="193D8C62">
      <w:pPr>
        <w:pStyle w:val="19"/>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根据水质分析结果（特别是浓缩倍数、电导率、离子浓度等），指导或协助甲方进行系统科学排污和合理补水操作。</w:t>
      </w:r>
    </w:p>
    <w:p w14:paraId="71498690">
      <w:pPr>
        <w:pStyle w:val="19"/>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控制冷却水系统浓缩倍数在最佳范围（3-5倍）。</w:t>
      </w:r>
    </w:p>
    <w:p w14:paraId="74DB4084">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冷却塔年度清洗服务：</w:t>
      </w:r>
    </w:p>
    <w:p w14:paraId="5E1F964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每年在首次供冷季开始前（通常为3月），对</w:t>
      </w:r>
      <w:r>
        <w:rPr>
          <w:rStyle w:val="25"/>
          <w:rFonts w:hint="eastAsia" w:ascii="宋体" w:hAnsi="宋体" w:eastAsia="宋体" w:cs="宋体"/>
          <w:b w:val="0"/>
          <w:bCs w:val="0"/>
          <w:i w:val="0"/>
          <w:caps w:val="0"/>
          <w:color w:val="auto"/>
          <w:spacing w:val="0"/>
          <w:sz w:val="21"/>
          <w:szCs w:val="21"/>
          <w:highlight w:val="none"/>
          <w:shd w:val="clear" w:fill="FFFFFF"/>
        </w:rPr>
        <w:t>A、B系统所有冷却塔</w:t>
      </w:r>
      <w:r>
        <w:rPr>
          <w:rFonts w:hint="eastAsia" w:ascii="宋体" w:hAnsi="宋体" w:eastAsia="宋体" w:cs="宋体"/>
          <w:b w:val="0"/>
          <w:bCs w:val="0"/>
          <w:i w:val="0"/>
          <w:caps w:val="0"/>
          <w:color w:val="auto"/>
          <w:spacing w:val="0"/>
          <w:sz w:val="21"/>
          <w:szCs w:val="21"/>
          <w:highlight w:val="none"/>
          <w:shd w:val="clear" w:fill="FFFFFF"/>
        </w:rPr>
        <w:t>的布水器、填料、集水盘进行彻底清洗（物理清洗+化学清洗），确保无污垢、藻类、生物粘泥</w:t>
      </w:r>
      <w:r>
        <w:rPr>
          <w:rFonts w:hint="eastAsia" w:ascii="宋体" w:hAnsi="宋体" w:eastAsia="宋体" w:cs="宋体"/>
          <w:b w:val="0"/>
          <w:bCs w:val="0"/>
          <w:i w:val="0"/>
          <w:caps w:val="0"/>
          <w:color w:val="auto"/>
          <w:spacing w:val="0"/>
          <w:sz w:val="21"/>
          <w:szCs w:val="21"/>
          <w:highlight w:val="none"/>
          <w:shd w:val="clear" w:fill="FFFFFF"/>
          <w:lang w:eastAsia="zh-CN"/>
        </w:rPr>
        <w:t>，</w:t>
      </w:r>
      <w:r>
        <w:rPr>
          <w:rFonts w:hint="eastAsia" w:ascii="宋体" w:hAnsi="宋体" w:eastAsia="宋体" w:cs="宋体"/>
          <w:b w:val="0"/>
          <w:bCs w:val="0"/>
          <w:i w:val="0"/>
          <w:caps w:val="0"/>
          <w:color w:val="auto"/>
          <w:spacing w:val="0"/>
          <w:sz w:val="21"/>
          <w:szCs w:val="21"/>
          <w:highlight w:val="none"/>
          <w:shd w:val="clear" w:fill="FFFFFF"/>
        </w:rPr>
        <w:t>清洗方案需事先报甲方批准。</w:t>
      </w:r>
    </w:p>
    <w:p w14:paraId="49DE0F2C">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第三方水质检测：</w:t>
      </w:r>
    </w:p>
    <w:p w14:paraId="6866464D">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每年进行一次不定期第三方水质检测。</w:t>
      </w:r>
    </w:p>
    <w:p w14:paraId="3607F0A8">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由甲、乙双方共同现场取样：A冷却水系统1份、B冷却水系统1份、冷冻水系统1份、补充水（自来水）1份。</w:t>
      </w:r>
    </w:p>
    <w:p w14:paraId="64CEC114">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检测机构要求：通过中国计量认证（CMA）和/或中国合格评定国家认可委员会（CNAS）认可的第三方检测机构。</w:t>
      </w:r>
    </w:p>
    <w:p w14:paraId="391C7F1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检测项目：</w:t>
      </w:r>
    </w:p>
    <w:p w14:paraId="729A027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冷却水：</w:t>
      </w:r>
      <w:r>
        <w:rPr>
          <w:rFonts w:hint="eastAsia" w:ascii="宋体" w:hAnsi="宋体" w:eastAsia="宋体" w:cs="宋体"/>
          <w:b w:val="0"/>
          <w:bCs w:val="0"/>
          <w:i w:val="0"/>
          <w:caps w:val="0"/>
          <w:color w:val="auto"/>
          <w:spacing w:val="0"/>
          <w:sz w:val="21"/>
          <w:szCs w:val="21"/>
          <w:highlight w:val="none"/>
          <w:shd w:val="clear" w:fill="FFFFFF"/>
        </w:rPr>
        <w:t>按表</w:t>
      </w:r>
      <w:r>
        <w:rPr>
          <w:rFonts w:hint="eastAsia" w:ascii="宋体" w:hAnsi="宋体" w:eastAsia="宋体" w:cs="宋体"/>
          <w:b w:val="0"/>
          <w:bCs w:val="0"/>
          <w:i w:val="0"/>
          <w:caps w:val="0"/>
          <w:color w:val="auto"/>
          <w:spacing w:val="0"/>
          <w:sz w:val="21"/>
          <w:szCs w:val="21"/>
          <w:highlight w:val="none"/>
          <w:shd w:val="clear" w:fill="FFFFFF"/>
          <w:lang w:val="en-US" w:eastAsia="zh-CN"/>
        </w:rPr>
        <w:t>3</w:t>
      </w:r>
      <w:r>
        <w:rPr>
          <w:rFonts w:hint="eastAsia" w:ascii="宋体" w:hAnsi="宋体" w:eastAsia="宋体" w:cs="宋体"/>
          <w:b w:val="0"/>
          <w:bCs w:val="0"/>
          <w:i w:val="0"/>
          <w:caps w:val="0"/>
          <w:color w:val="auto"/>
          <w:spacing w:val="0"/>
          <w:sz w:val="21"/>
          <w:szCs w:val="21"/>
          <w:highlight w:val="none"/>
          <w:shd w:val="clear" w:fill="FFFFFF"/>
        </w:rPr>
        <w:t>中“冷却水测试项目”全项检测（包括浓缩倍数、游离氯、铜及碳钢腐蚀率、军团菌）。</w:t>
      </w:r>
    </w:p>
    <w:p w14:paraId="3B7DA3A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冷冻水：</w:t>
      </w:r>
      <w:r>
        <w:rPr>
          <w:rFonts w:hint="eastAsia" w:ascii="宋体" w:hAnsi="宋体" w:eastAsia="宋体" w:cs="宋体"/>
          <w:b w:val="0"/>
          <w:bCs w:val="0"/>
          <w:i w:val="0"/>
          <w:caps w:val="0"/>
          <w:color w:val="auto"/>
          <w:spacing w:val="0"/>
          <w:sz w:val="21"/>
          <w:szCs w:val="21"/>
          <w:highlight w:val="none"/>
          <w:shd w:val="clear" w:fill="FFFFFF"/>
        </w:rPr>
        <w:t>按表</w:t>
      </w:r>
      <w:r>
        <w:rPr>
          <w:rFonts w:hint="eastAsia" w:ascii="宋体" w:hAnsi="宋体" w:eastAsia="宋体" w:cs="宋体"/>
          <w:b w:val="0"/>
          <w:bCs w:val="0"/>
          <w:i w:val="0"/>
          <w:caps w:val="0"/>
          <w:color w:val="auto"/>
          <w:spacing w:val="0"/>
          <w:sz w:val="21"/>
          <w:szCs w:val="21"/>
          <w:highlight w:val="none"/>
          <w:shd w:val="clear" w:fill="FFFFFF"/>
          <w:lang w:val="en-US" w:eastAsia="zh-CN"/>
        </w:rPr>
        <w:t>3</w:t>
      </w:r>
      <w:r>
        <w:rPr>
          <w:rFonts w:hint="eastAsia" w:ascii="宋体" w:hAnsi="宋体" w:eastAsia="宋体" w:cs="宋体"/>
          <w:b w:val="0"/>
          <w:bCs w:val="0"/>
          <w:i w:val="0"/>
          <w:caps w:val="0"/>
          <w:color w:val="auto"/>
          <w:spacing w:val="0"/>
          <w:sz w:val="21"/>
          <w:szCs w:val="21"/>
          <w:highlight w:val="none"/>
          <w:shd w:val="clear" w:fill="FFFFFF"/>
        </w:rPr>
        <w:t>中“冷冻水测试项目”全项检测（包括浓缩倍数、游离氯、硫酸根、异氧菌总数、铜及碳钢腐蚀率）。</w:t>
      </w:r>
    </w:p>
    <w:p w14:paraId="2331922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所有第三方检测费用由</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乙方</w:t>
      </w:r>
      <w:r>
        <w:rPr>
          <w:rStyle w:val="25"/>
          <w:rFonts w:hint="eastAsia" w:ascii="宋体" w:hAnsi="宋体" w:eastAsia="宋体" w:cs="宋体"/>
          <w:b w:val="0"/>
          <w:bCs w:val="0"/>
          <w:i w:val="0"/>
          <w:caps w:val="0"/>
          <w:color w:val="auto"/>
          <w:spacing w:val="0"/>
          <w:sz w:val="21"/>
          <w:szCs w:val="21"/>
          <w:highlight w:val="none"/>
          <w:shd w:val="clear" w:fill="FFFFFF"/>
        </w:rPr>
        <w:t>承担。</w:t>
      </w:r>
    </w:p>
    <w:p w14:paraId="413AEE01">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需及时提交正式的第三方检测报告。</w:t>
      </w:r>
    </w:p>
    <w:p w14:paraId="5AB8472B">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日常巡检与维护：</w:t>
      </w:r>
    </w:p>
    <w:p w14:paraId="12C587AD">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定期对加药装置（包括药桶液位、泵运行状态、管线阀门）、水质采样点、关键系统阀门等进行巡检，确保设备正常运行，无泄漏。</w:t>
      </w:r>
    </w:p>
    <w:p w14:paraId="5650DC25">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检查冷却塔运行状况（填料清洁度、布水均匀性、滤网状况等）。</w:t>
      </w:r>
    </w:p>
    <w:p w14:paraId="704E41A0">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技术报告：</w:t>
      </w:r>
    </w:p>
    <w:p w14:paraId="57A69C0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每半年提供一份详细的水质处理服务报告，内容包括：水质分析总结、药剂消耗统计、系统运行状况评估、存在问题、改进措施建议及水处理效果对系统能效的评估分析。</w:t>
      </w:r>
    </w:p>
    <w:p w14:paraId="3112CADD">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应急响应：</w:t>
      </w:r>
    </w:p>
    <w:p w14:paraId="25C314C9">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提供7x24小时应急响应服务热线。</w:t>
      </w:r>
    </w:p>
    <w:p w14:paraId="375B0EFA">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接到甲方关于突发水质问题（如军团菌检出、水质严重恶化、设备异常报警等）通知后，专业技术人员应在</w:t>
      </w:r>
      <w:r>
        <w:rPr>
          <w:rStyle w:val="25"/>
          <w:rFonts w:hint="eastAsia" w:ascii="宋体" w:hAnsi="宋体" w:eastAsia="宋体" w:cs="宋体"/>
          <w:b w:val="0"/>
          <w:bCs w:val="0"/>
          <w:i w:val="0"/>
          <w:caps w:val="0"/>
          <w:color w:val="auto"/>
          <w:spacing w:val="0"/>
          <w:sz w:val="21"/>
          <w:szCs w:val="21"/>
          <w:highlight w:val="none"/>
          <w:shd w:val="clear" w:fill="FFFFFF"/>
        </w:rPr>
        <w:t>4小时内给出明确响应，并在12小时内到达现场</w:t>
      </w:r>
      <w:r>
        <w:rPr>
          <w:rFonts w:hint="eastAsia" w:ascii="宋体" w:hAnsi="宋体" w:eastAsia="宋体" w:cs="宋体"/>
          <w:b w:val="0"/>
          <w:bCs w:val="0"/>
          <w:i w:val="0"/>
          <w:caps w:val="0"/>
          <w:color w:val="auto"/>
          <w:spacing w:val="0"/>
          <w:sz w:val="21"/>
          <w:szCs w:val="21"/>
          <w:highlight w:val="none"/>
          <w:shd w:val="clear" w:fill="FFFFFF"/>
        </w:rPr>
        <w:t>处理。</w:t>
      </w:r>
    </w:p>
    <w:p w14:paraId="6014C828">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2" w:firstLineChars="200"/>
        <w:textAlignment w:val="auto"/>
        <w:rPr>
          <w:rFonts w:hint="eastAsia" w:ascii="宋体" w:hAnsi="宋体" w:eastAsia="宋体" w:cs="宋体"/>
          <w:b/>
          <w:bCs/>
          <w:color w:val="auto"/>
          <w:sz w:val="21"/>
          <w:szCs w:val="21"/>
          <w:highlight w:val="none"/>
        </w:rPr>
      </w:pPr>
      <w:r>
        <w:rPr>
          <w:rStyle w:val="25"/>
          <w:rFonts w:hint="eastAsia" w:ascii="宋体" w:hAnsi="宋体" w:eastAsia="宋体" w:cs="宋体"/>
          <w:b/>
          <w:bCs/>
          <w:i w:val="0"/>
          <w:caps w:val="0"/>
          <w:color w:val="auto"/>
          <w:spacing w:val="0"/>
          <w:sz w:val="21"/>
          <w:szCs w:val="21"/>
          <w:highlight w:val="none"/>
          <w:shd w:val="clear" w:fill="FFFFFF"/>
        </w:rPr>
        <w:t>技术咨询与培训：</w:t>
      </w:r>
    </w:p>
    <w:p w14:paraId="3CF4ADEC">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为甲方提供日常水质管理相关的技术咨询服务。</w:t>
      </w:r>
    </w:p>
    <w:p w14:paraId="3A59E71D">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对甲方运维人员进行基础的水质管理知识、日常巡检要点及应急处理流程的培训，每年至少一次。</w:t>
      </w:r>
    </w:p>
    <w:p w14:paraId="478C0353">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textAlignment w:val="auto"/>
        <w:rPr>
          <w:rFonts w:hint="eastAsia" w:ascii="宋体" w:hAnsi="宋体" w:eastAsia="宋体" w:cs="宋体"/>
          <w:b/>
          <w:bCs/>
          <w:i w:val="0"/>
          <w:caps w:val="0"/>
          <w:color w:val="auto"/>
          <w:spacing w:val="0"/>
          <w:sz w:val="21"/>
          <w:szCs w:val="21"/>
          <w:highlight w:val="none"/>
          <w:shd w:val="clear" w:fill="FFFFFF"/>
          <w:lang w:val="en-US" w:eastAsia="zh-CN"/>
        </w:rPr>
      </w:pPr>
      <w:r>
        <w:rPr>
          <w:rFonts w:hint="eastAsia" w:ascii="宋体" w:hAnsi="宋体" w:eastAsia="宋体" w:cs="宋体"/>
          <w:b/>
          <w:bCs/>
          <w:i w:val="0"/>
          <w:caps w:val="0"/>
          <w:color w:val="auto"/>
          <w:spacing w:val="0"/>
          <w:sz w:val="21"/>
          <w:szCs w:val="21"/>
          <w:highlight w:val="none"/>
          <w:shd w:val="clear" w:fill="FFFFFF"/>
          <w:lang w:val="en-US" w:eastAsia="zh-CN"/>
        </w:rPr>
        <w:t>人员要求：</w:t>
      </w:r>
    </w:p>
    <w:p w14:paraId="4978B001">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lang w:val="en-US" w:eastAsia="zh-CN" w:bidi="ar-SA"/>
        </w:rPr>
        <w:t>（1）</w:t>
      </w:r>
      <w:r>
        <w:rPr>
          <w:rFonts w:hint="eastAsia" w:ascii="宋体" w:hAnsi="宋体" w:eastAsia="宋体" w:cs="宋体"/>
          <w:b/>
          <w:bCs/>
          <w:i w:val="0"/>
          <w:caps w:val="0"/>
          <w:color w:val="auto"/>
          <w:spacing w:val="0"/>
          <w:sz w:val="21"/>
          <w:szCs w:val="21"/>
          <w:highlight w:val="none"/>
          <w:shd w:val="clear" w:fill="FFFFFF"/>
          <w:lang w:val="en-US" w:eastAsia="zh-CN"/>
        </w:rPr>
        <w:t>乙方须为</w:t>
      </w:r>
      <w:r>
        <w:rPr>
          <w:rFonts w:hint="eastAsia" w:ascii="宋体" w:hAnsi="宋体" w:eastAsia="宋体" w:cs="宋体"/>
          <w:b/>
          <w:bCs/>
          <w:i w:val="0"/>
          <w:caps w:val="0"/>
          <w:color w:val="auto"/>
          <w:spacing w:val="0"/>
          <w:sz w:val="21"/>
          <w:szCs w:val="21"/>
          <w:highlight w:val="none"/>
          <w:shd w:val="clear" w:fill="FFFFFF"/>
        </w:rPr>
        <w:t>本项目</w:t>
      </w:r>
      <w:r>
        <w:rPr>
          <w:rFonts w:hint="eastAsia" w:ascii="宋体" w:hAnsi="宋体" w:eastAsia="宋体" w:cs="宋体"/>
          <w:b/>
          <w:bCs/>
          <w:i w:val="0"/>
          <w:caps w:val="0"/>
          <w:color w:val="auto"/>
          <w:spacing w:val="0"/>
          <w:sz w:val="21"/>
          <w:szCs w:val="21"/>
          <w:highlight w:val="none"/>
          <w:shd w:val="clear" w:fill="FFFFFF"/>
          <w:lang w:val="en-US" w:eastAsia="zh-CN"/>
        </w:rPr>
        <w:t>配备</w:t>
      </w:r>
      <w:r>
        <w:rPr>
          <w:rStyle w:val="24"/>
          <w:rFonts w:hint="eastAsia" w:ascii="宋体" w:hAnsi="宋体" w:eastAsia="宋体" w:cs="宋体"/>
          <w:b/>
          <w:bCs/>
          <w:i w:val="0"/>
          <w:caps w:val="0"/>
          <w:color w:val="auto"/>
          <w:spacing w:val="0"/>
          <w:sz w:val="21"/>
          <w:szCs w:val="21"/>
          <w:highlight w:val="none"/>
          <w:shd w:val="clear" w:fill="FFFFFF"/>
        </w:rPr>
        <w:t>1名专职现场服务技术人员</w:t>
      </w:r>
      <w:r>
        <w:rPr>
          <w:rFonts w:hint="eastAsia" w:ascii="宋体" w:hAnsi="宋体" w:eastAsia="宋体" w:cs="宋体"/>
          <w:b/>
          <w:bCs/>
          <w:i w:val="0"/>
          <w:caps w:val="0"/>
          <w:color w:val="auto"/>
          <w:spacing w:val="0"/>
          <w:sz w:val="21"/>
          <w:szCs w:val="21"/>
          <w:highlight w:val="none"/>
          <w:shd w:val="clear" w:fill="FFFFFF"/>
          <w:lang w:eastAsia="zh-CN"/>
        </w:rPr>
        <w:t>，</w:t>
      </w:r>
      <w:r>
        <w:rPr>
          <w:rFonts w:hint="eastAsia" w:ascii="宋体" w:hAnsi="宋体" w:eastAsia="宋体" w:cs="宋体"/>
          <w:b/>
          <w:bCs/>
          <w:i w:val="0"/>
          <w:caps w:val="0"/>
          <w:color w:val="auto"/>
          <w:spacing w:val="0"/>
          <w:sz w:val="21"/>
          <w:szCs w:val="21"/>
          <w:highlight w:val="none"/>
          <w:shd w:val="clear" w:fill="FFFFFF"/>
          <w:lang w:val="en-US" w:eastAsia="zh-CN"/>
        </w:rPr>
        <w:t>该人员须具备丰富的中央空调水处理系统服务经验，熟悉相关设备操作及药剂性能</w:t>
      </w:r>
      <w:r>
        <w:rPr>
          <w:rFonts w:hint="eastAsia" w:ascii="宋体" w:hAnsi="宋体" w:eastAsia="宋体" w:cs="宋体"/>
          <w:b w:val="0"/>
          <w:bCs w:val="0"/>
          <w:i w:val="0"/>
          <w:caps w:val="0"/>
          <w:color w:val="auto"/>
          <w:spacing w:val="0"/>
          <w:sz w:val="21"/>
          <w:szCs w:val="21"/>
          <w:highlight w:val="none"/>
          <w:shd w:val="clear" w:fill="FFFFFF"/>
          <w:lang w:val="en-US" w:eastAsia="zh-CN"/>
        </w:rPr>
        <w:t>。</w:t>
      </w:r>
    </w:p>
    <w:p w14:paraId="64207433">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val="0"/>
          <w:bCs w:val="0"/>
          <w:color w:val="auto"/>
          <w:kern w:val="0"/>
          <w:sz w:val="21"/>
          <w:szCs w:val="21"/>
          <w:lang w:val="en-US" w:eastAsia="zh-CN" w:bidi="ar-SA"/>
        </w:rPr>
        <w:t>（2）</w:t>
      </w:r>
      <w:r>
        <w:rPr>
          <w:rStyle w:val="24"/>
          <w:rFonts w:hint="eastAsia" w:ascii="宋体" w:hAnsi="宋体" w:eastAsia="宋体" w:cs="宋体"/>
          <w:b/>
          <w:bCs/>
          <w:color w:val="auto"/>
          <w:sz w:val="21"/>
          <w:szCs w:val="21"/>
          <w:highlight w:val="none"/>
          <w:shd w:val="clear" w:fill="FFFFFF"/>
          <w:lang w:val="en-US" w:eastAsia="zh-CN"/>
        </w:rPr>
        <w:t>乙方</w:t>
      </w:r>
      <w:r>
        <w:rPr>
          <w:rFonts w:hint="eastAsia" w:ascii="宋体" w:hAnsi="宋体" w:eastAsia="宋体" w:cs="宋体"/>
          <w:b/>
          <w:bCs/>
          <w:color w:val="auto"/>
          <w:sz w:val="21"/>
          <w:szCs w:val="21"/>
          <w:highlight w:val="none"/>
          <w:shd w:val="clear" w:fill="FFFFFF"/>
          <w:lang w:val="en-US" w:eastAsia="zh-CN"/>
        </w:rPr>
        <w:t>须在合同签订后一周内，确保上述人员到位，并确保按要求</w:t>
      </w:r>
      <w:r>
        <w:rPr>
          <w:rStyle w:val="24"/>
          <w:rFonts w:hint="eastAsia" w:ascii="宋体" w:hAnsi="宋体" w:eastAsia="宋体" w:cs="宋体"/>
          <w:b/>
          <w:bCs/>
          <w:i w:val="0"/>
          <w:caps w:val="0"/>
          <w:color w:val="auto"/>
          <w:spacing w:val="0"/>
          <w:sz w:val="21"/>
          <w:szCs w:val="21"/>
          <w:highlight w:val="none"/>
          <w:shd w:val="clear" w:fill="FFFFFF"/>
        </w:rPr>
        <w:t>每月一次</w:t>
      </w:r>
      <w:r>
        <w:rPr>
          <w:rFonts w:hint="eastAsia" w:ascii="宋体" w:hAnsi="宋体" w:eastAsia="宋体" w:cs="宋体"/>
          <w:b/>
          <w:bCs/>
          <w:i w:val="0"/>
          <w:caps w:val="0"/>
          <w:color w:val="auto"/>
          <w:spacing w:val="0"/>
          <w:sz w:val="21"/>
          <w:szCs w:val="21"/>
          <w:highlight w:val="none"/>
          <w:shd w:val="clear" w:fill="FFFFFF"/>
        </w:rPr>
        <w:t>到现场进行水质检测、设备巡检、加药维护、记录检查及必要的技术沟通等工作。每次现场服务需按甲方要求填写作业单</w:t>
      </w:r>
      <w:r>
        <w:rPr>
          <w:rFonts w:hint="eastAsia" w:ascii="宋体" w:hAnsi="宋体" w:eastAsia="宋体" w:cs="宋体"/>
          <w:b/>
          <w:bCs/>
          <w:i w:val="0"/>
          <w:caps w:val="0"/>
          <w:color w:val="auto"/>
          <w:spacing w:val="0"/>
          <w:sz w:val="21"/>
          <w:szCs w:val="21"/>
          <w:highlight w:val="none"/>
          <w:shd w:val="clear" w:fill="FFFFFF"/>
          <w:lang w:eastAsia="zh-CN"/>
        </w:rPr>
        <w:t>。</w:t>
      </w:r>
    </w:p>
    <w:p w14:paraId="5424B6FE">
      <w:pPr>
        <w:pStyle w:val="3"/>
        <w:spacing w:line="360" w:lineRule="auto"/>
        <w:rPr>
          <w:rFonts w:hint="eastAsia" w:ascii="宋体" w:hAnsi="宋体" w:eastAsia="宋体" w:cs="宋体"/>
          <w:sz w:val="21"/>
          <w:szCs w:val="21"/>
        </w:rPr>
      </w:pPr>
      <w:r>
        <w:rPr>
          <w:rFonts w:hint="eastAsia" w:ascii="宋体" w:hAnsi="宋体" w:eastAsia="宋体" w:cs="宋体"/>
          <w:sz w:val="21"/>
          <w:szCs w:val="21"/>
          <w:lang w:eastAsia="zh-CN"/>
        </w:rPr>
        <w:t>四</w:t>
      </w:r>
      <w:r>
        <w:rPr>
          <w:rFonts w:hint="eastAsia" w:ascii="宋体" w:hAnsi="宋体" w:eastAsia="宋体" w:cs="宋体"/>
          <w:sz w:val="21"/>
          <w:szCs w:val="21"/>
        </w:rPr>
        <w:t>、项目</w:t>
      </w:r>
      <w:r>
        <w:rPr>
          <w:rFonts w:hint="eastAsia" w:ascii="宋体" w:hAnsi="宋体" w:eastAsia="宋体" w:cs="宋体"/>
          <w:sz w:val="21"/>
          <w:szCs w:val="21"/>
          <w:lang w:val="en-US" w:eastAsia="zh-CN"/>
        </w:rPr>
        <w:t>服务期限</w:t>
      </w:r>
    </w:p>
    <w:p w14:paraId="6D6B467F">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服务期限为：</w:t>
      </w:r>
      <w:r>
        <w:rPr>
          <w:rFonts w:hint="eastAsia" w:ascii="宋体" w:hAnsi="宋体" w:eastAsia="宋体" w:cs="宋体"/>
          <w:sz w:val="21"/>
          <w:szCs w:val="21"/>
          <w:lang w:val="en-US" w:eastAsia="zh-CN"/>
        </w:rPr>
        <w:t>2年</w:t>
      </w:r>
      <w:r>
        <w:rPr>
          <w:rFonts w:hint="eastAsia" w:ascii="宋体" w:hAnsi="宋体" w:eastAsia="宋体" w:cs="宋体"/>
          <w:sz w:val="21"/>
          <w:szCs w:val="21"/>
        </w:rPr>
        <w:t>。</w:t>
      </w:r>
      <w:r>
        <w:rPr>
          <w:rFonts w:hint="eastAsia" w:ascii="宋体" w:hAnsi="宋体" w:eastAsia="宋体" w:cs="宋体"/>
          <w:b/>
          <w:bCs/>
          <w:sz w:val="21"/>
          <w:szCs w:val="21"/>
        </w:rPr>
        <w:t>采用1+1方式签订合同</w:t>
      </w:r>
      <w:r>
        <w:rPr>
          <w:rFonts w:hint="eastAsia" w:ascii="宋体" w:hAnsi="宋体" w:eastAsia="宋体" w:cs="宋体"/>
          <w:sz w:val="21"/>
          <w:szCs w:val="21"/>
        </w:rPr>
        <w:t>，</w:t>
      </w:r>
      <w:r>
        <w:rPr>
          <w:rFonts w:hint="eastAsia" w:ascii="宋体" w:hAnsi="宋体" w:eastAsia="宋体" w:cs="宋体"/>
          <w:sz w:val="21"/>
          <w:szCs w:val="21"/>
          <w:lang w:val="en-US" w:eastAsia="zh-CN"/>
        </w:rPr>
        <w:t>满足</w:t>
      </w:r>
      <w:r>
        <w:rPr>
          <w:rFonts w:hint="eastAsia" w:ascii="宋体" w:hAnsi="宋体" w:eastAsia="宋体" w:cs="宋体"/>
          <w:sz w:val="21"/>
          <w:szCs w:val="21"/>
        </w:rPr>
        <w:t>甲方要求及</w:t>
      </w:r>
      <w:r>
        <w:rPr>
          <w:rFonts w:hint="eastAsia" w:ascii="宋体" w:hAnsi="宋体" w:eastAsia="宋体" w:cs="宋体"/>
          <w:sz w:val="21"/>
          <w:szCs w:val="21"/>
          <w:lang w:val="en-US" w:eastAsia="zh-CN"/>
        </w:rPr>
        <w:t>通过甲方</w:t>
      </w:r>
      <w:r>
        <w:rPr>
          <w:rFonts w:hint="eastAsia" w:ascii="宋体" w:hAnsi="宋体" w:eastAsia="宋体" w:cs="宋体"/>
          <w:sz w:val="21"/>
          <w:szCs w:val="21"/>
        </w:rPr>
        <w:t>上</w:t>
      </w:r>
      <w:r>
        <w:rPr>
          <w:rFonts w:hint="eastAsia" w:ascii="宋体" w:hAnsi="宋体" w:eastAsia="宋体" w:cs="宋体"/>
          <w:sz w:val="21"/>
          <w:szCs w:val="21"/>
          <w:lang w:val="en-US" w:eastAsia="zh-CN"/>
        </w:rPr>
        <w:t>一</w:t>
      </w:r>
      <w:r>
        <w:rPr>
          <w:rFonts w:hint="eastAsia" w:ascii="宋体" w:hAnsi="宋体" w:eastAsia="宋体" w:cs="宋体"/>
          <w:sz w:val="21"/>
          <w:szCs w:val="21"/>
        </w:rPr>
        <w:t>年服务质量评价续签</w:t>
      </w:r>
      <w:r>
        <w:rPr>
          <w:rFonts w:hint="eastAsia" w:ascii="宋体" w:hAnsi="宋体" w:eastAsia="宋体" w:cs="宋体"/>
          <w:sz w:val="21"/>
          <w:szCs w:val="21"/>
          <w:lang w:val="en-US" w:eastAsia="zh-CN"/>
        </w:rPr>
        <w:t>第二年</w:t>
      </w:r>
      <w:r>
        <w:rPr>
          <w:rFonts w:hint="eastAsia" w:ascii="宋体" w:hAnsi="宋体" w:eastAsia="宋体" w:cs="宋体"/>
          <w:sz w:val="21"/>
          <w:szCs w:val="21"/>
        </w:rPr>
        <w:t>合同。</w:t>
      </w:r>
    </w:p>
    <w:p w14:paraId="6DD09858">
      <w:pPr>
        <w:pStyle w:val="3"/>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五</w:t>
      </w:r>
      <w:r>
        <w:rPr>
          <w:rFonts w:hint="eastAsia" w:ascii="宋体" w:hAnsi="宋体" w:eastAsia="宋体" w:cs="宋体"/>
          <w:sz w:val="21"/>
          <w:szCs w:val="21"/>
        </w:rPr>
        <w:t>、项目</w:t>
      </w:r>
      <w:r>
        <w:rPr>
          <w:rFonts w:hint="eastAsia" w:ascii="宋体" w:hAnsi="宋体" w:eastAsia="宋体" w:cs="宋体"/>
          <w:sz w:val="21"/>
          <w:szCs w:val="21"/>
          <w:lang w:val="en-US" w:eastAsia="zh-CN"/>
        </w:rPr>
        <w:t>工作要求及技术要求</w:t>
      </w:r>
    </w:p>
    <w:p w14:paraId="3243C15F">
      <w:pPr>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rPr>
        <w:t>1、项目</w:t>
      </w:r>
      <w:r>
        <w:rPr>
          <w:rFonts w:hint="eastAsia" w:ascii="宋体" w:hAnsi="宋体" w:eastAsia="宋体" w:cs="宋体"/>
          <w:b/>
          <w:bCs/>
          <w:sz w:val="21"/>
          <w:szCs w:val="21"/>
          <w:lang w:val="en-US" w:eastAsia="zh-CN"/>
        </w:rPr>
        <w:t>工作要求</w:t>
      </w:r>
    </w:p>
    <w:p w14:paraId="122B1DF5">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现场服务记录：</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每次进行现场服务（包括但不限于巡检、水质检测、加药、清洗、故障处理、培训）后，必须</w:t>
      </w:r>
      <w:r>
        <w:rPr>
          <w:rStyle w:val="25"/>
          <w:rFonts w:hint="eastAsia" w:ascii="宋体" w:hAnsi="宋体" w:eastAsia="宋体" w:cs="宋体"/>
          <w:b w:val="0"/>
          <w:bCs w:val="0"/>
          <w:i w:val="0"/>
          <w:caps w:val="0"/>
          <w:color w:val="auto"/>
          <w:spacing w:val="0"/>
          <w:sz w:val="21"/>
          <w:szCs w:val="21"/>
          <w:highlight w:val="none"/>
          <w:shd w:val="clear" w:fill="FFFFFF"/>
        </w:rPr>
        <w:t>当天</w:t>
      </w:r>
      <w:r>
        <w:rPr>
          <w:rFonts w:hint="eastAsia" w:ascii="宋体" w:hAnsi="宋体" w:eastAsia="宋体" w:cs="宋体"/>
          <w:b w:val="0"/>
          <w:bCs w:val="0"/>
          <w:i w:val="0"/>
          <w:caps w:val="0"/>
          <w:color w:val="auto"/>
          <w:spacing w:val="0"/>
          <w:sz w:val="21"/>
          <w:szCs w:val="21"/>
          <w:highlight w:val="none"/>
          <w:shd w:val="clear" w:fill="FFFFFF"/>
        </w:rPr>
        <w:t>向甲方指定的现场配合人员提交《水质处理服务作业单》。作业单应至少包含：作业名称、地点、起止时间、完成工作内容、添加药剂名称及重量（或浓度）、双方现场人员签字确认。作业单一式两份，甲乙双方各执一份。</w:t>
      </w:r>
    </w:p>
    <w:p w14:paraId="3FFFFBA2">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药剂管理与证明：</w:t>
      </w:r>
      <w:r>
        <w:rPr>
          <w:rFonts w:hint="eastAsia" w:ascii="宋体" w:hAnsi="宋体" w:eastAsia="宋体" w:cs="宋体"/>
          <w:b w:val="0"/>
          <w:bCs w:val="0"/>
          <w:i w:val="0"/>
          <w:caps w:val="0"/>
          <w:color w:val="auto"/>
          <w:spacing w:val="0"/>
          <w:sz w:val="21"/>
          <w:szCs w:val="21"/>
          <w:highlight w:val="none"/>
          <w:shd w:val="clear" w:fill="FFFFFF"/>
        </w:rPr>
        <w:t>所有现场使用的化学药剂，</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必须按照HG/T 2762要求提供清晰的</w:t>
      </w:r>
      <w:r>
        <w:rPr>
          <w:rStyle w:val="25"/>
          <w:rFonts w:hint="eastAsia" w:ascii="宋体" w:hAnsi="宋体" w:eastAsia="宋体" w:cs="宋体"/>
          <w:b w:val="0"/>
          <w:bCs w:val="0"/>
          <w:i w:val="0"/>
          <w:caps w:val="0"/>
          <w:color w:val="auto"/>
          <w:spacing w:val="0"/>
          <w:sz w:val="21"/>
          <w:szCs w:val="21"/>
          <w:highlight w:val="none"/>
          <w:shd w:val="clear" w:fill="FFFFFF"/>
        </w:rPr>
        <w:t>产品名称、代号、功能说明</w:t>
      </w:r>
      <w:r>
        <w:rPr>
          <w:rFonts w:hint="eastAsia" w:ascii="宋体" w:hAnsi="宋体" w:eastAsia="宋体" w:cs="宋体"/>
          <w:b w:val="0"/>
          <w:bCs w:val="0"/>
          <w:i w:val="0"/>
          <w:caps w:val="0"/>
          <w:color w:val="auto"/>
          <w:spacing w:val="0"/>
          <w:sz w:val="21"/>
          <w:szCs w:val="21"/>
          <w:highlight w:val="none"/>
          <w:shd w:val="clear" w:fill="FFFFFF"/>
        </w:rPr>
        <w:t>，并随货提供</w:t>
      </w:r>
      <w:r>
        <w:rPr>
          <w:rStyle w:val="25"/>
          <w:rFonts w:hint="eastAsia" w:ascii="宋体" w:hAnsi="宋体" w:eastAsia="宋体" w:cs="宋体"/>
          <w:b w:val="0"/>
          <w:bCs w:val="0"/>
          <w:i w:val="0"/>
          <w:caps w:val="0"/>
          <w:color w:val="auto"/>
          <w:spacing w:val="0"/>
          <w:sz w:val="21"/>
          <w:szCs w:val="21"/>
          <w:highlight w:val="none"/>
          <w:shd w:val="clear" w:fill="FFFFFF"/>
        </w:rPr>
        <w:t>检验合格证</w:t>
      </w:r>
      <w:r>
        <w:rPr>
          <w:rFonts w:hint="eastAsia" w:ascii="宋体" w:hAnsi="宋体" w:eastAsia="宋体" w:cs="宋体"/>
          <w:b w:val="0"/>
          <w:bCs w:val="0"/>
          <w:i w:val="0"/>
          <w:caps w:val="0"/>
          <w:color w:val="auto"/>
          <w:spacing w:val="0"/>
          <w:sz w:val="21"/>
          <w:szCs w:val="21"/>
          <w:highlight w:val="none"/>
          <w:shd w:val="clear" w:fill="FFFFFF"/>
        </w:rPr>
        <w:t>。需明确药剂的</w:t>
      </w:r>
      <w:r>
        <w:rPr>
          <w:rStyle w:val="25"/>
          <w:rFonts w:hint="eastAsia" w:ascii="宋体" w:hAnsi="宋体" w:eastAsia="宋体" w:cs="宋体"/>
          <w:b w:val="0"/>
          <w:bCs w:val="0"/>
          <w:i w:val="0"/>
          <w:caps w:val="0"/>
          <w:color w:val="auto"/>
          <w:spacing w:val="0"/>
          <w:sz w:val="21"/>
          <w:szCs w:val="21"/>
          <w:highlight w:val="none"/>
          <w:shd w:val="clear" w:fill="FFFFFF"/>
        </w:rPr>
        <w:t>储存要求</w:t>
      </w:r>
      <w:r>
        <w:rPr>
          <w:rFonts w:hint="eastAsia" w:ascii="宋体" w:hAnsi="宋体" w:eastAsia="宋体" w:cs="宋体"/>
          <w:b w:val="0"/>
          <w:bCs w:val="0"/>
          <w:i w:val="0"/>
          <w:caps w:val="0"/>
          <w:color w:val="auto"/>
          <w:spacing w:val="0"/>
          <w:sz w:val="21"/>
          <w:szCs w:val="21"/>
          <w:highlight w:val="none"/>
          <w:shd w:val="clear" w:fill="FFFFFF"/>
        </w:rPr>
        <w:t>和</w:t>
      </w:r>
      <w:r>
        <w:rPr>
          <w:rStyle w:val="25"/>
          <w:rFonts w:hint="eastAsia" w:ascii="宋体" w:hAnsi="宋体" w:eastAsia="宋体" w:cs="宋体"/>
          <w:b w:val="0"/>
          <w:bCs w:val="0"/>
          <w:i w:val="0"/>
          <w:caps w:val="0"/>
          <w:color w:val="auto"/>
          <w:spacing w:val="0"/>
          <w:sz w:val="21"/>
          <w:szCs w:val="21"/>
          <w:highlight w:val="none"/>
          <w:shd w:val="clear" w:fill="FFFFFF"/>
        </w:rPr>
        <w:t>安全防护措施</w:t>
      </w:r>
      <w:r>
        <w:rPr>
          <w:rFonts w:hint="eastAsia" w:ascii="宋体" w:hAnsi="宋体" w:eastAsia="宋体" w:cs="宋体"/>
          <w:b w:val="0"/>
          <w:bCs w:val="0"/>
          <w:i w:val="0"/>
          <w:caps w:val="0"/>
          <w:color w:val="auto"/>
          <w:spacing w:val="0"/>
          <w:sz w:val="21"/>
          <w:szCs w:val="21"/>
          <w:highlight w:val="none"/>
          <w:shd w:val="clear" w:fill="FFFFFF"/>
        </w:rPr>
        <w:t>。</w:t>
      </w:r>
    </w:p>
    <w:p w14:paraId="6A7EA7C0">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劳保与安全：</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现场服务人员必须配备并正确使用符合要求的个人防护用品，包括但不限于：耐腐蚀手套、防护眼镜、口罩、安全鞋、安全帽、工作服。进行高空（冷却塔），必须配备并使用安全带等相应防护装备。</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须对其人员的安全负全责。</w:t>
      </w:r>
    </w:p>
    <w:p w14:paraId="6B9FFA30">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技术方案报批：</w:t>
      </w:r>
      <w:r>
        <w:rPr>
          <w:rFonts w:hint="eastAsia" w:ascii="宋体" w:hAnsi="宋体" w:eastAsia="宋体" w:cs="宋体"/>
          <w:b w:val="0"/>
          <w:bCs w:val="0"/>
          <w:i w:val="0"/>
          <w:caps w:val="0"/>
          <w:color w:val="auto"/>
          <w:spacing w:val="0"/>
          <w:sz w:val="21"/>
          <w:szCs w:val="21"/>
          <w:highlight w:val="none"/>
          <w:shd w:val="clear" w:fill="FFFFFF"/>
        </w:rPr>
        <w:t>合同签订后，</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需在</w:t>
      </w:r>
      <w:r>
        <w:rPr>
          <w:rStyle w:val="25"/>
          <w:rFonts w:hint="eastAsia" w:ascii="宋体" w:hAnsi="宋体" w:eastAsia="宋体" w:cs="宋体"/>
          <w:b w:val="0"/>
          <w:bCs w:val="0"/>
          <w:i w:val="0"/>
          <w:caps w:val="0"/>
          <w:color w:val="auto"/>
          <w:spacing w:val="0"/>
          <w:sz w:val="21"/>
          <w:szCs w:val="21"/>
          <w:highlight w:val="none"/>
          <w:shd w:val="clear" w:fill="FFFFFF"/>
        </w:rPr>
        <w:t>15日内</w:t>
      </w:r>
      <w:r>
        <w:rPr>
          <w:rFonts w:hint="eastAsia" w:ascii="宋体" w:hAnsi="宋体" w:eastAsia="宋体" w:cs="宋体"/>
          <w:b w:val="0"/>
          <w:bCs w:val="0"/>
          <w:i w:val="0"/>
          <w:caps w:val="0"/>
          <w:color w:val="auto"/>
          <w:spacing w:val="0"/>
          <w:sz w:val="21"/>
          <w:szCs w:val="21"/>
          <w:highlight w:val="none"/>
          <w:shd w:val="clear" w:fill="FFFFFF"/>
        </w:rPr>
        <w:t>提交详细的年度水处理技术方案（含初始加药方案、监测计划、杀菌方案、军团菌控制策略等）供甲方审核批准。</w:t>
      </w:r>
      <w:r>
        <w:rPr>
          <w:rStyle w:val="25"/>
          <w:rFonts w:hint="eastAsia" w:ascii="宋体" w:hAnsi="宋体" w:eastAsia="宋体" w:cs="宋体"/>
          <w:b w:val="0"/>
          <w:bCs w:val="0"/>
          <w:i w:val="0"/>
          <w:caps w:val="0"/>
          <w:color w:val="auto"/>
          <w:spacing w:val="0"/>
          <w:sz w:val="21"/>
          <w:szCs w:val="21"/>
          <w:highlight w:val="none"/>
          <w:shd w:val="clear" w:fill="FFFFFF"/>
        </w:rPr>
        <w:t>在线水质监测及自动加药装置投入运行后第15天起</w:t>
      </w:r>
      <w:r>
        <w:rPr>
          <w:rFonts w:hint="eastAsia" w:ascii="宋体" w:hAnsi="宋体" w:eastAsia="宋体" w:cs="宋体"/>
          <w:b w:val="0"/>
          <w:bCs w:val="0"/>
          <w:i w:val="0"/>
          <w:caps w:val="0"/>
          <w:color w:val="auto"/>
          <w:spacing w:val="0"/>
          <w:sz w:val="21"/>
          <w:szCs w:val="21"/>
          <w:highlight w:val="none"/>
          <w:shd w:val="clear" w:fill="FFFFFF"/>
        </w:rPr>
        <w:t>，冷却水水质应达到本需求书约定的质量标准。</w:t>
      </w:r>
    </w:p>
    <w:p w14:paraId="5DB7ED8B">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设备故障响应：</w:t>
      </w:r>
    </w:p>
    <w:p w14:paraId="2BAB2BE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若在线监测及自动加药装置出现故障，</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在接到甲方通知后，必须在</w:t>
      </w:r>
      <w:r>
        <w:rPr>
          <w:rStyle w:val="25"/>
          <w:rFonts w:hint="eastAsia" w:ascii="宋体" w:hAnsi="宋体" w:eastAsia="宋体" w:cs="宋体"/>
          <w:b w:val="0"/>
          <w:bCs w:val="0"/>
          <w:i w:val="0"/>
          <w:caps w:val="0"/>
          <w:color w:val="auto"/>
          <w:spacing w:val="0"/>
          <w:sz w:val="21"/>
          <w:szCs w:val="21"/>
          <w:highlight w:val="none"/>
          <w:shd w:val="clear" w:fill="FFFFFF"/>
        </w:rPr>
        <w:t>4小时内</w:t>
      </w:r>
      <w:r>
        <w:rPr>
          <w:rFonts w:hint="eastAsia" w:ascii="宋体" w:hAnsi="宋体" w:eastAsia="宋体" w:cs="宋体"/>
          <w:b w:val="0"/>
          <w:bCs w:val="0"/>
          <w:i w:val="0"/>
          <w:caps w:val="0"/>
          <w:color w:val="auto"/>
          <w:spacing w:val="0"/>
          <w:sz w:val="21"/>
          <w:szCs w:val="21"/>
          <w:highlight w:val="none"/>
          <w:shd w:val="clear" w:fill="FFFFFF"/>
        </w:rPr>
        <w:t>给出明确响应。安排专业维修人员在</w:t>
      </w:r>
      <w:r>
        <w:rPr>
          <w:rStyle w:val="25"/>
          <w:rFonts w:hint="eastAsia" w:ascii="宋体" w:hAnsi="宋体" w:eastAsia="宋体" w:cs="宋体"/>
          <w:b w:val="0"/>
          <w:bCs w:val="0"/>
          <w:i w:val="0"/>
          <w:caps w:val="0"/>
          <w:color w:val="auto"/>
          <w:spacing w:val="0"/>
          <w:sz w:val="21"/>
          <w:szCs w:val="21"/>
          <w:highlight w:val="none"/>
          <w:shd w:val="clear" w:fill="FFFFFF"/>
        </w:rPr>
        <w:t>12小时内</w:t>
      </w:r>
      <w:r>
        <w:rPr>
          <w:rFonts w:hint="eastAsia" w:ascii="宋体" w:hAnsi="宋体" w:eastAsia="宋体" w:cs="宋体"/>
          <w:b w:val="0"/>
          <w:bCs w:val="0"/>
          <w:i w:val="0"/>
          <w:caps w:val="0"/>
          <w:color w:val="auto"/>
          <w:spacing w:val="0"/>
          <w:sz w:val="21"/>
          <w:szCs w:val="21"/>
          <w:highlight w:val="none"/>
          <w:shd w:val="clear" w:fill="FFFFFF"/>
        </w:rPr>
        <w:t>到达现场进行故障排除。在设备故障期间，</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必须立即启动</w:t>
      </w:r>
      <w:r>
        <w:rPr>
          <w:rStyle w:val="25"/>
          <w:rFonts w:hint="eastAsia" w:ascii="宋体" w:hAnsi="宋体" w:eastAsia="宋体" w:cs="宋体"/>
          <w:b w:val="0"/>
          <w:bCs w:val="0"/>
          <w:i w:val="0"/>
          <w:caps w:val="0"/>
          <w:color w:val="auto"/>
          <w:spacing w:val="0"/>
          <w:sz w:val="21"/>
          <w:szCs w:val="21"/>
          <w:highlight w:val="none"/>
          <w:shd w:val="clear" w:fill="FFFFFF"/>
        </w:rPr>
        <w:t>手动监测和手动加药程序</w:t>
      </w:r>
      <w:r>
        <w:rPr>
          <w:rFonts w:hint="eastAsia" w:ascii="宋体" w:hAnsi="宋体" w:eastAsia="宋体" w:cs="宋体"/>
          <w:b w:val="0"/>
          <w:bCs w:val="0"/>
          <w:i w:val="0"/>
          <w:caps w:val="0"/>
          <w:color w:val="auto"/>
          <w:spacing w:val="0"/>
          <w:sz w:val="21"/>
          <w:szCs w:val="21"/>
          <w:highlight w:val="none"/>
          <w:shd w:val="clear" w:fill="FFFFFF"/>
        </w:rPr>
        <w:t>，确保系统水质符合合同要求，并每日向甲方报告水质状况及处理措施，直至设备修复。</w:t>
      </w:r>
    </w:p>
    <w:p w14:paraId="36CF7CDD">
      <w:pPr>
        <w:spacing w:line="360" w:lineRule="auto"/>
        <w:ind w:firstLine="420" w:firstLineChars="200"/>
        <w:rPr>
          <w:rFonts w:hint="eastAsia" w:ascii="宋体" w:hAnsi="宋体" w:eastAsia="宋体" w:cs="宋体"/>
          <w:sz w:val="21"/>
          <w:szCs w:val="21"/>
          <w:lang w:val="en-US" w:eastAsia="zh-CN"/>
        </w:rPr>
      </w:pPr>
      <w:r>
        <w:rPr>
          <w:rStyle w:val="25"/>
          <w:rFonts w:hint="eastAsia" w:ascii="宋体" w:hAnsi="宋体" w:eastAsia="宋体" w:cs="宋体"/>
          <w:b w:val="0"/>
          <w:bCs w:val="0"/>
          <w:i w:val="0"/>
          <w:caps w:val="0"/>
          <w:color w:val="auto"/>
          <w:spacing w:val="0"/>
          <w:sz w:val="21"/>
          <w:szCs w:val="21"/>
          <w:highlight w:val="none"/>
          <w:shd w:val="clear" w:fill="FFFFFF"/>
          <w:lang w:eastAsia="zh-CN"/>
        </w:rPr>
        <w:t>（</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6）</w:t>
      </w:r>
      <w:r>
        <w:rPr>
          <w:rStyle w:val="25"/>
          <w:rFonts w:hint="eastAsia" w:ascii="宋体" w:hAnsi="宋体" w:eastAsia="宋体" w:cs="宋体"/>
          <w:b w:val="0"/>
          <w:bCs w:val="0"/>
          <w:i w:val="0"/>
          <w:caps w:val="0"/>
          <w:color w:val="auto"/>
          <w:spacing w:val="0"/>
          <w:sz w:val="21"/>
          <w:szCs w:val="21"/>
          <w:highlight w:val="none"/>
          <w:shd w:val="clear" w:fill="FFFFFF"/>
        </w:rPr>
        <w:t>文件提交：</w:t>
      </w:r>
      <w:r>
        <w:rPr>
          <w:rFonts w:hint="eastAsia" w:ascii="宋体" w:hAnsi="宋体" w:eastAsia="宋体" w:cs="宋体"/>
          <w:b w:val="0"/>
          <w:bCs w:val="0"/>
          <w:i w:val="0"/>
          <w:caps w:val="0"/>
          <w:color w:val="auto"/>
          <w:spacing w:val="0"/>
          <w:sz w:val="21"/>
          <w:szCs w:val="21"/>
          <w:highlight w:val="none"/>
          <w:shd w:val="clear" w:fill="FFFFFF"/>
        </w:rPr>
        <w:t>按时提交月度水质检测报告、半年服务报告、年度第三方检测报告、服务作业单副本等所有约定的文件。</w:t>
      </w:r>
    </w:p>
    <w:p w14:paraId="389E741E">
      <w:pPr>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2、项目验收参考标准及规范：（</w:t>
      </w:r>
      <w:r>
        <w:rPr>
          <w:rFonts w:hint="eastAsia" w:ascii="宋体" w:hAnsi="宋体" w:eastAsia="宋体" w:cs="宋体"/>
          <w:b/>
          <w:bCs/>
          <w:i w:val="0"/>
          <w:caps w:val="0"/>
          <w:color w:val="auto"/>
          <w:spacing w:val="0"/>
          <w:sz w:val="21"/>
          <w:szCs w:val="21"/>
          <w:highlight w:val="none"/>
          <w:shd w:val="clear" w:fill="auto"/>
        </w:rPr>
        <w:t>以最新有效版本为准</w:t>
      </w:r>
      <w:r>
        <w:rPr>
          <w:rFonts w:hint="eastAsia" w:ascii="宋体" w:hAnsi="宋体" w:eastAsia="宋体" w:cs="宋体"/>
          <w:b/>
          <w:bCs/>
          <w:sz w:val="21"/>
          <w:szCs w:val="21"/>
          <w:lang w:val="en-US" w:eastAsia="zh-CN"/>
        </w:rPr>
        <w:t>）</w:t>
      </w:r>
    </w:p>
    <w:p w14:paraId="58E35A7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《采暖空调系统水质》GB/T 29044</w:t>
      </w:r>
    </w:p>
    <w:p w14:paraId="70E3A55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《工业循环冷却水处理设计规范》GB 50050</w:t>
      </w:r>
    </w:p>
    <w:p w14:paraId="567C9D7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《水处理剂产品分类和代号命名》HG/T 2762</w:t>
      </w:r>
    </w:p>
    <w:p w14:paraId="0E4EDFCB">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《污水排入城镇下水道水质标准》GB/T 31962</w:t>
      </w:r>
    </w:p>
    <w:p w14:paraId="7887783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《公共场所集中空调通风系统卫生规范》WS 394</w:t>
      </w:r>
    </w:p>
    <w:p w14:paraId="5D49BA1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《中华人民共和国安全生产法》</w:t>
      </w:r>
    </w:p>
    <w:p w14:paraId="22B4F664">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《危险化学品安全管理条例》</w:t>
      </w:r>
    </w:p>
    <w:p w14:paraId="59CA9FF9">
      <w:pPr>
        <w:spacing w:line="360" w:lineRule="auto"/>
        <w:ind w:firstLine="420" w:firstLineChars="200"/>
        <w:rPr>
          <w:rFonts w:hint="eastAsia" w:ascii="宋体" w:hAnsi="宋体" w:eastAsia="宋体" w:cs="宋体"/>
          <w:sz w:val="21"/>
          <w:szCs w:val="21"/>
        </w:rPr>
      </w:pPr>
      <w:r>
        <w:rPr>
          <w:rFonts w:hint="eastAsia" w:ascii="宋体" w:hAnsi="宋体" w:eastAsia="宋体" w:cs="宋体"/>
          <w:b w:val="0"/>
          <w:bCs w:val="0"/>
          <w:i w:val="0"/>
          <w:caps w:val="0"/>
          <w:color w:val="auto"/>
          <w:spacing w:val="0"/>
          <w:sz w:val="21"/>
          <w:szCs w:val="21"/>
          <w:highlight w:val="none"/>
          <w:shd w:val="clear" w:fill="FFFFFF"/>
        </w:rPr>
        <w:t>《使用有毒物品作业场所劳动保护条例》</w:t>
      </w:r>
    </w:p>
    <w:p w14:paraId="5F4EFEAC">
      <w:pPr>
        <w:numPr>
          <w:ilvl w:val="0"/>
          <w:numId w:val="0"/>
        </w:numPr>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kern w:val="2"/>
          <w:sz w:val="21"/>
          <w:szCs w:val="21"/>
          <w:lang w:val="en-US" w:eastAsia="zh-CN" w:bidi="ar-SA"/>
        </w:rPr>
        <w:t>3、</w:t>
      </w:r>
      <w:r>
        <w:rPr>
          <w:rFonts w:hint="eastAsia" w:ascii="宋体" w:hAnsi="宋体" w:eastAsia="宋体" w:cs="宋体"/>
          <w:b/>
          <w:bCs/>
          <w:sz w:val="21"/>
          <w:szCs w:val="21"/>
          <w:lang w:val="en-US" w:eastAsia="zh-CN"/>
        </w:rPr>
        <w:t>项目药剂要求</w:t>
      </w:r>
    </w:p>
    <w:p w14:paraId="5DEFB742">
      <w:pPr>
        <w:pStyle w:val="19"/>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投标人需在投标文件中详细列明拟用于本项目的冷却水及冷冻水系统所有化学药剂的</w:t>
      </w:r>
      <w:r>
        <w:rPr>
          <w:rStyle w:val="25"/>
          <w:rFonts w:hint="eastAsia" w:ascii="宋体" w:hAnsi="宋体" w:eastAsia="宋体" w:cs="宋体"/>
          <w:b w:val="0"/>
          <w:bCs w:val="0"/>
          <w:i w:val="0"/>
          <w:caps w:val="0"/>
          <w:color w:val="auto"/>
          <w:spacing w:val="0"/>
          <w:sz w:val="21"/>
          <w:szCs w:val="21"/>
          <w:highlight w:val="none"/>
          <w:shd w:val="clear" w:fill="FFFFFF"/>
        </w:rPr>
        <w:t>完整清单（商品名、主要成分、功能类别）</w:t>
      </w:r>
      <w:r>
        <w:rPr>
          <w:rFonts w:hint="eastAsia" w:ascii="宋体" w:hAnsi="宋体" w:eastAsia="宋体" w:cs="宋体"/>
          <w:b w:val="0"/>
          <w:bCs w:val="0"/>
          <w:i w:val="0"/>
          <w:caps w:val="0"/>
          <w:color w:val="auto"/>
          <w:spacing w:val="0"/>
          <w:sz w:val="21"/>
          <w:szCs w:val="21"/>
          <w:highlight w:val="none"/>
          <w:shd w:val="clear" w:fill="FFFFFF"/>
        </w:rPr>
        <w:t>。</w:t>
      </w:r>
    </w:p>
    <w:p w14:paraId="02FF2CCD">
      <w:pPr>
        <w:pStyle w:val="19"/>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提供所有药剂的</w:t>
      </w:r>
      <w:r>
        <w:rPr>
          <w:rStyle w:val="25"/>
          <w:rFonts w:hint="eastAsia" w:ascii="宋体" w:hAnsi="宋体" w:eastAsia="宋体" w:cs="宋体"/>
          <w:b w:val="0"/>
          <w:bCs w:val="0"/>
          <w:i w:val="0"/>
          <w:caps w:val="0"/>
          <w:color w:val="auto"/>
          <w:spacing w:val="0"/>
          <w:sz w:val="21"/>
          <w:szCs w:val="21"/>
          <w:highlight w:val="none"/>
          <w:shd w:val="clear" w:fill="FFFFFF"/>
        </w:rPr>
        <w:t>最新版安全技术说明书（MSDS）</w:t>
      </w:r>
      <w:r>
        <w:rPr>
          <w:rFonts w:hint="eastAsia" w:ascii="宋体" w:hAnsi="宋体" w:eastAsia="宋体" w:cs="宋体"/>
          <w:b w:val="0"/>
          <w:bCs w:val="0"/>
          <w:i w:val="0"/>
          <w:caps w:val="0"/>
          <w:color w:val="auto"/>
          <w:spacing w:val="0"/>
          <w:sz w:val="21"/>
          <w:szCs w:val="21"/>
          <w:highlight w:val="none"/>
          <w:shd w:val="clear" w:fill="FFFFFF"/>
        </w:rPr>
        <w:t>。</w:t>
      </w:r>
    </w:p>
    <w:p w14:paraId="1AE75C6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提供缓蚀剂、阻垢剂、杀菌剂的</w:t>
      </w:r>
      <w:r>
        <w:rPr>
          <w:rStyle w:val="25"/>
          <w:rFonts w:hint="eastAsia" w:ascii="宋体" w:hAnsi="宋体" w:eastAsia="宋体" w:cs="宋体"/>
          <w:b w:val="0"/>
          <w:bCs w:val="0"/>
          <w:i w:val="0"/>
          <w:caps w:val="0"/>
          <w:color w:val="auto"/>
          <w:spacing w:val="0"/>
          <w:sz w:val="21"/>
          <w:szCs w:val="21"/>
          <w:highlight w:val="none"/>
          <w:shd w:val="clear" w:fill="FFFFFF"/>
        </w:rPr>
        <w:t>初始加药量及日常维持加药量的计算依据和方法说明</w:t>
      </w:r>
      <w:r>
        <w:rPr>
          <w:rFonts w:hint="eastAsia" w:ascii="宋体" w:hAnsi="宋体" w:eastAsia="宋体" w:cs="宋体"/>
          <w:b w:val="0"/>
          <w:bCs w:val="0"/>
          <w:i w:val="0"/>
          <w:caps w:val="0"/>
          <w:color w:val="auto"/>
          <w:spacing w:val="0"/>
          <w:sz w:val="21"/>
          <w:szCs w:val="21"/>
          <w:highlight w:val="none"/>
          <w:shd w:val="clear" w:fill="FFFFFF"/>
        </w:rPr>
        <w:t>。氧化性杀菌剂的投加必须符合GB 50050的相关要求。</w:t>
      </w:r>
    </w:p>
    <w:p w14:paraId="28EC751C">
      <w:pPr>
        <w:pStyle w:val="19"/>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所有药剂必须符合国家环保及安全标准，高效、低毒、低磷（或无磷），优先选择环境友好型产品。</w:t>
      </w:r>
    </w:p>
    <w:p w14:paraId="59A372C0">
      <w:pPr>
        <w:numPr>
          <w:ilvl w:val="0"/>
          <w:numId w:val="0"/>
        </w:numPr>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4、项目质量控制指标与要求：乙方的服务必须确保系统水质达到以下标准：</w:t>
      </w:r>
    </w:p>
    <w:p w14:paraId="71EC9EA3">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水质控制限值：</w:t>
      </w:r>
      <w:r>
        <w:rPr>
          <w:rFonts w:hint="eastAsia" w:ascii="宋体" w:hAnsi="宋体" w:eastAsia="宋体" w:cs="宋体"/>
          <w:b w:val="0"/>
          <w:bCs w:val="0"/>
          <w:i w:val="0"/>
          <w:caps w:val="0"/>
          <w:color w:val="auto"/>
          <w:spacing w:val="0"/>
          <w:sz w:val="21"/>
          <w:szCs w:val="21"/>
          <w:highlight w:val="none"/>
          <w:shd w:val="clear" w:fill="FFFFFF"/>
        </w:rPr>
        <w:t>满足下表要求（依据GB/T 29044, GB 50050等制定）</w:t>
      </w:r>
    </w:p>
    <w:p w14:paraId="66665321">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表</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3</w:t>
      </w:r>
      <w:r>
        <w:rPr>
          <w:rStyle w:val="25"/>
          <w:rFonts w:hint="eastAsia" w:ascii="宋体" w:hAnsi="宋体" w:eastAsia="宋体" w:cs="宋体"/>
          <w:b w:val="0"/>
          <w:bCs w:val="0"/>
          <w:i w:val="0"/>
          <w:caps w:val="0"/>
          <w:color w:val="auto"/>
          <w:spacing w:val="0"/>
          <w:sz w:val="21"/>
          <w:szCs w:val="21"/>
          <w:highlight w:val="none"/>
          <w:shd w:val="clear" w:fill="FFFFFF"/>
        </w:rPr>
        <w:t>：</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年度</w:t>
      </w:r>
      <w:r>
        <w:rPr>
          <w:rStyle w:val="25"/>
          <w:rFonts w:hint="eastAsia" w:ascii="宋体" w:hAnsi="宋体" w:eastAsia="宋体" w:cs="宋体"/>
          <w:b w:val="0"/>
          <w:bCs w:val="0"/>
          <w:i w:val="0"/>
          <w:caps w:val="0"/>
          <w:color w:val="auto"/>
          <w:spacing w:val="0"/>
          <w:sz w:val="21"/>
          <w:szCs w:val="21"/>
          <w:highlight w:val="none"/>
          <w:shd w:val="clear" w:fill="FFFFFF"/>
        </w:rPr>
        <w:t>水质测试项目</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指标</w:t>
      </w:r>
      <w:r>
        <w:rPr>
          <w:rStyle w:val="25"/>
          <w:rFonts w:hint="eastAsia" w:ascii="宋体" w:hAnsi="宋体" w:eastAsia="宋体" w:cs="宋体"/>
          <w:b w:val="0"/>
          <w:bCs w:val="0"/>
          <w:i w:val="0"/>
          <w:caps w:val="0"/>
          <w:color w:val="auto"/>
          <w:spacing w:val="0"/>
          <w:sz w:val="21"/>
          <w:szCs w:val="21"/>
          <w:highlight w:val="none"/>
          <w:shd w:val="clear" w:fill="FFFFFF"/>
        </w:rPr>
        <w:t>及频次要求</w:t>
      </w:r>
    </w:p>
    <w:tbl>
      <w:tblPr>
        <w:tblStyle w:val="23"/>
        <w:tblW w:w="8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013"/>
        <w:gridCol w:w="1396"/>
        <w:gridCol w:w="960"/>
        <w:gridCol w:w="1635"/>
        <w:gridCol w:w="1294"/>
        <w:gridCol w:w="1031"/>
      </w:tblGrid>
      <w:tr w14:paraId="1C19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2013" w:type="dxa"/>
            <w:shd w:val="clear" w:color="auto" w:fill="auto"/>
            <w:vAlign w:val="center"/>
          </w:tcPr>
          <w:p w14:paraId="5218F4C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冷却水分析项目</w:t>
            </w:r>
          </w:p>
        </w:tc>
        <w:tc>
          <w:tcPr>
            <w:tcW w:w="1396" w:type="dxa"/>
            <w:shd w:val="clear" w:color="auto" w:fill="auto"/>
            <w:vAlign w:val="center"/>
          </w:tcPr>
          <w:p w14:paraId="436C4F8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960" w:type="dxa"/>
            <w:shd w:val="clear" w:color="auto" w:fill="auto"/>
            <w:vAlign w:val="center"/>
          </w:tcPr>
          <w:p w14:paraId="3662F61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c>
          <w:tcPr>
            <w:tcW w:w="1635" w:type="dxa"/>
            <w:shd w:val="clear" w:color="auto" w:fill="auto"/>
            <w:vAlign w:val="center"/>
          </w:tcPr>
          <w:p w14:paraId="7B385D4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冷冻水分析项目</w:t>
            </w:r>
          </w:p>
        </w:tc>
        <w:tc>
          <w:tcPr>
            <w:tcW w:w="1294" w:type="dxa"/>
            <w:shd w:val="clear" w:color="auto" w:fill="auto"/>
            <w:vAlign w:val="center"/>
          </w:tcPr>
          <w:p w14:paraId="174584F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1031" w:type="dxa"/>
            <w:shd w:val="clear" w:color="auto" w:fill="auto"/>
            <w:vAlign w:val="center"/>
          </w:tcPr>
          <w:p w14:paraId="2C8618A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r>
      <w:tr w14:paraId="540B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4CFF8C6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pH值 (25℃)</w:t>
            </w:r>
          </w:p>
        </w:tc>
        <w:tc>
          <w:tcPr>
            <w:tcW w:w="1396" w:type="dxa"/>
            <w:shd w:val="clear" w:color="auto" w:fill="auto"/>
            <w:vAlign w:val="center"/>
          </w:tcPr>
          <w:p w14:paraId="03D824D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7.5 - 9.5</w:t>
            </w:r>
          </w:p>
        </w:tc>
        <w:tc>
          <w:tcPr>
            <w:tcW w:w="960" w:type="dxa"/>
            <w:shd w:val="clear" w:color="auto" w:fill="auto"/>
            <w:vAlign w:val="center"/>
          </w:tcPr>
          <w:p w14:paraId="7F4D1A4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06673B2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pH值 (25℃)</w:t>
            </w:r>
          </w:p>
        </w:tc>
        <w:tc>
          <w:tcPr>
            <w:tcW w:w="1294" w:type="dxa"/>
            <w:shd w:val="clear" w:color="auto" w:fill="auto"/>
            <w:vAlign w:val="center"/>
          </w:tcPr>
          <w:p w14:paraId="300BE86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7.5 - 10.0</w:t>
            </w:r>
          </w:p>
        </w:tc>
        <w:tc>
          <w:tcPr>
            <w:tcW w:w="1031" w:type="dxa"/>
            <w:shd w:val="clear" w:color="auto" w:fill="auto"/>
            <w:vAlign w:val="center"/>
          </w:tcPr>
          <w:p w14:paraId="4883865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1A02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66AFCB8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浊度</w:t>
            </w:r>
          </w:p>
        </w:tc>
        <w:tc>
          <w:tcPr>
            <w:tcW w:w="1396" w:type="dxa"/>
            <w:shd w:val="clear" w:color="auto" w:fill="auto"/>
            <w:vAlign w:val="center"/>
          </w:tcPr>
          <w:p w14:paraId="5DBC6D1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20 NTU</w:t>
            </w:r>
          </w:p>
        </w:tc>
        <w:tc>
          <w:tcPr>
            <w:tcW w:w="960" w:type="dxa"/>
            <w:shd w:val="clear" w:color="auto" w:fill="auto"/>
            <w:vAlign w:val="center"/>
          </w:tcPr>
          <w:p w14:paraId="2B7A798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13F5E54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浊度</w:t>
            </w:r>
          </w:p>
        </w:tc>
        <w:tc>
          <w:tcPr>
            <w:tcW w:w="1294" w:type="dxa"/>
            <w:shd w:val="clear" w:color="auto" w:fill="auto"/>
            <w:vAlign w:val="center"/>
          </w:tcPr>
          <w:p w14:paraId="2DC9BB0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NTU</w:t>
            </w:r>
          </w:p>
        </w:tc>
        <w:tc>
          <w:tcPr>
            <w:tcW w:w="1031" w:type="dxa"/>
            <w:shd w:val="clear" w:color="auto" w:fill="auto"/>
            <w:vAlign w:val="center"/>
          </w:tcPr>
          <w:p w14:paraId="1F5E139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0A18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0BFCF08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电导率</w:t>
            </w:r>
          </w:p>
        </w:tc>
        <w:tc>
          <w:tcPr>
            <w:tcW w:w="1396" w:type="dxa"/>
            <w:shd w:val="clear" w:color="auto" w:fill="auto"/>
            <w:vAlign w:val="center"/>
          </w:tcPr>
          <w:p w14:paraId="528318E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2300 μS/cm</w:t>
            </w:r>
          </w:p>
        </w:tc>
        <w:tc>
          <w:tcPr>
            <w:tcW w:w="960" w:type="dxa"/>
            <w:shd w:val="clear" w:color="auto" w:fill="auto"/>
            <w:vAlign w:val="center"/>
          </w:tcPr>
          <w:p w14:paraId="2662448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17264B1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电导率</w:t>
            </w:r>
          </w:p>
        </w:tc>
        <w:tc>
          <w:tcPr>
            <w:tcW w:w="1294" w:type="dxa"/>
            <w:shd w:val="clear" w:color="auto" w:fill="auto"/>
            <w:vAlign w:val="center"/>
          </w:tcPr>
          <w:p w14:paraId="3FC67FF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2000 μS/cm</w:t>
            </w:r>
          </w:p>
        </w:tc>
        <w:tc>
          <w:tcPr>
            <w:tcW w:w="1031" w:type="dxa"/>
            <w:shd w:val="clear" w:color="auto" w:fill="auto"/>
            <w:vAlign w:val="center"/>
          </w:tcPr>
          <w:p w14:paraId="7E109D2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35B4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1C05465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总碱度 (以CaCO3计)</w:t>
            </w:r>
          </w:p>
        </w:tc>
        <w:tc>
          <w:tcPr>
            <w:tcW w:w="1396" w:type="dxa"/>
            <w:shd w:val="clear" w:color="auto" w:fill="auto"/>
            <w:vAlign w:val="center"/>
          </w:tcPr>
          <w:p w14:paraId="1C0F9E6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600 mg/L</w:t>
            </w:r>
          </w:p>
        </w:tc>
        <w:tc>
          <w:tcPr>
            <w:tcW w:w="960" w:type="dxa"/>
            <w:shd w:val="clear" w:color="auto" w:fill="auto"/>
            <w:vAlign w:val="center"/>
          </w:tcPr>
          <w:p w14:paraId="2E10C5C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10DDE1D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Cl-</w:t>
            </w:r>
          </w:p>
        </w:tc>
        <w:tc>
          <w:tcPr>
            <w:tcW w:w="1294" w:type="dxa"/>
            <w:shd w:val="clear" w:color="auto" w:fill="auto"/>
            <w:vAlign w:val="center"/>
          </w:tcPr>
          <w:p w14:paraId="0D634E3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250 mg/L</w:t>
            </w:r>
          </w:p>
        </w:tc>
        <w:tc>
          <w:tcPr>
            <w:tcW w:w="1031" w:type="dxa"/>
            <w:shd w:val="clear" w:color="auto" w:fill="auto"/>
            <w:vAlign w:val="center"/>
          </w:tcPr>
          <w:p w14:paraId="252ADF1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0F84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490DD1D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钙硬度(以CaCO3计)</w:t>
            </w:r>
          </w:p>
        </w:tc>
        <w:tc>
          <w:tcPr>
            <w:tcW w:w="1396" w:type="dxa"/>
            <w:shd w:val="clear" w:color="auto" w:fill="auto"/>
            <w:vAlign w:val="center"/>
          </w:tcPr>
          <w:p w14:paraId="406681D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960" w:type="dxa"/>
            <w:shd w:val="clear" w:color="auto" w:fill="auto"/>
            <w:vAlign w:val="center"/>
          </w:tcPr>
          <w:p w14:paraId="761D2F8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w:t>
            </w:r>
          </w:p>
        </w:tc>
        <w:tc>
          <w:tcPr>
            <w:tcW w:w="1635" w:type="dxa"/>
            <w:shd w:val="clear" w:color="auto" w:fill="auto"/>
            <w:vAlign w:val="center"/>
          </w:tcPr>
          <w:p w14:paraId="0D8F3E9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总铁</w:t>
            </w:r>
          </w:p>
        </w:tc>
        <w:tc>
          <w:tcPr>
            <w:tcW w:w="1294" w:type="dxa"/>
            <w:shd w:val="clear" w:color="auto" w:fill="auto"/>
            <w:vAlign w:val="center"/>
          </w:tcPr>
          <w:p w14:paraId="166197E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1031" w:type="dxa"/>
            <w:shd w:val="clear" w:color="auto" w:fill="auto"/>
            <w:vAlign w:val="center"/>
          </w:tcPr>
          <w:p w14:paraId="7F55DCA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3679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1D4A8FFA">
            <w:pPr>
              <w:keepNext w:val="0"/>
              <w:keepLines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总碱度+钙硬度(以CaCO3计)</w:t>
            </w:r>
          </w:p>
        </w:tc>
        <w:tc>
          <w:tcPr>
            <w:tcW w:w="1396" w:type="dxa"/>
            <w:shd w:val="clear" w:color="auto" w:fill="auto"/>
            <w:vAlign w:val="center"/>
          </w:tcPr>
          <w:p w14:paraId="14CCC62A">
            <w:pPr>
              <w:keepNext w:val="0"/>
              <w:keepLines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≤1100</w:t>
            </w:r>
          </w:p>
        </w:tc>
        <w:tc>
          <w:tcPr>
            <w:tcW w:w="960" w:type="dxa"/>
            <w:shd w:val="clear" w:color="auto" w:fill="auto"/>
            <w:vAlign w:val="center"/>
          </w:tcPr>
          <w:p w14:paraId="389E03B6">
            <w:pPr>
              <w:keepNext w:val="0"/>
              <w:keepLines w:val="0"/>
              <w:suppressLineNumbers w:val="0"/>
              <w:spacing w:before="0" w:beforeAutospacing="0" w:after="0" w:afterAutospacing="0" w:line="360" w:lineRule="auto"/>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6E4ABF6F">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钙硬度 (以CaCO3计)</w:t>
            </w:r>
          </w:p>
        </w:tc>
        <w:tc>
          <w:tcPr>
            <w:tcW w:w="1294" w:type="dxa"/>
            <w:shd w:val="clear" w:color="auto" w:fill="auto"/>
            <w:vAlign w:val="center"/>
          </w:tcPr>
          <w:p w14:paraId="370A115D">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300 mg/L</w:t>
            </w:r>
          </w:p>
        </w:tc>
        <w:tc>
          <w:tcPr>
            <w:tcW w:w="1031" w:type="dxa"/>
            <w:shd w:val="clear" w:color="auto" w:fill="auto"/>
            <w:vAlign w:val="center"/>
          </w:tcPr>
          <w:p w14:paraId="0FBA4334">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1次/年</w:t>
            </w:r>
          </w:p>
        </w:tc>
      </w:tr>
      <w:tr w14:paraId="6587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7E7E907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Cl-</w:t>
            </w:r>
          </w:p>
        </w:tc>
        <w:tc>
          <w:tcPr>
            <w:tcW w:w="1396" w:type="dxa"/>
            <w:shd w:val="clear" w:color="auto" w:fill="auto"/>
            <w:vAlign w:val="center"/>
          </w:tcPr>
          <w:p w14:paraId="3E2AD3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500 mg/L</w:t>
            </w:r>
          </w:p>
        </w:tc>
        <w:tc>
          <w:tcPr>
            <w:tcW w:w="960" w:type="dxa"/>
            <w:shd w:val="clear" w:color="auto" w:fill="auto"/>
            <w:vAlign w:val="center"/>
          </w:tcPr>
          <w:p w14:paraId="02155DEB">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43AAD2F5">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总碱度 (以CaCO3计)</w:t>
            </w:r>
          </w:p>
        </w:tc>
        <w:tc>
          <w:tcPr>
            <w:tcW w:w="1294" w:type="dxa"/>
            <w:shd w:val="clear" w:color="auto" w:fill="auto"/>
            <w:vAlign w:val="center"/>
          </w:tcPr>
          <w:p w14:paraId="6D51BFC0">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500 mg/L</w:t>
            </w:r>
          </w:p>
        </w:tc>
        <w:tc>
          <w:tcPr>
            <w:tcW w:w="1031" w:type="dxa"/>
            <w:shd w:val="clear" w:color="auto" w:fill="auto"/>
            <w:vAlign w:val="center"/>
          </w:tcPr>
          <w:p w14:paraId="171B1039">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1EF90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31F3C25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总铁</w:t>
            </w:r>
          </w:p>
        </w:tc>
        <w:tc>
          <w:tcPr>
            <w:tcW w:w="1396" w:type="dxa"/>
            <w:shd w:val="clear" w:color="auto" w:fill="auto"/>
            <w:vAlign w:val="center"/>
          </w:tcPr>
          <w:p w14:paraId="7D93168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960" w:type="dxa"/>
            <w:shd w:val="clear" w:color="auto" w:fill="auto"/>
            <w:vAlign w:val="center"/>
          </w:tcPr>
          <w:p w14:paraId="2199764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1A5286E5">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溶解氧</w:t>
            </w:r>
          </w:p>
        </w:tc>
        <w:tc>
          <w:tcPr>
            <w:tcW w:w="1294" w:type="dxa"/>
            <w:shd w:val="clear" w:color="auto" w:fill="auto"/>
            <w:vAlign w:val="center"/>
          </w:tcPr>
          <w:p w14:paraId="75C3F9CE">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0.1 mg/L</w:t>
            </w:r>
          </w:p>
        </w:tc>
        <w:tc>
          <w:tcPr>
            <w:tcW w:w="1031" w:type="dxa"/>
            <w:shd w:val="clear" w:color="auto" w:fill="auto"/>
            <w:vAlign w:val="center"/>
          </w:tcPr>
          <w:p w14:paraId="7B7457D6">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5C657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539D81E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NH3-Na</w:t>
            </w:r>
          </w:p>
        </w:tc>
        <w:tc>
          <w:tcPr>
            <w:tcW w:w="1396" w:type="dxa"/>
            <w:shd w:val="clear" w:color="auto" w:fill="auto"/>
            <w:vAlign w:val="center"/>
          </w:tcPr>
          <w:p w14:paraId="1B9A34A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960" w:type="dxa"/>
            <w:shd w:val="clear" w:color="auto" w:fill="auto"/>
            <w:vAlign w:val="center"/>
          </w:tcPr>
          <w:p w14:paraId="0B12730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503B8BC2">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有机磷 (以P计)</w:t>
            </w:r>
          </w:p>
        </w:tc>
        <w:tc>
          <w:tcPr>
            <w:tcW w:w="1294" w:type="dxa"/>
            <w:shd w:val="clear" w:color="auto" w:fill="auto"/>
            <w:vAlign w:val="center"/>
          </w:tcPr>
          <w:p w14:paraId="1263A141">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0.5 mg/L</w:t>
            </w:r>
          </w:p>
        </w:tc>
        <w:tc>
          <w:tcPr>
            <w:tcW w:w="1031" w:type="dxa"/>
            <w:shd w:val="clear" w:color="auto" w:fill="auto"/>
            <w:vAlign w:val="center"/>
          </w:tcPr>
          <w:p w14:paraId="5044DA8A">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4E6F1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2013" w:type="dxa"/>
            <w:shd w:val="clear" w:color="auto" w:fill="auto"/>
            <w:vAlign w:val="center"/>
          </w:tcPr>
          <w:p w14:paraId="6C9B959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游离氯</w:t>
            </w:r>
          </w:p>
        </w:tc>
        <w:tc>
          <w:tcPr>
            <w:tcW w:w="1396" w:type="dxa"/>
            <w:shd w:val="clear" w:color="auto" w:fill="auto"/>
            <w:vAlign w:val="center"/>
          </w:tcPr>
          <w:p w14:paraId="6C03434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0.05-1.0 10 mg/L（循环水总管处）</w:t>
            </w:r>
          </w:p>
        </w:tc>
        <w:tc>
          <w:tcPr>
            <w:tcW w:w="960" w:type="dxa"/>
            <w:shd w:val="clear" w:color="auto" w:fill="auto"/>
            <w:vAlign w:val="center"/>
          </w:tcPr>
          <w:p w14:paraId="723C277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63431948">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p>
        </w:tc>
        <w:tc>
          <w:tcPr>
            <w:tcW w:w="1294" w:type="dxa"/>
            <w:shd w:val="clear" w:color="auto" w:fill="auto"/>
            <w:vAlign w:val="center"/>
          </w:tcPr>
          <w:p w14:paraId="199C54DF">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p>
        </w:tc>
        <w:tc>
          <w:tcPr>
            <w:tcW w:w="1031" w:type="dxa"/>
            <w:shd w:val="clear" w:color="auto" w:fill="auto"/>
            <w:vAlign w:val="center"/>
          </w:tcPr>
          <w:p w14:paraId="4532277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p>
        </w:tc>
      </w:tr>
      <w:tr w14:paraId="08C6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2013" w:type="dxa"/>
            <w:shd w:val="clear" w:color="auto" w:fill="auto"/>
            <w:vAlign w:val="center"/>
          </w:tcPr>
          <w:p w14:paraId="703D107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CODcr</w:t>
            </w:r>
          </w:p>
        </w:tc>
        <w:tc>
          <w:tcPr>
            <w:tcW w:w="1396" w:type="dxa"/>
            <w:shd w:val="clear" w:color="auto" w:fill="auto"/>
            <w:vAlign w:val="center"/>
          </w:tcPr>
          <w:p w14:paraId="0D3BF66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100 mg/L</w:t>
            </w:r>
          </w:p>
        </w:tc>
        <w:tc>
          <w:tcPr>
            <w:tcW w:w="960" w:type="dxa"/>
            <w:shd w:val="clear" w:color="auto" w:fill="auto"/>
            <w:vAlign w:val="center"/>
          </w:tcPr>
          <w:p w14:paraId="2CCBF93C">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37E23F60">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p>
        </w:tc>
        <w:tc>
          <w:tcPr>
            <w:tcW w:w="1294" w:type="dxa"/>
            <w:shd w:val="clear" w:color="auto" w:fill="auto"/>
            <w:vAlign w:val="center"/>
          </w:tcPr>
          <w:p w14:paraId="4C3FA1D3">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p>
        </w:tc>
        <w:tc>
          <w:tcPr>
            <w:tcW w:w="1031" w:type="dxa"/>
            <w:shd w:val="clear" w:color="auto" w:fill="auto"/>
            <w:vAlign w:val="center"/>
          </w:tcPr>
          <w:p w14:paraId="4282F37B">
            <w:pPr>
              <w:keepNext w:val="0"/>
              <w:keepLines w:val="0"/>
              <w:suppressLineNumbers w:val="0"/>
              <w:spacing w:before="0" w:beforeAutospacing="0" w:after="0" w:afterAutospacing="0" w:line="360" w:lineRule="auto"/>
              <w:ind w:left="0" w:leftChars="0" w:right="0" w:rightChars="0"/>
              <w:jc w:val="center"/>
              <w:rPr>
                <w:rFonts w:hint="eastAsia" w:ascii="宋体" w:hAnsi="宋体" w:eastAsia="宋体" w:cs="宋体"/>
                <w:color w:val="auto"/>
                <w:szCs w:val="21"/>
                <w:highlight w:val="none"/>
              </w:rPr>
            </w:pPr>
          </w:p>
        </w:tc>
      </w:tr>
      <w:tr w14:paraId="34B7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2013" w:type="dxa"/>
            <w:shd w:val="clear" w:color="auto" w:fill="auto"/>
            <w:vAlign w:val="center"/>
          </w:tcPr>
          <w:p w14:paraId="33988ED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异养菌总数</w:t>
            </w:r>
          </w:p>
        </w:tc>
        <w:tc>
          <w:tcPr>
            <w:tcW w:w="1396" w:type="dxa"/>
            <w:shd w:val="clear" w:color="auto" w:fill="auto"/>
            <w:vAlign w:val="center"/>
          </w:tcPr>
          <w:p w14:paraId="5FBCF22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1×10⁵ 个/mL</w:t>
            </w:r>
          </w:p>
        </w:tc>
        <w:tc>
          <w:tcPr>
            <w:tcW w:w="960" w:type="dxa"/>
            <w:shd w:val="clear" w:color="auto" w:fill="auto"/>
            <w:vAlign w:val="center"/>
          </w:tcPr>
          <w:p w14:paraId="1EA8CDA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0FB4566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94" w:type="dxa"/>
            <w:shd w:val="clear" w:color="auto" w:fill="auto"/>
            <w:vAlign w:val="center"/>
          </w:tcPr>
          <w:p w14:paraId="3E4D7DE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031" w:type="dxa"/>
            <w:shd w:val="clear" w:color="auto" w:fill="auto"/>
            <w:vAlign w:val="center"/>
          </w:tcPr>
          <w:p w14:paraId="66587CA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7ADED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5255564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有机磷 (以P计)</w:t>
            </w:r>
          </w:p>
        </w:tc>
        <w:tc>
          <w:tcPr>
            <w:tcW w:w="1396" w:type="dxa"/>
            <w:shd w:val="clear" w:color="auto" w:fill="auto"/>
            <w:vAlign w:val="center"/>
          </w:tcPr>
          <w:p w14:paraId="46183E0D">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0.5 mg/L</w:t>
            </w:r>
          </w:p>
        </w:tc>
        <w:tc>
          <w:tcPr>
            <w:tcW w:w="960" w:type="dxa"/>
            <w:shd w:val="clear" w:color="auto" w:fill="auto"/>
            <w:vAlign w:val="center"/>
          </w:tcPr>
          <w:p w14:paraId="1C51CF7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3ACCAF6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94" w:type="dxa"/>
            <w:shd w:val="clear" w:color="auto" w:fill="auto"/>
            <w:vAlign w:val="center"/>
          </w:tcPr>
          <w:p w14:paraId="31624966">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031" w:type="dxa"/>
            <w:shd w:val="clear" w:color="auto" w:fill="auto"/>
            <w:vAlign w:val="center"/>
          </w:tcPr>
          <w:p w14:paraId="75B6F09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34AE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65163B7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浓缩倍数</w:t>
            </w:r>
          </w:p>
        </w:tc>
        <w:tc>
          <w:tcPr>
            <w:tcW w:w="1396" w:type="dxa"/>
            <w:shd w:val="clear" w:color="auto" w:fill="auto"/>
            <w:vAlign w:val="center"/>
          </w:tcPr>
          <w:p w14:paraId="0A64655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3.0 - 5.0</w:t>
            </w:r>
          </w:p>
        </w:tc>
        <w:tc>
          <w:tcPr>
            <w:tcW w:w="960" w:type="dxa"/>
            <w:shd w:val="clear" w:color="auto" w:fill="auto"/>
            <w:vAlign w:val="center"/>
          </w:tcPr>
          <w:p w14:paraId="6D7AAF6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59C34A0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94" w:type="dxa"/>
            <w:shd w:val="clear" w:color="auto" w:fill="auto"/>
            <w:vAlign w:val="center"/>
          </w:tcPr>
          <w:p w14:paraId="056877B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031" w:type="dxa"/>
            <w:shd w:val="clear" w:color="auto" w:fill="auto"/>
            <w:vAlign w:val="center"/>
          </w:tcPr>
          <w:p w14:paraId="5A12EA7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r w14:paraId="72E6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2013" w:type="dxa"/>
            <w:shd w:val="clear" w:color="auto" w:fill="auto"/>
            <w:vAlign w:val="center"/>
          </w:tcPr>
          <w:p w14:paraId="6463746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军团菌</w:t>
            </w:r>
          </w:p>
        </w:tc>
        <w:tc>
          <w:tcPr>
            <w:tcW w:w="1396" w:type="dxa"/>
            <w:shd w:val="clear" w:color="auto" w:fill="auto"/>
            <w:vAlign w:val="center"/>
          </w:tcPr>
          <w:p w14:paraId="0C50D7D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不得检出</w:t>
            </w:r>
          </w:p>
        </w:tc>
        <w:tc>
          <w:tcPr>
            <w:tcW w:w="960" w:type="dxa"/>
            <w:shd w:val="clear" w:color="auto" w:fill="auto"/>
            <w:vAlign w:val="center"/>
          </w:tcPr>
          <w:p w14:paraId="0E8F5DC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35" w:type="dxa"/>
            <w:shd w:val="clear" w:color="auto" w:fill="auto"/>
            <w:vAlign w:val="center"/>
          </w:tcPr>
          <w:p w14:paraId="0B0EDF0A">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294" w:type="dxa"/>
            <w:shd w:val="clear" w:color="auto" w:fill="auto"/>
            <w:vAlign w:val="center"/>
          </w:tcPr>
          <w:p w14:paraId="470E051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c>
          <w:tcPr>
            <w:tcW w:w="1031" w:type="dxa"/>
            <w:shd w:val="clear" w:color="auto" w:fill="auto"/>
            <w:vAlign w:val="center"/>
          </w:tcPr>
          <w:p w14:paraId="70872CC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p>
        </w:tc>
      </w:tr>
    </w:tbl>
    <w:p w14:paraId="5E7909C2">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军团菌控制：</w:t>
      </w:r>
    </w:p>
    <w:p w14:paraId="107DA8A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年度第三方检测报告中，</w:t>
      </w:r>
      <w:r>
        <w:rPr>
          <w:rStyle w:val="25"/>
          <w:rFonts w:hint="eastAsia" w:ascii="宋体" w:hAnsi="宋体" w:eastAsia="宋体" w:cs="宋体"/>
          <w:b w:val="0"/>
          <w:bCs w:val="0"/>
          <w:i w:val="0"/>
          <w:caps w:val="0"/>
          <w:color w:val="auto"/>
          <w:spacing w:val="0"/>
          <w:sz w:val="21"/>
          <w:szCs w:val="21"/>
          <w:highlight w:val="none"/>
          <w:shd w:val="clear" w:fill="FFFFFF"/>
        </w:rPr>
        <w:t>冷冻水和冷却水的军团菌指标必须均为“未检出”</w:t>
      </w:r>
      <w:r>
        <w:rPr>
          <w:rFonts w:hint="eastAsia" w:ascii="宋体" w:hAnsi="宋体" w:eastAsia="宋体" w:cs="宋体"/>
          <w:b w:val="0"/>
          <w:bCs w:val="0"/>
          <w:i w:val="0"/>
          <w:caps w:val="0"/>
          <w:color w:val="auto"/>
          <w:spacing w:val="0"/>
          <w:sz w:val="21"/>
          <w:szCs w:val="21"/>
          <w:highlight w:val="none"/>
          <w:shd w:val="clear" w:fill="FFFFFF"/>
        </w:rPr>
        <w:t>。若在任何检测（包括甲方委托或政府抽查）中发现军团菌阳性，</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必须在接到通知后立即启动应急处理预案（需在投标文件中提供预案），并在</w:t>
      </w:r>
      <w:r>
        <w:rPr>
          <w:rStyle w:val="25"/>
          <w:rFonts w:hint="eastAsia" w:ascii="宋体" w:hAnsi="宋体" w:eastAsia="宋体" w:cs="宋体"/>
          <w:b w:val="0"/>
          <w:bCs w:val="0"/>
          <w:i w:val="0"/>
          <w:caps w:val="0"/>
          <w:color w:val="auto"/>
          <w:spacing w:val="0"/>
          <w:sz w:val="21"/>
          <w:szCs w:val="21"/>
          <w:highlight w:val="none"/>
          <w:shd w:val="clear" w:fill="FFFFFF"/>
        </w:rPr>
        <w:t>48小时内</w:t>
      </w:r>
      <w:r>
        <w:rPr>
          <w:rFonts w:hint="eastAsia" w:ascii="宋体" w:hAnsi="宋体" w:eastAsia="宋体" w:cs="宋体"/>
          <w:b w:val="0"/>
          <w:bCs w:val="0"/>
          <w:i w:val="0"/>
          <w:caps w:val="0"/>
          <w:color w:val="auto"/>
          <w:spacing w:val="0"/>
          <w:sz w:val="21"/>
          <w:szCs w:val="21"/>
          <w:highlight w:val="none"/>
          <w:shd w:val="clear" w:fill="FFFFFF"/>
        </w:rPr>
        <w:t>进行强化处理直至复检合格，相关费用由</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承担。</w:t>
      </w:r>
    </w:p>
    <w:p w14:paraId="70504175">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设备状况：</w:t>
      </w:r>
    </w:p>
    <w:p w14:paraId="4BD3914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冷凝器/蒸发器小温差：</w:t>
      </w:r>
      <w:r>
        <w:rPr>
          <w:rFonts w:hint="eastAsia" w:ascii="宋体" w:hAnsi="宋体" w:eastAsia="宋体" w:cs="宋体"/>
          <w:b w:val="0"/>
          <w:bCs w:val="0"/>
          <w:i w:val="0"/>
          <w:caps w:val="0"/>
          <w:color w:val="auto"/>
          <w:spacing w:val="0"/>
          <w:sz w:val="21"/>
          <w:szCs w:val="21"/>
          <w:highlight w:val="none"/>
          <w:shd w:val="clear" w:fill="FFFFFF"/>
        </w:rPr>
        <w:t>制冷主机经水处理后，合同期内冷凝器小温差（制冷剂冷凝温度与冷却水出水温度之差）升幅不超过1℃，且小温差不能超过3.0℃。若小温差超过3.0℃，经甲方确认确因结垢导致，</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需</w:t>
      </w:r>
      <w:r>
        <w:rPr>
          <w:rStyle w:val="25"/>
          <w:rFonts w:hint="eastAsia" w:ascii="宋体" w:hAnsi="宋体" w:eastAsia="宋体" w:cs="宋体"/>
          <w:b w:val="0"/>
          <w:bCs w:val="0"/>
          <w:i w:val="0"/>
          <w:caps w:val="0"/>
          <w:color w:val="auto"/>
          <w:spacing w:val="0"/>
          <w:sz w:val="21"/>
          <w:szCs w:val="21"/>
          <w:highlight w:val="none"/>
          <w:shd w:val="clear" w:fill="FFFFFF"/>
        </w:rPr>
        <w:t>免费进行通炮清洗</w:t>
      </w:r>
      <w:r>
        <w:rPr>
          <w:rFonts w:hint="eastAsia" w:ascii="宋体" w:hAnsi="宋体" w:eastAsia="宋体" w:cs="宋体"/>
          <w:b w:val="0"/>
          <w:bCs w:val="0"/>
          <w:i w:val="0"/>
          <w:caps w:val="0"/>
          <w:color w:val="auto"/>
          <w:spacing w:val="0"/>
          <w:sz w:val="21"/>
          <w:szCs w:val="21"/>
          <w:highlight w:val="none"/>
          <w:shd w:val="clear" w:fill="FFFFFF"/>
        </w:rPr>
        <w:t>。</w:t>
      </w:r>
    </w:p>
    <w:p w14:paraId="7D822AF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冷却塔清洁度：</w:t>
      </w:r>
      <w:r>
        <w:rPr>
          <w:rFonts w:hint="eastAsia" w:ascii="宋体" w:hAnsi="宋体" w:eastAsia="宋体" w:cs="宋体"/>
          <w:b w:val="0"/>
          <w:bCs w:val="0"/>
          <w:i w:val="0"/>
          <w:caps w:val="0"/>
          <w:color w:val="auto"/>
          <w:spacing w:val="0"/>
          <w:sz w:val="21"/>
          <w:szCs w:val="21"/>
          <w:highlight w:val="none"/>
          <w:shd w:val="clear" w:fill="FFFFFF"/>
        </w:rPr>
        <w:t>冷却塔内（布水器、填料、集水盘）及填料表面</w:t>
      </w:r>
      <w:r>
        <w:rPr>
          <w:rStyle w:val="25"/>
          <w:rFonts w:hint="eastAsia" w:ascii="宋体" w:hAnsi="宋体" w:eastAsia="宋体" w:cs="宋体"/>
          <w:b w:val="0"/>
          <w:bCs w:val="0"/>
          <w:i w:val="0"/>
          <w:caps w:val="0"/>
          <w:color w:val="auto"/>
          <w:spacing w:val="0"/>
          <w:sz w:val="21"/>
          <w:szCs w:val="21"/>
          <w:highlight w:val="none"/>
          <w:shd w:val="clear" w:fill="FFFFFF"/>
        </w:rPr>
        <w:t>不能出现肉眼可见的明显青苔、藻类及污垢堆积</w:t>
      </w:r>
      <w:r>
        <w:rPr>
          <w:rFonts w:hint="eastAsia" w:ascii="宋体" w:hAnsi="宋体" w:eastAsia="宋体" w:cs="宋体"/>
          <w:b w:val="0"/>
          <w:bCs w:val="0"/>
          <w:i w:val="0"/>
          <w:caps w:val="0"/>
          <w:color w:val="auto"/>
          <w:spacing w:val="0"/>
          <w:sz w:val="21"/>
          <w:szCs w:val="21"/>
          <w:highlight w:val="none"/>
          <w:shd w:val="clear" w:fill="FFFFFF"/>
        </w:rPr>
        <w:t>。</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应根据监测情况及时通过加药或建议清洗（年度清洗外）进行控制，相关费用已包含在年度服务费中。</w:t>
      </w:r>
    </w:p>
    <w:p w14:paraId="49EF5A3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冷却塔滤网：</w:t>
      </w:r>
      <w:r>
        <w:rPr>
          <w:rFonts w:hint="eastAsia" w:ascii="宋体" w:hAnsi="宋体" w:eastAsia="宋体" w:cs="宋体"/>
          <w:b w:val="0"/>
          <w:bCs w:val="0"/>
          <w:i w:val="0"/>
          <w:caps w:val="0"/>
          <w:color w:val="auto"/>
          <w:spacing w:val="0"/>
          <w:sz w:val="21"/>
          <w:szCs w:val="21"/>
          <w:highlight w:val="none"/>
          <w:shd w:val="clear" w:fill="FFFFFF"/>
        </w:rPr>
        <w:t>确保冷却塔滤网</w:t>
      </w:r>
      <w:r>
        <w:rPr>
          <w:rStyle w:val="25"/>
          <w:rFonts w:hint="eastAsia" w:ascii="宋体" w:hAnsi="宋体" w:eastAsia="宋体" w:cs="宋体"/>
          <w:b w:val="0"/>
          <w:bCs w:val="0"/>
          <w:i w:val="0"/>
          <w:caps w:val="0"/>
          <w:color w:val="auto"/>
          <w:spacing w:val="0"/>
          <w:sz w:val="21"/>
          <w:szCs w:val="21"/>
          <w:highlight w:val="none"/>
          <w:shd w:val="clear" w:fill="FFFFFF"/>
        </w:rPr>
        <w:t>通畅无堵塞</w:t>
      </w:r>
      <w:r>
        <w:rPr>
          <w:rFonts w:hint="eastAsia" w:ascii="宋体" w:hAnsi="宋体" w:eastAsia="宋体" w:cs="宋体"/>
          <w:b w:val="0"/>
          <w:bCs w:val="0"/>
          <w:i w:val="0"/>
          <w:caps w:val="0"/>
          <w:color w:val="auto"/>
          <w:spacing w:val="0"/>
          <w:sz w:val="21"/>
          <w:szCs w:val="21"/>
          <w:highlight w:val="none"/>
          <w:shd w:val="clear" w:fill="FFFFFF"/>
        </w:rPr>
        <w:t>。</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应通过药物控制及必要时的人工清洗防止堵塞，若出现堵塞必须</w:t>
      </w:r>
      <w:r>
        <w:rPr>
          <w:rStyle w:val="25"/>
          <w:rFonts w:hint="eastAsia" w:ascii="宋体" w:hAnsi="宋体" w:eastAsia="宋体" w:cs="宋体"/>
          <w:b w:val="0"/>
          <w:bCs w:val="0"/>
          <w:i w:val="0"/>
          <w:caps w:val="0"/>
          <w:color w:val="auto"/>
          <w:spacing w:val="0"/>
          <w:sz w:val="21"/>
          <w:szCs w:val="21"/>
          <w:highlight w:val="none"/>
          <w:shd w:val="clear" w:fill="FFFFFF"/>
        </w:rPr>
        <w:t>立即响应并免费清洗</w:t>
      </w:r>
      <w:r>
        <w:rPr>
          <w:rFonts w:hint="eastAsia" w:ascii="宋体" w:hAnsi="宋体" w:eastAsia="宋体" w:cs="宋体"/>
          <w:b w:val="0"/>
          <w:bCs w:val="0"/>
          <w:i w:val="0"/>
          <w:caps w:val="0"/>
          <w:color w:val="auto"/>
          <w:spacing w:val="0"/>
          <w:sz w:val="21"/>
          <w:szCs w:val="21"/>
          <w:highlight w:val="none"/>
          <w:shd w:val="clear" w:fill="FFFFFF"/>
        </w:rPr>
        <w:t>。</w:t>
      </w:r>
    </w:p>
    <w:p w14:paraId="36012264">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排放要求：</w:t>
      </w:r>
      <w:r>
        <w:rPr>
          <w:rFonts w:hint="eastAsia" w:ascii="宋体" w:hAnsi="宋体" w:eastAsia="宋体" w:cs="宋体"/>
          <w:b w:val="0"/>
          <w:bCs w:val="0"/>
          <w:i w:val="0"/>
          <w:caps w:val="0"/>
          <w:color w:val="auto"/>
          <w:spacing w:val="0"/>
          <w:sz w:val="21"/>
          <w:szCs w:val="21"/>
          <w:highlight w:val="none"/>
          <w:shd w:val="clear" w:fill="FFFFFF"/>
        </w:rPr>
        <w:t>冷却水系统的排污水质需满足《水污染物排放限值》DB44/26-2001（或项目所在地最新有效排放标准）的要求。</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有责任确保其水处理方案及运行管理使排污水达标。若因</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处理不当导致排放超标，</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需承担处理至达标的费用及可能产生的罚款。</w:t>
      </w:r>
    </w:p>
    <w:p w14:paraId="79D4ECAB">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加药装置：</w:t>
      </w:r>
    </w:p>
    <w:p w14:paraId="4CA6DCF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甲方现场现有加药装置（A冷却：1套双桶100L/桶；B冷却：1套双桶100L/桶；冷冻水：2套单桶200L/桶）。</w:t>
      </w:r>
    </w:p>
    <w:p w14:paraId="661A385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应负责现有加药装置的</w:t>
      </w:r>
      <w:r>
        <w:rPr>
          <w:rStyle w:val="25"/>
          <w:rFonts w:hint="eastAsia" w:ascii="宋体" w:hAnsi="宋体" w:eastAsia="宋体" w:cs="宋体"/>
          <w:b w:val="0"/>
          <w:bCs w:val="0"/>
          <w:i w:val="0"/>
          <w:caps w:val="0"/>
          <w:color w:val="auto"/>
          <w:spacing w:val="0"/>
          <w:sz w:val="21"/>
          <w:szCs w:val="21"/>
          <w:highlight w:val="none"/>
          <w:shd w:val="clear" w:fill="FFFFFF"/>
        </w:rPr>
        <w:t>日常操作、维护保养</w:t>
      </w:r>
      <w:r>
        <w:rPr>
          <w:rFonts w:hint="eastAsia" w:ascii="宋体" w:hAnsi="宋体" w:eastAsia="宋体" w:cs="宋体"/>
          <w:b w:val="0"/>
          <w:bCs w:val="0"/>
          <w:i w:val="0"/>
          <w:caps w:val="0"/>
          <w:color w:val="auto"/>
          <w:spacing w:val="0"/>
          <w:sz w:val="21"/>
          <w:szCs w:val="21"/>
          <w:highlight w:val="none"/>
          <w:shd w:val="clear" w:fill="FFFFFF"/>
        </w:rPr>
        <w:t>，确保其正常运行。</w:t>
      </w:r>
    </w:p>
    <w:p w14:paraId="202CAC81">
      <w:pPr>
        <w:numPr>
          <w:ilvl w:val="0"/>
          <w:numId w:val="0"/>
        </w:numPr>
        <w:spacing w:line="360" w:lineRule="auto"/>
        <w:ind w:firstLine="420" w:firstLineChars="200"/>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若</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认为现有加药装置</w:t>
      </w:r>
      <w:r>
        <w:rPr>
          <w:rStyle w:val="25"/>
          <w:rFonts w:hint="eastAsia" w:ascii="宋体" w:hAnsi="宋体" w:eastAsia="宋体" w:cs="宋体"/>
          <w:b w:val="0"/>
          <w:bCs w:val="0"/>
          <w:i w:val="0"/>
          <w:caps w:val="0"/>
          <w:color w:val="auto"/>
          <w:spacing w:val="0"/>
          <w:sz w:val="21"/>
          <w:szCs w:val="21"/>
          <w:highlight w:val="none"/>
          <w:shd w:val="clear" w:fill="FFFFFF"/>
        </w:rPr>
        <w:t>无法满足有效加药需求</w:t>
      </w:r>
      <w:r>
        <w:rPr>
          <w:rFonts w:hint="eastAsia" w:ascii="宋体" w:hAnsi="宋体" w:eastAsia="宋体" w:cs="宋体"/>
          <w:b w:val="0"/>
          <w:bCs w:val="0"/>
          <w:i w:val="0"/>
          <w:caps w:val="0"/>
          <w:color w:val="auto"/>
          <w:spacing w:val="0"/>
          <w:sz w:val="21"/>
          <w:szCs w:val="21"/>
          <w:highlight w:val="none"/>
          <w:shd w:val="clear" w:fill="FFFFFF"/>
        </w:rPr>
        <w:t>，可在投标时提出改造方案（含详细说明和预算）。</w:t>
      </w:r>
      <w:r>
        <w:rPr>
          <w:rStyle w:val="25"/>
          <w:rFonts w:hint="eastAsia" w:ascii="宋体" w:hAnsi="宋体" w:eastAsia="宋体" w:cs="宋体"/>
          <w:b w:val="0"/>
          <w:bCs w:val="0"/>
          <w:i w:val="0"/>
          <w:caps w:val="0"/>
          <w:color w:val="auto"/>
          <w:spacing w:val="0"/>
          <w:sz w:val="21"/>
          <w:szCs w:val="21"/>
          <w:highlight w:val="none"/>
          <w:shd w:val="clear" w:fill="FFFFFF"/>
        </w:rPr>
        <w:t>任何改造必须事先获得甲方书面批准</w:t>
      </w:r>
      <w:r>
        <w:rPr>
          <w:rFonts w:hint="eastAsia" w:ascii="宋体" w:hAnsi="宋体" w:eastAsia="宋体" w:cs="宋体"/>
          <w:b w:val="0"/>
          <w:bCs w:val="0"/>
          <w:i w:val="0"/>
          <w:caps w:val="0"/>
          <w:color w:val="auto"/>
          <w:spacing w:val="0"/>
          <w:sz w:val="21"/>
          <w:szCs w:val="21"/>
          <w:highlight w:val="none"/>
          <w:shd w:val="clear" w:fill="FFFFFF"/>
        </w:rPr>
        <w:t>，改造费用是否包含在年度服务费中需在投标时明确说明。未经批准的改造费用由供</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自行承担。</w:t>
      </w:r>
    </w:p>
    <w:p w14:paraId="3730A18F">
      <w:pPr>
        <w:numPr>
          <w:ilvl w:val="0"/>
          <w:numId w:val="0"/>
        </w:numPr>
        <w:spacing w:line="360" w:lineRule="auto"/>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5、服务期</w:t>
      </w:r>
      <w:r>
        <w:rPr>
          <w:rFonts w:hint="eastAsia" w:ascii="宋体" w:hAnsi="宋体" w:eastAsia="宋体" w:cs="宋体"/>
          <w:b/>
          <w:bCs/>
          <w:sz w:val="21"/>
          <w:szCs w:val="21"/>
        </w:rPr>
        <w:t>内</w:t>
      </w:r>
      <w:r>
        <w:rPr>
          <w:rFonts w:hint="eastAsia" w:ascii="宋体" w:hAnsi="宋体" w:eastAsia="宋体" w:cs="宋体"/>
          <w:b/>
          <w:bCs/>
          <w:sz w:val="21"/>
          <w:szCs w:val="21"/>
          <w:lang w:val="en-US" w:eastAsia="zh-CN"/>
        </w:rPr>
        <w:t>考核与责任</w:t>
      </w:r>
    </w:p>
    <w:p w14:paraId="0B770E01">
      <w:pPr>
        <w:numPr>
          <w:ilvl w:val="-1"/>
          <w:numId w:val="0"/>
        </w:numPr>
        <w:spacing w:line="360" w:lineRule="auto"/>
        <w:ind w:leftChars="20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（1）考核指标（以下关键指标纳入服务考核）：</w:t>
      </w:r>
    </w:p>
    <w:p w14:paraId="15759DFF">
      <w:pPr>
        <w:pStyle w:val="19"/>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月度及第三方水质检测报告的及时性与准确性。</w:t>
      </w:r>
    </w:p>
    <w:p w14:paraId="138E8A23">
      <w:pPr>
        <w:pStyle w:val="19"/>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水质指标达标率（特别是军团菌“未检出”、腐蚀率、结垢倾向指标、浓缩倍数、浊度等）。</w:t>
      </w:r>
    </w:p>
    <w:p w14:paraId="65C4351F">
      <w:pPr>
        <w:pStyle w:val="19"/>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主机冷凝器小温差控制情况。</w:t>
      </w:r>
    </w:p>
    <w:p w14:paraId="5929078B">
      <w:pPr>
        <w:pStyle w:val="19"/>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冷却塔清洁度（青苔、污垢）及滤网堵塞情况。</w:t>
      </w:r>
    </w:p>
    <w:p w14:paraId="0FA06371">
      <w:pPr>
        <w:pStyle w:val="19"/>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应急响应及时性与问题解决效果。</w:t>
      </w:r>
    </w:p>
    <w:p w14:paraId="6ED619CA">
      <w:pPr>
        <w:pStyle w:val="19"/>
        <w:keepNext w:val="0"/>
        <w:keepLines w:val="0"/>
        <w:pageBreakBefore w:val="0"/>
        <w:widowControl/>
        <w:numPr>
          <w:ilvl w:val="0"/>
          <w:numId w:val="14"/>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服务报告质量。</w:t>
      </w:r>
    </w:p>
    <w:p w14:paraId="664E6A39">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2" w:firstLineChars="200"/>
        <w:textAlignment w:val="auto"/>
        <w:rPr>
          <w:rFonts w:hint="eastAsia" w:ascii="宋体" w:hAnsi="宋体" w:eastAsia="宋体" w:cs="宋体"/>
          <w:b/>
          <w:bCs/>
          <w:i w:val="0"/>
          <w:caps w:val="0"/>
          <w:color w:val="auto"/>
          <w:spacing w:val="0"/>
          <w:sz w:val="21"/>
          <w:szCs w:val="21"/>
          <w:highlight w:val="none"/>
          <w:shd w:val="clear" w:fill="FFFFFF"/>
          <w:lang w:val="en-US" w:eastAsia="zh-CN"/>
        </w:rPr>
      </w:pPr>
      <w:r>
        <w:rPr>
          <w:rFonts w:hint="eastAsia" w:ascii="宋体" w:hAnsi="宋体" w:eastAsia="宋体" w:cs="宋体"/>
          <w:b/>
          <w:bCs/>
          <w:i w:val="0"/>
          <w:caps w:val="0"/>
          <w:color w:val="auto"/>
          <w:spacing w:val="0"/>
          <w:kern w:val="0"/>
          <w:sz w:val="21"/>
          <w:szCs w:val="21"/>
          <w:shd w:val="clear" w:fill="FFFFFF"/>
          <w:lang w:val="en-US" w:eastAsia="zh-CN" w:bidi="ar-SA"/>
        </w:rPr>
        <w:t>（2）</w:t>
      </w:r>
      <w:r>
        <w:rPr>
          <w:rFonts w:hint="eastAsia" w:ascii="宋体" w:hAnsi="宋体" w:eastAsia="宋体" w:cs="宋体"/>
          <w:b/>
          <w:bCs/>
          <w:i w:val="0"/>
          <w:caps w:val="0"/>
          <w:color w:val="auto"/>
          <w:spacing w:val="0"/>
          <w:sz w:val="21"/>
          <w:szCs w:val="21"/>
          <w:highlight w:val="none"/>
          <w:shd w:val="clear" w:fill="FFFFFF"/>
          <w:lang w:val="en-US" w:eastAsia="zh-CN"/>
        </w:rPr>
        <w:t>军团菌及设备损坏责任：因乙方水处理方案不当、执行不力、监测失职或应急处理不及时等原因导致：</w:t>
      </w:r>
    </w:p>
    <w:p w14:paraId="1941C206">
      <w:pPr>
        <w:pStyle w:val="19"/>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冷却水或冷冻水系统检出军团菌阳性；</w:t>
      </w:r>
    </w:p>
    <w:p w14:paraId="71447568">
      <w:pPr>
        <w:pStyle w:val="19"/>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系统设备（主机换热器、管道、阀门、水泵叶轮、冷却塔填料等）因严重腐蚀或结垢导致穿孔、泄漏、堵塞、效率严重下降或损坏；</w:t>
      </w:r>
    </w:p>
    <w:p w14:paraId="0648AA1A">
      <w:pPr>
        <w:pStyle w:val="19"/>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冷却塔滋生大量青苔藻类或滤网严重堵塞影响运行；</w:t>
      </w:r>
    </w:p>
    <w:p w14:paraId="6A5D268F">
      <w:pPr>
        <w:pStyle w:val="19"/>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冷凝器小温差持续超标且确因结垢导致；</w:t>
      </w:r>
    </w:p>
    <w:p w14:paraId="390416C9">
      <w:pPr>
        <w:pStyle w:val="19"/>
        <w:keepNext w:val="0"/>
        <w:keepLines w:val="0"/>
        <w:pageBreakBefore w:val="0"/>
        <w:widowControl/>
        <w:numPr>
          <w:ilvl w:val="0"/>
          <w:numId w:val="1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排污水质超标；</w:t>
      </w:r>
    </w:p>
    <w:p w14:paraId="443DF566">
      <w:pPr>
        <w:pStyle w:val="19"/>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firstLine="0" w:firstLineChars="0"/>
        <w:textAlignment w:val="auto"/>
        <w:rPr>
          <w:rStyle w:val="25"/>
          <w:rFonts w:hint="eastAsia" w:ascii="宋体" w:hAnsi="宋体" w:eastAsia="宋体" w:cs="宋体"/>
          <w:b w:val="0"/>
          <w:bCs w:val="0"/>
          <w:i w:val="0"/>
          <w:caps w:val="0"/>
          <w:color w:val="auto"/>
          <w:spacing w:val="0"/>
          <w:sz w:val="21"/>
          <w:szCs w:val="21"/>
          <w:highlight w:val="none"/>
          <w:shd w:val="clear" w:fill="FFFFFF"/>
          <w:lang w:val="en-US" w:eastAsia="zh-CN"/>
        </w:rPr>
      </w:pPr>
      <w:r>
        <w:rPr>
          <w:rStyle w:val="25"/>
          <w:rFonts w:hint="eastAsia" w:ascii="宋体" w:hAnsi="宋体" w:eastAsia="宋体" w:cs="宋体"/>
          <w:b w:val="0"/>
          <w:bCs w:val="0"/>
          <w:i w:val="0"/>
          <w:caps w:val="0"/>
          <w:color w:val="auto"/>
          <w:spacing w:val="0"/>
          <w:sz w:val="21"/>
          <w:szCs w:val="21"/>
          <w:highlight w:val="none"/>
          <w:shd w:val="clear" w:fill="FFFFFF"/>
          <w:lang w:val="en-US" w:eastAsia="zh-CN"/>
        </w:rPr>
        <w:t>乙方须承担由此产生的一切后果和责任，包括但不限于：</w:t>
      </w:r>
    </w:p>
    <w:p w14:paraId="1F98A4D8">
      <w:pPr>
        <w:pStyle w:val="19"/>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免费进行强化处理、清洗、修复直至问题解决并达标。</w:t>
      </w:r>
    </w:p>
    <w:p w14:paraId="20DCC28F">
      <w:pPr>
        <w:pStyle w:val="19"/>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赔偿甲方因此造成的直接经济损失（如设备维修费、增加的能耗费用、供冷中断损失等）。</w:t>
      </w:r>
    </w:p>
    <w:p w14:paraId="06D90D12">
      <w:pPr>
        <w:pStyle w:val="19"/>
        <w:keepNext w:val="0"/>
        <w:keepLines w:val="0"/>
        <w:pageBreakBefore w:val="0"/>
        <w:widowControl/>
        <w:numPr>
          <w:ilvl w:val="0"/>
          <w:numId w:val="16"/>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若因军团菌问题导致公共卫生事件或甲方受到政府处罚、第三方索赔，供应商须承担相应的法律责任及全部赔偿/罚款。</w:t>
      </w:r>
    </w:p>
    <w:p w14:paraId="579700F5">
      <w:pPr>
        <w:pStyle w:val="19"/>
        <w:keepNext w:val="0"/>
        <w:keepLines w:val="0"/>
        <w:pageBreakBefore w:val="0"/>
        <w:widowControl/>
        <w:numPr>
          <w:ilvl w:val="-1"/>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firstLine="0" w:firstLineChars="0"/>
        <w:textAlignment w:val="auto"/>
        <w:rPr>
          <w:rStyle w:val="25"/>
          <w:rFonts w:hint="eastAsia" w:ascii="宋体" w:hAnsi="宋体" w:eastAsia="宋体" w:cs="宋体"/>
          <w:b/>
          <w:bCs/>
          <w:i w:val="0"/>
          <w:caps w:val="0"/>
          <w:color w:val="auto"/>
          <w:spacing w:val="0"/>
          <w:sz w:val="21"/>
          <w:szCs w:val="21"/>
          <w:highlight w:val="none"/>
          <w:shd w:val="clear" w:fill="FFFFFF"/>
          <w:lang w:val="en-US" w:eastAsia="zh-CN"/>
        </w:rPr>
      </w:pPr>
      <w:r>
        <w:rPr>
          <w:rStyle w:val="25"/>
          <w:rFonts w:hint="eastAsia" w:ascii="宋体" w:hAnsi="宋体" w:eastAsia="宋体" w:cs="宋体"/>
          <w:b/>
          <w:bCs/>
          <w:i w:val="0"/>
          <w:caps w:val="0"/>
          <w:color w:val="auto"/>
          <w:spacing w:val="0"/>
          <w:sz w:val="21"/>
          <w:szCs w:val="21"/>
          <w:highlight w:val="none"/>
          <w:shd w:val="clear" w:fill="FFFFFF"/>
          <w:lang w:val="en-US" w:eastAsia="zh-CN"/>
        </w:rPr>
        <w:t>（3）检测报告不符责任：</w:t>
      </w:r>
    </w:p>
    <w:p w14:paraId="2A345A3E">
      <w:pPr>
        <w:pStyle w:val="19"/>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接受国家、地方卫生监督部门（如疾控中心）或其他权威机构的监督检测。</w:t>
      </w:r>
    </w:p>
    <w:p w14:paraId="757EF69B">
      <w:pPr>
        <w:pStyle w:val="19"/>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若甲方委托或政府抽查的</w:t>
      </w:r>
      <w:r>
        <w:rPr>
          <w:rStyle w:val="25"/>
          <w:rFonts w:hint="eastAsia" w:ascii="宋体" w:hAnsi="宋体" w:eastAsia="宋体" w:cs="宋体"/>
          <w:b w:val="0"/>
          <w:bCs w:val="0"/>
          <w:i w:val="0"/>
          <w:caps w:val="0"/>
          <w:color w:val="auto"/>
          <w:spacing w:val="0"/>
          <w:sz w:val="21"/>
          <w:szCs w:val="21"/>
          <w:highlight w:val="none"/>
          <w:shd w:val="clear" w:fill="FFFFFF"/>
        </w:rPr>
        <w:t>第三方权威检测报告</w:t>
      </w:r>
      <w:r>
        <w:rPr>
          <w:rFonts w:hint="eastAsia" w:ascii="宋体" w:hAnsi="宋体" w:eastAsia="宋体" w:cs="宋体"/>
          <w:b w:val="0"/>
          <w:bCs w:val="0"/>
          <w:i w:val="0"/>
          <w:caps w:val="0"/>
          <w:color w:val="auto"/>
          <w:spacing w:val="0"/>
          <w:sz w:val="21"/>
          <w:szCs w:val="21"/>
          <w:highlight w:val="none"/>
          <w:shd w:val="clear" w:fill="FFFFFF"/>
        </w:rPr>
        <w:t>结果与</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提供的</w:t>
      </w:r>
      <w:r>
        <w:rPr>
          <w:rStyle w:val="25"/>
          <w:rFonts w:hint="eastAsia" w:ascii="宋体" w:hAnsi="宋体" w:eastAsia="宋体" w:cs="宋体"/>
          <w:b w:val="0"/>
          <w:bCs w:val="0"/>
          <w:i w:val="0"/>
          <w:caps w:val="0"/>
          <w:color w:val="auto"/>
          <w:spacing w:val="0"/>
          <w:sz w:val="21"/>
          <w:szCs w:val="21"/>
          <w:highlight w:val="none"/>
          <w:shd w:val="clear" w:fill="FFFFFF"/>
        </w:rPr>
        <w:t>月度检测报告</w:t>
      </w:r>
      <w:r>
        <w:rPr>
          <w:rFonts w:hint="eastAsia" w:ascii="宋体" w:hAnsi="宋体" w:eastAsia="宋体" w:cs="宋体"/>
          <w:b w:val="0"/>
          <w:bCs w:val="0"/>
          <w:i w:val="0"/>
          <w:caps w:val="0"/>
          <w:color w:val="auto"/>
          <w:spacing w:val="0"/>
          <w:sz w:val="21"/>
          <w:szCs w:val="21"/>
          <w:highlight w:val="none"/>
          <w:shd w:val="clear" w:fill="FFFFFF"/>
        </w:rPr>
        <w:t>在</w:t>
      </w:r>
      <w:r>
        <w:rPr>
          <w:rStyle w:val="25"/>
          <w:rFonts w:hint="eastAsia" w:ascii="宋体" w:hAnsi="宋体" w:eastAsia="宋体" w:cs="宋体"/>
          <w:b w:val="0"/>
          <w:bCs w:val="0"/>
          <w:i w:val="0"/>
          <w:caps w:val="0"/>
          <w:color w:val="auto"/>
          <w:spacing w:val="0"/>
          <w:sz w:val="21"/>
          <w:szCs w:val="21"/>
          <w:highlight w:val="none"/>
          <w:shd w:val="clear" w:fill="FFFFFF"/>
        </w:rPr>
        <w:t>关键指标（尤其是军团菌、腐蚀率、主要离子浓度等）</w:t>
      </w:r>
      <w:r>
        <w:rPr>
          <w:rFonts w:hint="eastAsia" w:ascii="宋体" w:hAnsi="宋体" w:eastAsia="宋体" w:cs="宋体"/>
          <w:b w:val="0"/>
          <w:bCs w:val="0"/>
          <w:i w:val="0"/>
          <w:caps w:val="0"/>
          <w:color w:val="auto"/>
          <w:spacing w:val="0"/>
          <w:sz w:val="21"/>
          <w:szCs w:val="21"/>
          <w:highlight w:val="none"/>
          <w:shd w:val="clear" w:fill="FFFFFF"/>
        </w:rPr>
        <w:t>上存在</w:t>
      </w:r>
      <w:r>
        <w:rPr>
          <w:rStyle w:val="25"/>
          <w:rFonts w:hint="eastAsia" w:ascii="宋体" w:hAnsi="宋体" w:eastAsia="宋体" w:cs="宋体"/>
          <w:b w:val="0"/>
          <w:bCs w:val="0"/>
          <w:i w:val="0"/>
          <w:caps w:val="0"/>
          <w:color w:val="auto"/>
          <w:spacing w:val="0"/>
          <w:sz w:val="21"/>
          <w:szCs w:val="21"/>
          <w:highlight w:val="none"/>
          <w:shd w:val="clear" w:fill="FFFFFF"/>
        </w:rPr>
        <w:t>重大偏差且证明供应商报告错误或失实</w:t>
      </w:r>
      <w:r>
        <w:rPr>
          <w:rFonts w:hint="eastAsia" w:ascii="宋体" w:hAnsi="宋体" w:eastAsia="宋体" w:cs="宋体"/>
          <w:b w:val="0"/>
          <w:bCs w:val="0"/>
          <w:i w:val="0"/>
          <w:caps w:val="0"/>
          <w:color w:val="auto"/>
          <w:spacing w:val="0"/>
          <w:sz w:val="21"/>
          <w:szCs w:val="21"/>
          <w:highlight w:val="none"/>
          <w:shd w:val="clear" w:fill="FFFFFF"/>
        </w:rPr>
        <w:t>，则该次</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报告视为“不合格”。</w:t>
      </w:r>
    </w:p>
    <w:p w14:paraId="24F57522">
      <w:pPr>
        <w:pStyle w:val="19"/>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若因此导致甲方被第三方（如卫生监管部门）罚款，该罚款金额由</w:t>
      </w: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承担。</w:t>
      </w:r>
    </w:p>
    <w:p w14:paraId="39829EE5">
      <w:pPr>
        <w:pStyle w:val="19"/>
        <w:keepNext w:val="0"/>
        <w:keepLines w:val="0"/>
        <w:pageBreakBefore w:val="0"/>
        <w:widowControl/>
        <w:numPr>
          <w:ilvl w:val="0"/>
          <w:numId w:val="17"/>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lang w:val="en-US" w:eastAsia="zh-CN"/>
        </w:rPr>
        <w:t>乙方</w:t>
      </w:r>
      <w:r>
        <w:rPr>
          <w:rFonts w:hint="eastAsia" w:ascii="宋体" w:hAnsi="宋体" w:eastAsia="宋体" w:cs="宋体"/>
          <w:b w:val="0"/>
          <w:bCs w:val="0"/>
          <w:i w:val="0"/>
          <w:caps w:val="0"/>
          <w:color w:val="auto"/>
          <w:spacing w:val="0"/>
          <w:sz w:val="21"/>
          <w:szCs w:val="21"/>
          <w:highlight w:val="none"/>
          <w:shd w:val="clear" w:fill="FFFFFF"/>
        </w:rPr>
        <w:t>需对自身检测数据的准确性负责</w:t>
      </w:r>
      <w:r>
        <w:rPr>
          <w:rFonts w:hint="eastAsia" w:ascii="宋体" w:hAnsi="宋体" w:eastAsia="宋体" w:cs="宋体"/>
          <w:b w:val="0"/>
          <w:bCs w:val="0"/>
          <w:i w:val="0"/>
          <w:caps w:val="0"/>
          <w:color w:val="auto"/>
          <w:spacing w:val="0"/>
          <w:sz w:val="21"/>
          <w:szCs w:val="21"/>
          <w:highlight w:val="none"/>
          <w:shd w:val="clear" w:fill="FFFFFF"/>
          <w:lang w:eastAsia="zh-CN"/>
        </w:rPr>
        <w:t>。</w:t>
      </w:r>
    </w:p>
    <w:p w14:paraId="6167ABFC">
      <w:pPr>
        <w:numPr>
          <w:ilvl w:val="-1"/>
          <w:numId w:val="0"/>
        </w:numPr>
        <w:spacing w:line="360" w:lineRule="auto"/>
        <w:ind w:leftChars="200" w:firstLine="0" w:firstLineChars="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6、其他</w:t>
      </w:r>
    </w:p>
    <w:p w14:paraId="77AA4F1C">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服务期内，每次水质抽样化验均需合格。</w:t>
      </w:r>
    </w:p>
    <w:p w14:paraId="60B53617">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乙方确保本项目水处理排放的废水符合当地环保部门相关要求，如果出现被当地环保部门追责，乙方应承担全部责任。</w:t>
      </w:r>
    </w:p>
    <w:p w14:paraId="59961951">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w:t>
      </w:r>
      <w:r>
        <w:rPr>
          <w:rFonts w:hint="eastAsia" w:ascii="宋体" w:hAnsi="宋体" w:eastAsia="宋体" w:cs="宋体"/>
          <w:sz w:val="21"/>
          <w:szCs w:val="21"/>
        </w:rPr>
        <w:t>服务期内由于乙方人员的因素导致设备、设施及人员发生故障或受伤的，所需修复或更换的所有费用全部由乙方负责。</w:t>
      </w:r>
    </w:p>
    <w:p w14:paraId="2C2788EF">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服务期内因水处理因素造成机组出现故障时，乙方收到甲方的通知后，若乙方未能在合同约定的响应时间内予以回应和配合，或未能在合理时间内排除故障的，甲方将采取相应补救处理措施或聘请第三方对故障或险情进行排除，所造成的相关损失和费用由乙方负责，同时甲方有权立即终止双方合约。</w:t>
      </w:r>
    </w:p>
    <w:p w14:paraId="623305B4">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甲方对维修保养工作不满意</w:t>
      </w:r>
      <w:r>
        <w:rPr>
          <w:rFonts w:hint="eastAsia" w:ascii="宋体" w:hAnsi="宋体" w:eastAsia="宋体" w:cs="宋体"/>
          <w:sz w:val="21"/>
          <w:szCs w:val="21"/>
          <w:lang w:eastAsia="zh-CN"/>
        </w:rPr>
        <w:t>可</w:t>
      </w:r>
      <w:r>
        <w:rPr>
          <w:rFonts w:hint="eastAsia" w:ascii="宋体" w:hAnsi="宋体" w:eastAsia="宋体" w:cs="宋体"/>
          <w:sz w:val="21"/>
          <w:szCs w:val="21"/>
        </w:rPr>
        <w:t>提出改进要求，并以书面形式通知乙方，若得不到改善，甲方有权终止合同。</w:t>
      </w:r>
    </w:p>
    <w:p w14:paraId="1FAF3896">
      <w:pPr>
        <w:pStyle w:val="3"/>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六</w:t>
      </w:r>
      <w:r>
        <w:rPr>
          <w:rFonts w:hint="eastAsia" w:ascii="宋体" w:hAnsi="宋体" w:eastAsia="宋体" w:cs="宋体"/>
          <w:sz w:val="21"/>
          <w:szCs w:val="21"/>
        </w:rPr>
        <w:t>、安全生产</w:t>
      </w:r>
    </w:p>
    <w:p w14:paraId="68F08F23">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本项目的作业人员</w:t>
      </w:r>
      <w:r>
        <w:rPr>
          <w:rFonts w:hint="eastAsia" w:ascii="宋体" w:hAnsi="宋体" w:eastAsia="宋体" w:cs="宋体"/>
          <w:sz w:val="21"/>
          <w:szCs w:val="21"/>
          <w:lang w:val="en-US" w:eastAsia="zh-CN"/>
        </w:rPr>
        <w:t>需</w:t>
      </w:r>
      <w:r>
        <w:rPr>
          <w:rFonts w:hint="eastAsia" w:ascii="宋体" w:hAnsi="宋体" w:eastAsia="宋体" w:cs="宋体"/>
          <w:sz w:val="21"/>
          <w:szCs w:val="21"/>
        </w:rPr>
        <w:t>按照甲方对安全生产的严格要求作业。</w:t>
      </w:r>
    </w:p>
    <w:p w14:paraId="79A08CC6">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乙方需指定专人负责现场安全，全面负责本项目安全生产管理工作，并接受甲方的监督和管理。</w:t>
      </w:r>
    </w:p>
    <w:p w14:paraId="50ECED7A">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严格遵守本公司的有关安全生产的票证管理制度，每次进场作业需办理相关工作票证，所有票证都需归档，以备安全办人员的检查，并对执行情况进行考核。</w:t>
      </w:r>
    </w:p>
    <w:p w14:paraId="3597B270">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每次作业前，应先对现场人员进行安全交底，并遵守校方对于安全生产管理的各项制度规定，办理相关手续后方可开展工作。</w:t>
      </w:r>
    </w:p>
    <w:p w14:paraId="0ED59196">
      <w:pPr>
        <w:pStyle w:val="6"/>
        <w:numPr>
          <w:ilvl w:val="-1"/>
          <w:numId w:val="0"/>
        </w:numPr>
        <w:spacing w:line="360" w:lineRule="auto"/>
        <w:ind w:left="142"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作业人员务必穿戴齐全、合格的安全帽和工作服等劳保用品后方可进场作业。</w:t>
      </w:r>
    </w:p>
    <w:p w14:paraId="77A13F0C">
      <w:pPr>
        <w:pStyle w:val="6"/>
        <w:numPr>
          <w:ilvl w:val="-1"/>
          <w:numId w:val="0"/>
        </w:numPr>
        <w:spacing w:line="360" w:lineRule="auto"/>
        <w:ind w:left="142"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不得赤脚和湿手操作电器开关设备，随身携带工具包，工具包内备齐电笔和各种转换插头、电工胶布等，不允许有电线裸露和不接插头直接用两根电线插入插座的现象，未经甲方的同意，不得擅自在配电箱、电源插座上接电。</w:t>
      </w:r>
    </w:p>
    <w:p w14:paraId="1179CA33">
      <w:pPr>
        <w:pStyle w:val="3"/>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七</w:t>
      </w:r>
      <w:r>
        <w:rPr>
          <w:rFonts w:hint="eastAsia" w:ascii="宋体" w:hAnsi="宋体" w:eastAsia="宋体" w:cs="宋体"/>
          <w:sz w:val="21"/>
          <w:szCs w:val="21"/>
        </w:rPr>
        <w:t>、其它事项</w:t>
      </w:r>
    </w:p>
    <w:p w14:paraId="17DEB6D7">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u w:val="none"/>
          <w:lang w:val="en-US" w:eastAsia="zh-CN"/>
        </w:rPr>
        <w:t>1、</w:t>
      </w:r>
      <w:r>
        <w:rPr>
          <w:rFonts w:hint="eastAsia" w:ascii="宋体" w:hAnsi="宋体" w:eastAsia="宋体" w:cs="宋体"/>
          <w:b/>
          <w:bCs/>
          <w:sz w:val="21"/>
          <w:szCs w:val="21"/>
          <w:u w:val="none"/>
        </w:rPr>
        <w:t>投标人</w:t>
      </w:r>
      <w:r>
        <w:rPr>
          <w:rFonts w:hint="eastAsia" w:ascii="宋体" w:hAnsi="宋体" w:eastAsia="宋体" w:cs="宋体"/>
          <w:b/>
          <w:bCs/>
          <w:sz w:val="21"/>
          <w:szCs w:val="21"/>
          <w:u w:val="none"/>
          <w:lang w:val="en-US" w:eastAsia="zh-CN"/>
        </w:rPr>
        <w:t>项目的</w:t>
      </w:r>
      <w:r>
        <w:rPr>
          <w:rFonts w:hint="eastAsia" w:ascii="宋体" w:hAnsi="宋体" w:eastAsia="宋体" w:cs="宋体"/>
          <w:b/>
          <w:bCs/>
          <w:sz w:val="21"/>
          <w:szCs w:val="21"/>
          <w:u w:val="none"/>
        </w:rPr>
        <w:t>实际情况有充分的认识和了解</w:t>
      </w:r>
      <w:r>
        <w:rPr>
          <w:rFonts w:hint="eastAsia" w:ascii="宋体" w:hAnsi="宋体" w:eastAsia="宋体" w:cs="宋体"/>
          <w:b/>
          <w:bCs/>
          <w:sz w:val="21"/>
          <w:szCs w:val="21"/>
        </w:rPr>
        <w:t>。</w:t>
      </w:r>
    </w:p>
    <w:p w14:paraId="6F61C063">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未经甲方同意，本项目严禁转包或分包给第三方。</w:t>
      </w:r>
    </w:p>
    <w:p w14:paraId="1BCF572E">
      <w:pPr>
        <w:pStyle w:val="6"/>
        <w:numPr>
          <w:ilvl w:val="-1"/>
          <w:numId w:val="0"/>
        </w:numPr>
        <w:spacing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lang w:val="en-US" w:eastAsia="zh-CN"/>
        </w:rPr>
        <w:t>3、</w:t>
      </w:r>
      <w:r>
        <w:rPr>
          <w:rFonts w:hint="eastAsia" w:ascii="宋体" w:hAnsi="宋体" w:eastAsia="宋体" w:cs="宋体"/>
          <w:sz w:val="21"/>
          <w:szCs w:val="21"/>
        </w:rPr>
        <w:t>乙方需在投标</w:t>
      </w:r>
      <w:r>
        <w:rPr>
          <w:rFonts w:hint="eastAsia" w:ascii="宋体" w:hAnsi="宋体" w:eastAsia="宋体" w:cs="宋体"/>
          <w:sz w:val="21"/>
          <w:szCs w:val="21"/>
          <w:highlight w:val="none"/>
        </w:rPr>
        <w:t>报价文件中提供本项目的</w:t>
      </w:r>
      <w:r>
        <w:rPr>
          <w:rFonts w:hint="eastAsia" w:ascii="宋体" w:hAnsi="宋体" w:eastAsia="宋体" w:cs="宋体"/>
          <w:b/>
          <w:bCs/>
          <w:sz w:val="21"/>
          <w:szCs w:val="21"/>
          <w:highlight w:val="none"/>
        </w:rPr>
        <w:t>水处理工作施工方案。</w:t>
      </w:r>
    </w:p>
    <w:p w14:paraId="611B109C">
      <w:pPr>
        <w:pStyle w:val="6"/>
        <w:numPr>
          <w:ilvl w:val="-1"/>
          <w:numId w:val="0"/>
        </w:numPr>
        <w:spacing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乙方需在服务期内提供本项目的水处理用药并将药品存放在甲方指定的地方。</w:t>
      </w:r>
    </w:p>
    <w:p w14:paraId="3D5B5324">
      <w:pPr>
        <w:numPr>
          <w:ilvl w:val="0"/>
          <w:numId w:val="0"/>
        </w:numPr>
        <w:spacing w:before="120" w:beforeLines="50" w:after="120" w:afterLines="50" w:line="360" w:lineRule="auto"/>
        <w:ind w:left="0" w:firstLine="422" w:firstLineChars="200"/>
        <w:rPr>
          <w:rFonts w:hint="eastAsia" w:ascii="宋体" w:hAnsi="宋体" w:eastAsia="宋体" w:cs="宋体"/>
          <w:b/>
          <w:sz w:val="21"/>
          <w:szCs w:val="21"/>
          <w:highlight w:val="none"/>
        </w:rPr>
      </w:pPr>
      <w:r>
        <w:rPr>
          <w:rFonts w:hint="eastAsia" w:ascii="宋体" w:hAnsi="宋体" w:eastAsia="宋体" w:cs="宋体"/>
          <w:b/>
          <w:kern w:val="2"/>
          <w:sz w:val="21"/>
          <w:szCs w:val="21"/>
          <w:lang w:val="en-US" w:eastAsia="zh-CN" w:bidi="ar-SA"/>
        </w:rPr>
        <w:t>八、</w:t>
      </w:r>
      <w:r>
        <w:rPr>
          <w:rFonts w:hint="eastAsia" w:ascii="宋体" w:hAnsi="宋体" w:eastAsia="宋体" w:cs="宋体"/>
          <w:b/>
          <w:sz w:val="21"/>
          <w:szCs w:val="21"/>
          <w:highlight w:val="none"/>
        </w:rPr>
        <w:t>工程费用及支付方式</w:t>
      </w:r>
    </w:p>
    <w:p w14:paraId="77CA06C0">
      <w:pPr>
        <w:numPr>
          <w:ilvl w:val="0"/>
          <w:numId w:val="18"/>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本次水处理服务采用总价包干的承包方式，包括但不限于包工、包料、包质量、包安全生产、包文明施工、包水质检测、包设备</w:t>
      </w:r>
      <w:r>
        <w:rPr>
          <w:rFonts w:hint="eastAsia" w:ascii="宋体" w:hAnsi="宋体" w:eastAsia="宋体" w:cs="宋体"/>
          <w:sz w:val="21"/>
          <w:szCs w:val="21"/>
          <w:highlight w:val="none"/>
          <w:lang w:val="en-US" w:eastAsia="zh-CN"/>
        </w:rPr>
        <w:t>清洗</w:t>
      </w:r>
      <w:r>
        <w:rPr>
          <w:rFonts w:hint="eastAsia" w:ascii="宋体" w:hAnsi="宋体" w:eastAsia="宋体" w:cs="宋体"/>
          <w:sz w:val="21"/>
          <w:szCs w:val="21"/>
          <w:highlight w:val="none"/>
        </w:rPr>
        <w:t>、包综合治理。乙方的承包总价不因合同期间人工、药品等价格的变化等调整各项收费而调整，另有约定的除外。乙方应综合考虑可能发生的全部费用，如招投标文件有漏项或漏报，视为乙方单方面作出的让利，费用不另行增加。乙方对冷却水水源、水质现状已作了充分了解。不得以原水水源、水质异常导致水处理无法达标为由，要求增加费用。</w:t>
      </w:r>
    </w:p>
    <w:p w14:paraId="3623CE66">
      <w:pPr>
        <w:numPr>
          <w:ilvl w:val="0"/>
          <w:numId w:val="18"/>
        </w:numPr>
        <w:spacing w:before="120" w:beforeLines="50" w:after="120" w:afterLines="50" w:line="360" w:lineRule="auto"/>
        <w:ind w:left="0"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付款方式</w:t>
      </w:r>
    </w:p>
    <w:p w14:paraId="7AAF4B8F">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在本合同履行期内，若国家税费调整，合同含税金额按国家规定税率作出相应调整，供方每次申请付款应按照合同内容开具相应税率的合法有效的增值税专用发票。</w:t>
      </w:r>
    </w:p>
    <w:p w14:paraId="4092C2D1">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在合同期内按季度支付费用，乙方向甲方提供所有合格的检测报告和水处理工作报告，且水处理服务各项指标均达到标准要求的情况下，甲方在收到乙方请款资料后15个工作日内向乙方支付</w:t>
      </w:r>
      <w:r>
        <w:rPr>
          <w:rFonts w:hint="eastAsia" w:ascii="宋体" w:hAnsi="宋体" w:eastAsia="宋体" w:cs="宋体"/>
          <w:color w:val="000000"/>
          <w:sz w:val="21"/>
          <w:szCs w:val="21"/>
          <w:highlight w:val="none"/>
          <w:lang w:val="en-US" w:eastAsia="zh-CN"/>
        </w:rPr>
        <w:t>上一季度</w:t>
      </w:r>
      <w:r>
        <w:rPr>
          <w:rFonts w:hint="eastAsia" w:ascii="宋体" w:hAnsi="宋体" w:eastAsia="宋体" w:cs="宋体"/>
          <w:color w:val="000000"/>
          <w:sz w:val="21"/>
          <w:szCs w:val="21"/>
          <w:highlight w:val="none"/>
        </w:rPr>
        <w:t>费用</w:t>
      </w:r>
      <w:r>
        <w:rPr>
          <w:rFonts w:hint="eastAsia" w:ascii="宋体" w:hAnsi="宋体" w:eastAsia="宋体" w:cs="宋体"/>
          <w:color w:val="000000"/>
          <w:sz w:val="21"/>
          <w:szCs w:val="21"/>
          <w:highlight w:val="none"/>
          <w:lang w:eastAsia="zh-CN"/>
        </w:rPr>
        <w:t>；</w:t>
      </w:r>
    </w:p>
    <w:p w14:paraId="326657E0">
      <w:pPr>
        <w:numPr>
          <w:ilvl w:val="0"/>
          <w:numId w:val="19"/>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每次付款前，乙方应开具符合国家税务规定的等额</w:t>
      </w:r>
      <w:r>
        <w:rPr>
          <w:rFonts w:hint="eastAsia" w:ascii="宋体" w:hAnsi="宋体" w:eastAsia="宋体" w:cs="宋体"/>
          <w:color w:val="000000"/>
          <w:sz w:val="21"/>
          <w:szCs w:val="21"/>
          <w:lang w:val="en-US" w:eastAsia="zh-CN"/>
        </w:rPr>
        <w:t>合法有效</w:t>
      </w:r>
      <w:r>
        <w:rPr>
          <w:rFonts w:hint="eastAsia" w:ascii="宋体" w:hAnsi="宋体" w:eastAsia="宋体" w:cs="宋体"/>
          <w:color w:val="000000"/>
          <w:sz w:val="21"/>
          <w:szCs w:val="21"/>
        </w:rPr>
        <w:t>的增值税专用发票给甲方。乙方晚于付款期限提供的，甲方付款期限相应顺延。</w:t>
      </w:r>
    </w:p>
    <w:p w14:paraId="34D0368D">
      <w:pPr>
        <w:numPr>
          <w:ilvl w:val="0"/>
          <w:numId w:val="0"/>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kern w:val="2"/>
          <w:sz w:val="21"/>
          <w:szCs w:val="21"/>
          <w:lang w:val="en-US" w:eastAsia="zh-CN" w:bidi="ar-SA"/>
        </w:rPr>
        <w:t>九、</w:t>
      </w:r>
      <w:r>
        <w:rPr>
          <w:rFonts w:hint="eastAsia" w:ascii="宋体" w:hAnsi="宋体" w:eastAsia="宋体" w:cs="宋体"/>
          <w:b/>
          <w:sz w:val="21"/>
          <w:szCs w:val="21"/>
        </w:rPr>
        <w:t>投标文件</w:t>
      </w:r>
    </w:p>
    <w:p w14:paraId="7C575CB9">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根据采购人要求的投标文件格式，进行密封报价（盖章）。投标文件包含以下内容：</w:t>
      </w:r>
    </w:p>
    <w:p w14:paraId="1837BDA4">
      <w:pPr>
        <w:numPr>
          <w:ilvl w:val="0"/>
          <w:numId w:val="20"/>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价格文件（加盖公章）</w:t>
      </w:r>
    </w:p>
    <w:p w14:paraId="3748677E">
      <w:pPr>
        <w:numPr>
          <w:ilvl w:val="0"/>
          <w:numId w:val="21"/>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color w:val="000000"/>
          <w:sz w:val="21"/>
          <w:szCs w:val="21"/>
        </w:rPr>
        <w:t>报价一览表（格式</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w:t>
      </w:r>
    </w:p>
    <w:p w14:paraId="02ABE826">
      <w:pPr>
        <w:numPr>
          <w:ilvl w:val="0"/>
          <w:numId w:val="20"/>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商务部分（提供复印件，并加盖公章）</w:t>
      </w:r>
    </w:p>
    <w:p w14:paraId="258627FE">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有效的企业工商营业执照、企业法人组织机构代码证书、税务登记证书（或三证合一）；</w:t>
      </w:r>
    </w:p>
    <w:p w14:paraId="3615693C">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rPr>
        <w:t>附“信用中国”网站(www.creditchina.gov.cn)的信用记录查询结果截图或信用信息报告并打印页面加盖公章；</w:t>
      </w:r>
    </w:p>
    <w:p w14:paraId="574A0008">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eastAsia="宋体" w:cs="宋体"/>
          <w:color w:val="000000"/>
          <w:sz w:val="21"/>
          <w:szCs w:val="21"/>
        </w:rPr>
        <w:t>（格式</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rPr>
        <w:t>）</w:t>
      </w:r>
      <w:r>
        <w:rPr>
          <w:rFonts w:hint="eastAsia" w:ascii="宋体" w:hAnsi="宋体" w:eastAsia="宋体" w:cs="宋体"/>
          <w:sz w:val="21"/>
          <w:szCs w:val="21"/>
          <w:lang w:eastAsia="zh-CN"/>
        </w:rPr>
        <w:t>；</w:t>
      </w:r>
    </w:p>
    <w:p w14:paraId="7F0DCFA8">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供应商调查表（格式</w:t>
      </w:r>
      <w:r>
        <w:rPr>
          <w:rFonts w:hint="eastAsia" w:ascii="宋体" w:hAnsi="宋体" w:eastAsia="宋体" w:cs="宋体"/>
          <w:color w:val="000000"/>
          <w:sz w:val="21"/>
          <w:szCs w:val="21"/>
          <w:lang w:eastAsia="zh-CN"/>
        </w:rPr>
        <w:t>3</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w:t>
      </w:r>
    </w:p>
    <w:p w14:paraId="0B3F46A0">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法定代表人证明书、法定代表人授权委托书原件（格式</w:t>
      </w:r>
      <w:r>
        <w:rPr>
          <w:rFonts w:hint="eastAsia" w:ascii="宋体" w:hAnsi="宋体" w:eastAsia="宋体" w:cs="宋体"/>
          <w:color w:val="000000"/>
          <w:sz w:val="21"/>
          <w:szCs w:val="21"/>
          <w:lang w:eastAsia="zh-CN"/>
        </w:rPr>
        <w:t>2</w:t>
      </w:r>
      <w:r>
        <w:rPr>
          <w:rFonts w:hint="eastAsia" w:ascii="宋体" w:hAnsi="宋体" w:eastAsia="宋体" w:cs="宋体"/>
          <w:color w:val="000000"/>
          <w:sz w:val="21"/>
          <w:szCs w:val="21"/>
        </w:rPr>
        <w:t>）；</w:t>
      </w:r>
    </w:p>
    <w:p w14:paraId="61FB1799">
      <w:pPr>
        <w:numPr>
          <w:ilvl w:val="0"/>
          <w:numId w:val="22"/>
        </w:numPr>
        <w:spacing w:before="120" w:beforeLines="50" w:afterLines="50" w:line="360" w:lineRule="auto"/>
        <w:ind w:left="0" w:firstLine="420" w:firstLineChars="200"/>
        <w:rPr>
          <w:rFonts w:hint="eastAsia" w:ascii="宋体" w:hAnsi="宋体" w:eastAsia="宋体" w:cs="宋体"/>
          <w:szCs w:val="21"/>
        </w:rPr>
      </w:pPr>
      <w:r>
        <w:rPr>
          <w:rFonts w:hint="eastAsia" w:ascii="宋体" w:hAnsi="宋体" w:eastAsia="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格式5）</w:t>
      </w:r>
      <w:r>
        <w:rPr>
          <w:rFonts w:hint="eastAsia" w:ascii="宋体" w:hAnsi="宋体" w:eastAsia="宋体" w:cs="宋体"/>
          <w:color w:val="000000"/>
          <w:sz w:val="21"/>
          <w:szCs w:val="21"/>
        </w:rPr>
        <w:t>；</w:t>
      </w:r>
    </w:p>
    <w:p w14:paraId="64C11A9B">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b w:val="0"/>
          <w:bCs w:val="0"/>
          <w:i w:val="0"/>
          <w:caps w:val="0"/>
          <w:color w:val="000000"/>
          <w:spacing w:val="0"/>
          <w:sz w:val="21"/>
          <w:szCs w:val="21"/>
          <w:shd w:val="clear"/>
        </w:rPr>
        <w:t>投标人需详细列明拟用于本项目的冷却水及冷冻水系统所有化学药剂的完整清单（商品名、主要成分、功能类别）</w:t>
      </w:r>
      <w:r>
        <w:rPr>
          <w:rFonts w:hint="eastAsia" w:ascii="宋体" w:hAnsi="宋体" w:eastAsia="宋体" w:cs="宋体"/>
          <w:b w:val="0"/>
          <w:bCs w:val="0"/>
          <w:i w:val="0"/>
          <w:caps w:val="0"/>
          <w:color w:val="000000"/>
          <w:spacing w:val="0"/>
          <w:sz w:val="21"/>
          <w:szCs w:val="21"/>
          <w:shd w:val="clear"/>
          <w:lang w:eastAsia="zh-CN"/>
        </w:rPr>
        <w:t>。</w:t>
      </w:r>
    </w:p>
    <w:p w14:paraId="1CEA1C89">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b w:val="0"/>
          <w:bCs w:val="0"/>
          <w:i w:val="0"/>
          <w:caps w:val="0"/>
          <w:color w:val="000000"/>
          <w:spacing w:val="0"/>
          <w:sz w:val="21"/>
          <w:szCs w:val="21"/>
          <w:shd w:val="clear"/>
          <w:lang w:val="en-US" w:eastAsia="zh-CN"/>
        </w:rPr>
        <w:t>提供所有</w:t>
      </w:r>
      <w:r>
        <w:rPr>
          <w:rFonts w:hint="eastAsia" w:ascii="宋体" w:hAnsi="宋体" w:eastAsia="宋体" w:cs="宋体"/>
          <w:b w:val="0"/>
          <w:bCs w:val="0"/>
          <w:i w:val="0"/>
          <w:caps w:val="0"/>
          <w:color w:val="000000"/>
          <w:spacing w:val="0"/>
          <w:sz w:val="21"/>
          <w:szCs w:val="21"/>
          <w:shd w:val="clear"/>
        </w:rPr>
        <w:t>药剂的最新版安全技术说明书（MSDS）</w:t>
      </w:r>
      <w:r>
        <w:rPr>
          <w:rFonts w:hint="eastAsia" w:ascii="宋体" w:hAnsi="宋体" w:eastAsia="宋体" w:cs="宋体"/>
          <w:b w:val="0"/>
          <w:bCs w:val="0"/>
          <w:i w:val="0"/>
          <w:caps w:val="0"/>
          <w:color w:val="000000"/>
          <w:spacing w:val="0"/>
          <w:sz w:val="21"/>
          <w:szCs w:val="21"/>
          <w:shd w:val="clear"/>
          <w:lang w:val="en-US" w:eastAsia="zh-CN"/>
        </w:rPr>
        <w:t>。</w:t>
      </w:r>
    </w:p>
    <w:p w14:paraId="2A1B2BE7">
      <w:pPr>
        <w:numPr>
          <w:ilvl w:val="0"/>
          <w:numId w:val="22"/>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b w:val="0"/>
          <w:bCs w:val="0"/>
          <w:i w:val="0"/>
          <w:caps w:val="0"/>
          <w:color w:val="000000"/>
          <w:spacing w:val="0"/>
          <w:sz w:val="21"/>
          <w:szCs w:val="21"/>
          <w:shd w:val="clear"/>
          <w:lang w:val="en-US" w:eastAsia="zh-CN"/>
        </w:rPr>
        <w:t>提供</w:t>
      </w:r>
      <w:r>
        <w:rPr>
          <w:rFonts w:hint="eastAsia" w:ascii="宋体" w:hAnsi="宋体" w:eastAsia="宋体" w:cs="宋体"/>
          <w:b w:val="0"/>
          <w:bCs w:val="0"/>
          <w:i w:val="0"/>
          <w:caps w:val="0"/>
          <w:color w:val="000000"/>
          <w:spacing w:val="0"/>
          <w:sz w:val="21"/>
          <w:szCs w:val="21"/>
          <w:shd w:val="clear"/>
        </w:rPr>
        <w:t>缓蚀剂、阻垢剂、杀菌剂的初始加药量及日常维持加药量的计算依据和方法说明</w:t>
      </w:r>
      <w:r>
        <w:rPr>
          <w:rFonts w:hint="eastAsia" w:ascii="宋体" w:hAnsi="宋体" w:eastAsia="宋体" w:cs="宋体"/>
          <w:b w:val="0"/>
          <w:bCs w:val="0"/>
          <w:color w:val="000000"/>
          <w:sz w:val="21"/>
          <w:szCs w:val="21"/>
        </w:rPr>
        <w:t>。</w:t>
      </w:r>
    </w:p>
    <w:p w14:paraId="7706991D">
      <w:pPr>
        <w:numPr>
          <w:ilvl w:val="0"/>
          <w:numId w:val="22"/>
        </w:numPr>
        <w:spacing w:before="120" w:beforeLines="50" w:afterLines="50" w:line="360" w:lineRule="auto"/>
        <w:rPr>
          <w:rFonts w:hint="eastAsia" w:ascii="宋体" w:hAnsi="宋体" w:eastAsia="宋体" w:cs="宋体"/>
          <w:color w:val="000000"/>
          <w:szCs w:val="21"/>
          <w:lang w:val="en-US" w:eastAsia="zh-CN"/>
        </w:rPr>
      </w:pPr>
      <w:r>
        <w:rPr>
          <w:rFonts w:hint="eastAsia" w:ascii="宋体" w:hAnsi="宋体" w:eastAsia="宋体" w:cs="宋体"/>
          <w:color w:val="000000"/>
          <w:sz w:val="21"/>
          <w:szCs w:val="21"/>
        </w:rPr>
        <w:t>投标人认为有必要的其他材料复印件</w:t>
      </w:r>
    </w:p>
    <w:p w14:paraId="6C690308">
      <w:pPr>
        <w:numPr>
          <w:ilvl w:val="0"/>
          <w:numId w:val="20"/>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施工方案：施工单位应充分了解现场条件，并针对本项目制定切实可行的施工方案，包括但不限于：</w:t>
      </w:r>
    </w:p>
    <w:p w14:paraId="214220FA">
      <w:pPr>
        <w:numPr>
          <w:ilvl w:val="0"/>
          <w:numId w:val="23"/>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总体实施方案；</w:t>
      </w:r>
    </w:p>
    <w:p w14:paraId="1D068808">
      <w:pPr>
        <w:numPr>
          <w:ilvl w:val="0"/>
          <w:numId w:val="23"/>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实施进度计划和工期承诺书；</w:t>
      </w:r>
    </w:p>
    <w:p w14:paraId="6B8E02B0">
      <w:pPr>
        <w:numPr>
          <w:ilvl w:val="0"/>
          <w:numId w:val="23"/>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确保实施进度的技术和组织措施</w:t>
      </w:r>
    </w:p>
    <w:p w14:paraId="333C57EB">
      <w:pPr>
        <w:numPr>
          <w:ilvl w:val="0"/>
          <w:numId w:val="23"/>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确保安全文明施工的技术和组织措施；</w:t>
      </w:r>
    </w:p>
    <w:p w14:paraId="21064ADD">
      <w:pPr>
        <w:numPr>
          <w:ilvl w:val="0"/>
          <w:numId w:val="23"/>
        </w:numPr>
        <w:spacing w:before="120" w:beforeLines="50" w:after="120" w:afterLines="50" w:line="360" w:lineRule="auto"/>
        <w:ind w:left="0"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投入的机械设备；</w:t>
      </w:r>
    </w:p>
    <w:p w14:paraId="7348C584">
      <w:pPr>
        <w:numPr>
          <w:ilvl w:val="0"/>
          <w:numId w:val="23"/>
        </w:num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color w:val="000000"/>
          <w:sz w:val="21"/>
          <w:szCs w:val="21"/>
        </w:rPr>
        <w:t>投标人认为其它需要说明的文字。</w:t>
      </w:r>
    </w:p>
    <w:p w14:paraId="21660385">
      <w:pPr>
        <w:numPr>
          <w:ilvl w:val="-1"/>
          <w:numId w:val="0"/>
        </w:numPr>
        <w:spacing w:before="120" w:beforeLines="50" w:after="120" w:afterLines="50" w:line="360" w:lineRule="auto"/>
        <w:ind w:left="420" w:leftChars="200" w:firstLine="0" w:firstLineChars="0"/>
        <w:rPr>
          <w:rFonts w:hint="eastAsia" w:ascii="宋体" w:hAnsi="宋体" w:eastAsia="宋体" w:cs="宋体"/>
          <w:color w:val="000000"/>
          <w:sz w:val="21"/>
          <w:szCs w:val="21"/>
        </w:rPr>
      </w:pPr>
      <w:r>
        <w:rPr>
          <w:rFonts w:hint="eastAsia" w:ascii="宋体" w:hAnsi="宋体" w:eastAsia="宋体" w:cs="宋体"/>
          <w:color w:val="000000"/>
          <w:sz w:val="21"/>
          <w:szCs w:val="21"/>
        </w:rPr>
        <w:t>说明：投标人如没有提供</w:t>
      </w:r>
      <w:r>
        <w:rPr>
          <w:rFonts w:hint="eastAsia" w:ascii="宋体" w:hAnsi="宋体" w:eastAsia="宋体" w:cs="宋体"/>
          <w:color w:val="000000"/>
          <w:sz w:val="21"/>
          <w:szCs w:val="21"/>
          <w:lang w:val="en-US" w:eastAsia="zh-CN"/>
        </w:rPr>
        <w:t>施工方案的</w:t>
      </w:r>
      <w:r>
        <w:rPr>
          <w:rFonts w:hint="eastAsia" w:ascii="宋体" w:hAnsi="宋体" w:eastAsia="宋体" w:cs="宋体"/>
          <w:color w:val="000000"/>
          <w:sz w:val="21"/>
          <w:szCs w:val="21"/>
        </w:rPr>
        <w:t>，视为投标人</w:t>
      </w:r>
      <w:r>
        <w:rPr>
          <w:rFonts w:hint="eastAsia" w:ascii="宋体" w:hAnsi="宋体" w:eastAsia="宋体" w:cs="宋体"/>
          <w:color w:val="000000"/>
          <w:sz w:val="21"/>
          <w:szCs w:val="21"/>
          <w:lang w:val="en-US" w:eastAsia="zh-CN"/>
        </w:rPr>
        <w:t>承诺</w:t>
      </w:r>
      <w:r>
        <w:rPr>
          <w:rFonts w:hint="eastAsia" w:ascii="宋体" w:hAnsi="宋体" w:eastAsia="宋体" w:cs="宋体"/>
          <w:color w:val="000000"/>
          <w:sz w:val="21"/>
          <w:szCs w:val="21"/>
        </w:rPr>
        <w:t>中标后的</w:t>
      </w:r>
      <w:r>
        <w:rPr>
          <w:rFonts w:hint="eastAsia" w:ascii="宋体" w:hAnsi="宋体" w:eastAsia="宋体" w:cs="宋体"/>
          <w:color w:val="000000"/>
          <w:sz w:val="21"/>
          <w:szCs w:val="21"/>
          <w:lang w:val="en-US" w:eastAsia="zh-CN"/>
        </w:rPr>
        <w:t>施工</w:t>
      </w:r>
      <w:r>
        <w:rPr>
          <w:rFonts w:hint="eastAsia" w:ascii="宋体" w:hAnsi="宋体" w:eastAsia="宋体" w:cs="宋体"/>
          <w:color w:val="000000"/>
          <w:sz w:val="21"/>
          <w:szCs w:val="21"/>
        </w:rPr>
        <w:t>能完全满足竞选文件的要求</w:t>
      </w:r>
      <w:bookmarkStart w:id="2" w:name="_Hlk33472852"/>
    </w:p>
    <w:bookmarkEnd w:id="2"/>
    <w:p w14:paraId="5265EF39">
      <w:pPr>
        <w:numPr>
          <w:ilvl w:val="0"/>
          <w:numId w:val="0"/>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kern w:val="2"/>
          <w:sz w:val="21"/>
          <w:szCs w:val="21"/>
          <w:lang w:val="en-US" w:eastAsia="zh-CN" w:bidi="ar-SA"/>
        </w:rPr>
        <w:t>十、</w:t>
      </w:r>
      <w:r>
        <w:rPr>
          <w:rFonts w:hint="eastAsia" w:ascii="宋体" w:hAnsi="宋体" w:eastAsia="宋体" w:cs="宋体"/>
          <w:b/>
          <w:sz w:val="21"/>
          <w:szCs w:val="21"/>
        </w:rPr>
        <w:t>评标方法</w:t>
      </w:r>
    </w:p>
    <w:p w14:paraId="44816EB0">
      <w:pPr>
        <w:spacing w:before="120" w:beforeLines="50" w:after="120" w:afterLines="50" w:line="360" w:lineRule="auto"/>
        <w:ind w:firstLine="420" w:firstLineChars="200"/>
        <w:rPr>
          <w:rFonts w:hint="eastAsia" w:ascii="宋体" w:hAnsi="宋体" w:eastAsia="宋体" w:cs="宋体"/>
          <w:sz w:val="21"/>
          <w:szCs w:val="21"/>
        </w:rPr>
      </w:pPr>
      <w:bookmarkStart w:id="3" w:name="_Hlk33472865"/>
      <w:r>
        <w:rPr>
          <w:rFonts w:hint="eastAsia" w:ascii="宋体" w:hAnsi="宋体" w:eastAsia="宋体" w:cs="宋体"/>
          <w:sz w:val="21"/>
          <w:szCs w:val="21"/>
        </w:rPr>
        <w:t>本项目采用经评审的</w:t>
      </w:r>
      <w:r>
        <w:rPr>
          <w:rFonts w:hint="eastAsia" w:ascii="宋体" w:hAnsi="宋体" w:eastAsia="宋体" w:cs="宋体"/>
          <w:color w:val="auto"/>
          <w:sz w:val="21"/>
          <w:szCs w:val="21"/>
          <w:lang w:val="en-US" w:eastAsia="zh-CN"/>
        </w:rPr>
        <w:t>最低价</w:t>
      </w:r>
      <w:r>
        <w:rPr>
          <w:rFonts w:hint="eastAsia" w:ascii="宋体" w:hAnsi="宋体" w:eastAsia="宋体" w:cs="宋体"/>
          <w:color w:val="auto"/>
          <w:sz w:val="21"/>
          <w:szCs w:val="21"/>
        </w:rPr>
        <w:t>评</w:t>
      </w:r>
      <w:r>
        <w:rPr>
          <w:rFonts w:hint="eastAsia" w:ascii="宋体" w:hAnsi="宋体" w:eastAsia="宋体" w:cs="宋体"/>
          <w:color w:val="auto"/>
          <w:sz w:val="21"/>
          <w:szCs w:val="21"/>
          <w:lang w:val="en-US" w:eastAsia="zh-CN"/>
        </w:rPr>
        <w:t>分</w:t>
      </w:r>
      <w:r>
        <w:rPr>
          <w:rFonts w:hint="eastAsia" w:ascii="宋体" w:hAnsi="宋体" w:eastAsia="宋体" w:cs="宋体"/>
          <w:color w:val="auto"/>
          <w:sz w:val="21"/>
          <w:szCs w:val="21"/>
        </w:rPr>
        <w:t>法</w:t>
      </w:r>
      <w:r>
        <w:rPr>
          <w:rFonts w:hint="eastAsia" w:ascii="宋体" w:hAnsi="宋体" w:eastAsia="宋体" w:cs="宋体"/>
          <w:sz w:val="21"/>
          <w:szCs w:val="21"/>
        </w:rPr>
        <w:t>。以经评审的最低投标报价作为评标基准价，当投标价等于评标基准价时价格分得满分，投标价每高于评标基准价1%扣1分，扣至0分为止。同时通过投标人资格</w:t>
      </w:r>
      <w:r>
        <w:rPr>
          <w:rFonts w:hint="eastAsia" w:ascii="宋体" w:hAnsi="宋体" w:eastAsia="宋体" w:cs="宋体"/>
          <w:sz w:val="21"/>
          <w:szCs w:val="21"/>
          <w:lang w:val="en-US" w:eastAsia="zh-CN"/>
        </w:rPr>
        <w:t>性和有效性</w:t>
      </w:r>
      <w:r>
        <w:rPr>
          <w:rFonts w:hint="eastAsia" w:ascii="宋体" w:hAnsi="宋体" w:eastAsia="宋体" w:cs="宋体"/>
          <w:sz w:val="21"/>
          <w:szCs w:val="21"/>
        </w:rPr>
        <w:t>审查后，各投标人按综合评分由高至低的顺序依</w:t>
      </w:r>
      <w:bookmarkStart w:id="16" w:name="_GoBack"/>
      <w:bookmarkEnd w:id="16"/>
      <w:r>
        <w:rPr>
          <w:rFonts w:hint="eastAsia" w:ascii="宋体" w:hAnsi="宋体" w:eastAsia="宋体" w:cs="宋体"/>
          <w:sz w:val="21"/>
          <w:szCs w:val="21"/>
        </w:rPr>
        <w:t>次排列，排名第一为第一中标候选人。采购人对中标人实行信用评价管理，中标后采购人将中标人纳入供应商管理系统，按项目对中标人的合同履约行为进行考核，具体按采购人供应商管理办法进行。</w:t>
      </w:r>
    </w:p>
    <w:p w14:paraId="22F3FEEC">
      <w:pPr>
        <w:numPr>
          <w:ilvl w:val="0"/>
          <w:numId w:val="0"/>
        </w:num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十一、</w:t>
      </w:r>
      <w:r>
        <w:rPr>
          <w:rFonts w:hint="eastAsia" w:ascii="宋体" w:hAnsi="宋体" w:eastAsia="宋体" w:cs="宋体"/>
          <w:sz w:val="21"/>
          <w:szCs w:val="21"/>
          <w:lang w:val="en-US" w:eastAsia="zh-CN"/>
        </w:rPr>
        <w:t>勘察现场</w:t>
      </w:r>
    </w:p>
    <w:p w14:paraId="4377C72E">
      <w:pPr>
        <w:numPr>
          <w:ilvl w:val="-1"/>
          <w:numId w:val="0"/>
        </w:numPr>
        <w:spacing w:before="120" w:beforeLines="50" w:after="120" w:afterLines="50" w:line="360" w:lineRule="auto"/>
        <w:ind w:firstLine="420" w:firstLineChars="200"/>
        <w:rPr>
          <w:rFonts w:hint="eastAsia" w:ascii="宋体" w:hAnsi="宋体" w:eastAsia="宋体" w:cs="宋体"/>
          <w:sz w:val="21"/>
          <w:szCs w:val="21"/>
          <w:lang w:val="en-US" w:eastAsia="zh-CN"/>
        </w:rPr>
      </w:pPr>
      <w:bookmarkStart w:id="4" w:name="_Hlk33472887"/>
      <w:r>
        <w:rPr>
          <w:rFonts w:hint="eastAsia" w:ascii="宋体" w:hAnsi="宋体" w:eastAsia="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4"/>
      <w:r>
        <w:rPr>
          <w:rFonts w:hint="eastAsia" w:ascii="宋体" w:hAnsi="宋体" w:eastAsia="宋体" w:cs="宋体"/>
          <w:sz w:val="21"/>
          <w:szCs w:val="21"/>
        </w:rPr>
        <w:t>。</w:t>
      </w:r>
      <w:r>
        <w:rPr>
          <w:rFonts w:hint="eastAsia" w:ascii="宋体" w:hAnsi="宋体" w:eastAsia="宋体" w:cs="宋体"/>
          <w:b/>
          <w:bCs/>
          <w:sz w:val="21"/>
          <w:szCs w:val="21"/>
        </w:rPr>
        <w:t>勘踏现场时间：202</w:t>
      </w:r>
      <w:r>
        <w:rPr>
          <w:rFonts w:hint="eastAsia" w:ascii="宋体" w:hAnsi="宋体" w:eastAsia="宋体" w:cs="宋体"/>
          <w:b/>
          <w:bCs/>
          <w:sz w:val="21"/>
          <w:szCs w:val="21"/>
          <w:lang w:val="en-US" w:eastAsia="zh-CN"/>
        </w:rPr>
        <w:t>5</w:t>
      </w:r>
      <w:r>
        <w:rPr>
          <w:rFonts w:hint="eastAsia" w:ascii="宋体" w:hAnsi="宋体" w:eastAsia="宋体" w:cs="宋体"/>
          <w:b/>
          <w:bCs/>
          <w:color w:val="FF0000"/>
          <w:sz w:val="21"/>
          <w:szCs w:val="21"/>
        </w:rPr>
        <w:t>年</w:t>
      </w:r>
      <w:r>
        <w:rPr>
          <w:rFonts w:hint="eastAsia" w:ascii="宋体" w:hAnsi="宋体" w:eastAsia="宋体" w:cs="宋体"/>
          <w:b/>
          <w:bCs/>
          <w:color w:val="FF0000"/>
          <w:sz w:val="21"/>
          <w:szCs w:val="21"/>
          <w:lang w:val="en-US" w:eastAsia="zh-CN"/>
        </w:rPr>
        <w:t>8</w:t>
      </w:r>
      <w:r>
        <w:rPr>
          <w:rFonts w:hint="eastAsia" w:ascii="宋体" w:hAnsi="宋体" w:eastAsia="宋体" w:cs="宋体"/>
          <w:b/>
          <w:bCs/>
          <w:color w:val="FF0000"/>
          <w:sz w:val="21"/>
          <w:szCs w:val="21"/>
        </w:rPr>
        <w:t>月</w:t>
      </w:r>
      <w:r>
        <w:rPr>
          <w:rFonts w:hint="eastAsia" w:ascii="宋体" w:hAnsi="宋体" w:cs="宋体"/>
          <w:b/>
          <w:bCs/>
          <w:color w:val="FF0000"/>
          <w:sz w:val="21"/>
          <w:szCs w:val="21"/>
          <w:lang w:val="en-US" w:eastAsia="zh-CN"/>
        </w:rPr>
        <w:t>22</w:t>
      </w:r>
      <w:r>
        <w:rPr>
          <w:rFonts w:hint="eastAsia" w:ascii="宋体" w:hAnsi="宋体" w:eastAsia="宋体" w:cs="宋体"/>
          <w:b/>
          <w:bCs/>
          <w:color w:val="FF0000"/>
          <w:sz w:val="21"/>
          <w:szCs w:val="21"/>
        </w:rPr>
        <w:t>日</w:t>
      </w:r>
      <w:r>
        <w:rPr>
          <w:rFonts w:hint="eastAsia" w:ascii="宋体" w:hAnsi="宋体" w:eastAsia="宋体" w:cs="宋体"/>
          <w:b/>
          <w:bCs/>
          <w:sz w:val="21"/>
          <w:szCs w:val="21"/>
        </w:rPr>
        <w:t>10时0分，集中地点：</w:t>
      </w:r>
      <w:r>
        <w:rPr>
          <w:rFonts w:hint="eastAsia" w:ascii="宋体" w:hAnsi="宋体" w:eastAsia="宋体" w:cs="宋体"/>
          <w:sz w:val="21"/>
          <w:szCs w:val="21"/>
          <w:lang w:val="en-US" w:eastAsia="zh-CN"/>
        </w:rPr>
        <w:t>广州黄埔保税区保盈商业广场</w:t>
      </w:r>
      <w:r>
        <w:rPr>
          <w:rFonts w:hint="eastAsia" w:ascii="宋体" w:hAnsi="宋体" w:eastAsia="宋体" w:cs="宋体"/>
          <w:b/>
          <w:bCs/>
          <w:sz w:val="21"/>
          <w:szCs w:val="21"/>
        </w:rPr>
        <w:t>。勘踏现场联系人</w:t>
      </w:r>
      <w:r>
        <w:rPr>
          <w:rFonts w:hint="eastAsia" w:ascii="宋体" w:hAnsi="宋体" w:eastAsia="宋体" w:cs="宋体"/>
          <w:b/>
          <w:bCs/>
          <w:sz w:val="21"/>
          <w:szCs w:val="21"/>
          <w:lang w:val="en-US" w:eastAsia="zh-CN"/>
        </w:rPr>
        <w:t>甘工</w:t>
      </w:r>
      <w:r>
        <w:rPr>
          <w:rFonts w:hint="eastAsia" w:ascii="宋体" w:hAnsi="宋体" w:eastAsia="宋体" w:cs="宋体"/>
          <w:b/>
          <w:bCs/>
          <w:sz w:val="21"/>
          <w:szCs w:val="21"/>
        </w:rPr>
        <w:t>，联系电话：13580318886</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勘察现场请提前24小时电话联系确认</w:t>
      </w:r>
      <w:r>
        <w:rPr>
          <w:rFonts w:hint="eastAsia" w:ascii="宋体" w:hAnsi="宋体" w:eastAsia="宋体" w:cs="宋体"/>
          <w:b/>
          <w:bCs/>
          <w:sz w:val="21"/>
          <w:szCs w:val="21"/>
          <w:lang w:eastAsia="zh-CN"/>
        </w:rPr>
        <w:t>）</w:t>
      </w:r>
      <w:r>
        <w:rPr>
          <w:rFonts w:hint="eastAsia" w:ascii="宋体" w:hAnsi="宋体" w:eastAsia="宋体" w:cs="宋体"/>
          <w:b/>
          <w:bCs/>
          <w:sz w:val="21"/>
          <w:szCs w:val="21"/>
        </w:rPr>
        <w:t>。</w:t>
      </w:r>
      <w:r>
        <w:rPr>
          <w:rFonts w:hint="eastAsia" w:ascii="宋体" w:hAnsi="宋体" w:eastAsia="宋体" w:cs="宋体"/>
          <w:sz w:val="21"/>
          <w:szCs w:val="21"/>
        </w:rPr>
        <w:t>投标人未在规定时间勘踏现场的，采购人不再另行组织，由投标人自行前往勘踏</w:t>
      </w:r>
      <w:r>
        <w:rPr>
          <w:rFonts w:hint="eastAsia" w:ascii="宋体" w:hAnsi="宋体" w:eastAsia="宋体" w:cs="宋体"/>
          <w:sz w:val="21"/>
          <w:szCs w:val="21"/>
          <w:lang w:eastAsia="zh-CN"/>
        </w:rPr>
        <w:t>。</w:t>
      </w:r>
    </w:p>
    <w:bookmarkEnd w:id="3"/>
    <w:p w14:paraId="72360EA7">
      <w:pPr>
        <w:numPr>
          <w:ilvl w:val="0"/>
          <w:numId w:val="0"/>
        </w:numPr>
        <w:spacing w:before="120" w:beforeLines="50" w:after="120" w:afterLines="50" w:line="360" w:lineRule="auto"/>
        <w:ind w:left="0" w:firstLine="422" w:firstLineChars="200"/>
        <w:rPr>
          <w:rFonts w:hint="eastAsia" w:ascii="宋体" w:hAnsi="宋体" w:eastAsia="宋体" w:cs="宋体"/>
          <w:b/>
          <w:sz w:val="21"/>
          <w:szCs w:val="21"/>
        </w:rPr>
      </w:pPr>
      <w:bookmarkStart w:id="5" w:name="_Hlk33473031"/>
      <w:r>
        <w:rPr>
          <w:rFonts w:hint="eastAsia" w:ascii="宋体" w:hAnsi="宋体" w:eastAsia="宋体" w:cs="宋体"/>
          <w:b/>
          <w:kern w:val="2"/>
          <w:sz w:val="21"/>
          <w:szCs w:val="21"/>
          <w:lang w:val="en-US" w:eastAsia="zh-CN" w:bidi="ar-SA"/>
        </w:rPr>
        <w:t>十二、</w:t>
      </w:r>
      <w:r>
        <w:rPr>
          <w:rFonts w:hint="eastAsia" w:ascii="宋体" w:hAnsi="宋体" w:eastAsia="宋体" w:cs="宋体"/>
          <w:b/>
          <w:sz w:val="21"/>
          <w:szCs w:val="21"/>
        </w:rPr>
        <w:t>递交投标文件</w:t>
      </w:r>
    </w:p>
    <w:p w14:paraId="302CC2B7">
      <w:pPr>
        <w:numPr>
          <w:ilvl w:val="0"/>
          <w:numId w:val="24"/>
        </w:numPr>
        <w:spacing w:before="120" w:beforeLines="50" w:after="120" w:afterLines="50" w:line="360" w:lineRule="auto"/>
        <w:ind w:left="0" w:firstLine="420" w:firstLineChars="200"/>
        <w:rPr>
          <w:rFonts w:hint="eastAsia" w:ascii="宋体" w:hAnsi="宋体" w:eastAsia="宋体" w:cs="宋体"/>
          <w:sz w:val="21"/>
          <w:szCs w:val="21"/>
        </w:rPr>
      </w:pPr>
      <w:bookmarkStart w:id="6" w:name="_Hlk33472917"/>
      <w:bookmarkStart w:id="7" w:name="_Hlk33473061"/>
      <w:r>
        <w:rPr>
          <w:rFonts w:hint="eastAsia" w:ascii="宋体" w:hAnsi="宋体" w:eastAsia="宋体" w:cs="宋体"/>
          <w:sz w:val="21"/>
          <w:szCs w:val="21"/>
        </w:rPr>
        <w:t>投标文件递交截止时间</w:t>
      </w:r>
      <w:r>
        <w:rPr>
          <w:rFonts w:hint="eastAsia" w:ascii="宋体" w:hAnsi="宋体" w:eastAsia="宋体" w:cs="宋体"/>
          <w:color w:val="FF0000"/>
          <w:sz w:val="21"/>
          <w:szCs w:val="21"/>
        </w:rPr>
        <w:t>：202</w:t>
      </w:r>
      <w:r>
        <w:rPr>
          <w:rFonts w:hint="eastAsia" w:ascii="宋体" w:hAnsi="宋体" w:eastAsia="宋体" w:cs="宋体"/>
          <w:color w:val="FF0000"/>
          <w:sz w:val="21"/>
          <w:szCs w:val="21"/>
          <w:lang w:val="en-US" w:eastAsia="zh-CN"/>
        </w:rPr>
        <w:t>5</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8</w:t>
      </w:r>
      <w:r>
        <w:rPr>
          <w:rFonts w:hint="eastAsia" w:ascii="宋体" w:hAnsi="宋体" w:eastAsia="宋体" w:cs="宋体"/>
          <w:color w:val="FF0000"/>
          <w:sz w:val="21"/>
          <w:szCs w:val="21"/>
        </w:rPr>
        <w:t>月</w:t>
      </w:r>
      <w:r>
        <w:rPr>
          <w:rFonts w:hint="eastAsia" w:ascii="宋体" w:hAnsi="宋体" w:cs="宋体"/>
          <w:color w:val="FF0000"/>
          <w:sz w:val="21"/>
          <w:szCs w:val="21"/>
          <w:lang w:val="en-US" w:eastAsia="zh-CN"/>
        </w:rPr>
        <w:t>26</w:t>
      </w:r>
      <w:r>
        <w:rPr>
          <w:rFonts w:hint="eastAsia" w:ascii="宋体" w:hAnsi="宋体" w:eastAsia="宋体" w:cs="宋体"/>
          <w:color w:val="FF0000"/>
          <w:sz w:val="21"/>
          <w:szCs w:val="21"/>
          <w:lang w:val="en-US" w:eastAsia="zh-CN"/>
        </w:rPr>
        <w:t xml:space="preserve"> </w:t>
      </w:r>
      <w:r>
        <w:rPr>
          <w:rFonts w:hint="eastAsia" w:ascii="宋体" w:hAnsi="宋体" w:eastAsia="宋体" w:cs="宋体"/>
          <w:color w:val="FF0000"/>
          <w:sz w:val="21"/>
          <w:szCs w:val="21"/>
        </w:rPr>
        <w:t>日</w:t>
      </w:r>
      <w:r>
        <w:rPr>
          <w:rFonts w:hint="eastAsia" w:ascii="宋体" w:hAnsi="宋体" w:eastAsia="宋体" w:cs="宋体"/>
          <w:sz w:val="21"/>
          <w:szCs w:val="21"/>
        </w:rPr>
        <w:t>北京时间</w:t>
      </w:r>
      <w:r>
        <w:rPr>
          <w:rFonts w:hint="eastAsia" w:ascii="宋体" w:hAnsi="宋体" w:eastAsia="宋体" w:cs="宋体"/>
          <w:sz w:val="21"/>
          <w:szCs w:val="21"/>
          <w:lang w:val="en-US" w:eastAsia="zh-CN"/>
        </w:rPr>
        <w:t>15</w:t>
      </w:r>
      <w:r>
        <w:rPr>
          <w:rFonts w:hint="eastAsia" w:ascii="宋体" w:hAnsi="宋体" w:eastAsia="宋体" w:cs="宋体"/>
          <w:sz w:val="21"/>
          <w:szCs w:val="21"/>
        </w:rPr>
        <w:t>时</w:t>
      </w:r>
      <w:r>
        <w:rPr>
          <w:rFonts w:hint="eastAsia" w:ascii="宋体" w:hAnsi="宋体" w:eastAsia="宋体" w:cs="宋体"/>
          <w:sz w:val="21"/>
          <w:szCs w:val="21"/>
          <w:lang w:val="en-US" w:eastAsia="zh-CN"/>
        </w:rPr>
        <w:t>0</w:t>
      </w:r>
      <w:r>
        <w:rPr>
          <w:rFonts w:hint="eastAsia" w:ascii="宋体" w:hAnsi="宋体" w:eastAsia="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cs="宋体"/>
          <w:b/>
          <w:bCs/>
          <w:sz w:val="21"/>
          <w:szCs w:val="21"/>
          <w:lang w:eastAsia="zh-CN"/>
        </w:rPr>
        <w:t>保盈项目中央空调系统水质处理年度服务</w:t>
      </w:r>
      <w:r>
        <w:rPr>
          <w:rFonts w:hint="eastAsia" w:ascii="宋体" w:hAnsi="宋体" w:eastAsia="宋体" w:cs="宋体"/>
          <w:b/>
          <w:bCs/>
          <w:sz w:val="21"/>
          <w:szCs w:val="21"/>
          <w:lang w:val="en-US" w:eastAsia="zh-CN"/>
        </w:rPr>
        <w:t>竞选文件</w:t>
      </w:r>
      <w:r>
        <w:rPr>
          <w:rFonts w:hint="eastAsia" w:ascii="宋体" w:hAnsi="宋体" w:eastAsia="宋体" w:cs="宋体"/>
          <w:sz w:val="21"/>
          <w:szCs w:val="21"/>
        </w:rPr>
        <w:t>”字样。投标人递交投标文件后，请联系采购人确认。</w:t>
      </w:r>
    </w:p>
    <w:p w14:paraId="68E28540">
      <w:pPr>
        <w:numPr>
          <w:ilvl w:val="0"/>
          <w:numId w:val="24"/>
        </w:numPr>
        <w:spacing w:before="120" w:beforeLines="50" w:after="120" w:afterLines="50" w:line="360" w:lineRule="auto"/>
        <w:ind w:left="0" w:firstLine="420" w:firstLineChars="200"/>
        <w:rPr>
          <w:rFonts w:hint="eastAsia" w:ascii="宋体" w:hAnsi="宋体" w:eastAsia="宋体" w:cs="宋体"/>
          <w:sz w:val="21"/>
          <w:szCs w:val="21"/>
        </w:rPr>
      </w:pPr>
      <w:r>
        <w:rPr>
          <w:rFonts w:hint="eastAsia" w:ascii="宋体" w:hAnsi="宋体" w:eastAsia="宋体" w:cs="宋体"/>
          <w:sz w:val="21"/>
          <w:szCs w:val="21"/>
        </w:rPr>
        <w:t>投标文件逾期递交、未送达指定地点的、或未按要求密封的，采购人有权不予受理</w:t>
      </w:r>
      <w:bookmarkEnd w:id="6"/>
      <w:r>
        <w:rPr>
          <w:rFonts w:hint="eastAsia" w:ascii="宋体" w:hAnsi="宋体" w:eastAsia="宋体" w:cs="宋体"/>
          <w:sz w:val="21"/>
          <w:szCs w:val="21"/>
        </w:rPr>
        <w:t>。</w:t>
      </w:r>
    </w:p>
    <w:bookmarkEnd w:id="7"/>
    <w:p w14:paraId="4C429921">
      <w:pPr>
        <w:numPr>
          <w:ilvl w:val="0"/>
          <w:numId w:val="0"/>
        </w:numPr>
        <w:spacing w:before="120" w:beforeLines="50" w:after="120" w:afterLines="50" w:line="360" w:lineRule="auto"/>
        <w:ind w:left="0" w:firstLine="422" w:firstLineChars="200"/>
        <w:rPr>
          <w:rFonts w:hint="eastAsia" w:ascii="宋体" w:hAnsi="宋体" w:eastAsia="宋体" w:cs="宋体"/>
          <w:b/>
          <w:sz w:val="21"/>
          <w:szCs w:val="21"/>
        </w:rPr>
      </w:pPr>
      <w:bookmarkStart w:id="8" w:name="_Hlk33473147"/>
      <w:bookmarkStart w:id="9" w:name="_Hlk33472987"/>
      <w:r>
        <w:rPr>
          <w:rFonts w:hint="eastAsia" w:ascii="宋体" w:hAnsi="宋体" w:eastAsia="宋体" w:cs="宋体"/>
          <w:b/>
          <w:kern w:val="2"/>
          <w:sz w:val="21"/>
          <w:szCs w:val="21"/>
          <w:lang w:val="en-US" w:eastAsia="zh-CN" w:bidi="ar-SA"/>
        </w:rPr>
        <w:t>十三、</w:t>
      </w:r>
      <w:r>
        <w:rPr>
          <w:rFonts w:hint="eastAsia" w:ascii="宋体" w:hAnsi="宋体" w:eastAsia="宋体" w:cs="宋体"/>
          <w:b/>
          <w:sz w:val="21"/>
          <w:szCs w:val="21"/>
        </w:rPr>
        <w:t>公开发布</w:t>
      </w:r>
    </w:p>
    <w:p w14:paraId="3D6A1626">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本竞选文件在广州国企阳光采购服务平台（http://ygcg.gzggzy.cn））、</w:t>
      </w:r>
      <w:r>
        <w:rPr>
          <w:rFonts w:hint="eastAsia" w:ascii="宋体" w:hAnsi="宋体" w:eastAsia="宋体" w:cs="宋体"/>
          <w:sz w:val="21"/>
          <w:szCs w:val="21"/>
          <w:lang w:val="en-US" w:eastAsia="zh-CN"/>
        </w:rPr>
        <w:t>广州城投保盈综合能源有限公司</w:t>
      </w:r>
      <w:r>
        <w:rPr>
          <w:rFonts w:hint="eastAsia" w:ascii="宋体" w:hAnsi="宋体" w:eastAsia="宋体" w:cs="宋体"/>
          <w:sz w:val="21"/>
          <w:szCs w:val="21"/>
        </w:rPr>
        <w:t>网站（网址：https://www.gzuci.com/）同时发布。本竞选文件在各媒体发布的文本如有不同之处，以在</w:t>
      </w:r>
      <w:r>
        <w:rPr>
          <w:rFonts w:hint="eastAsia" w:ascii="宋体" w:hAnsi="宋体" w:eastAsia="宋体" w:cs="宋体"/>
          <w:sz w:val="21"/>
          <w:szCs w:val="21"/>
          <w:lang w:val="en-US" w:eastAsia="zh-CN"/>
        </w:rPr>
        <w:t>广州城投保盈综合能源有限公司</w:t>
      </w:r>
      <w:r>
        <w:rPr>
          <w:rFonts w:hint="eastAsia" w:ascii="宋体" w:hAnsi="宋体" w:eastAsia="宋体" w:cs="宋体"/>
          <w:sz w:val="21"/>
          <w:szCs w:val="21"/>
        </w:rPr>
        <w:t>网站发布的文本为准。</w:t>
      </w:r>
    </w:p>
    <w:bookmarkEnd w:id="8"/>
    <w:p w14:paraId="47051C9C">
      <w:pPr>
        <w:numPr>
          <w:ilvl w:val="0"/>
          <w:numId w:val="0"/>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kern w:val="2"/>
          <w:sz w:val="21"/>
          <w:szCs w:val="21"/>
          <w:lang w:val="en-US" w:eastAsia="zh-CN" w:bidi="ar-SA"/>
        </w:rPr>
        <w:t>十四、</w:t>
      </w:r>
      <w:r>
        <w:rPr>
          <w:rFonts w:hint="eastAsia" w:ascii="宋体" w:hAnsi="宋体" w:eastAsia="宋体" w:cs="宋体"/>
          <w:b/>
          <w:sz w:val="21"/>
          <w:szCs w:val="21"/>
        </w:rPr>
        <w:t>采购人地址和联系方式</w:t>
      </w:r>
    </w:p>
    <w:p w14:paraId="65F89C35">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采购单位：</w:t>
      </w:r>
      <w:r>
        <w:rPr>
          <w:rFonts w:hint="eastAsia" w:ascii="宋体" w:hAnsi="宋体" w:eastAsia="宋体" w:cs="宋体"/>
          <w:sz w:val="21"/>
          <w:szCs w:val="21"/>
          <w:lang w:eastAsia="zh-CN"/>
        </w:rPr>
        <w:t>广州城投保盈综合能源有限公司</w:t>
      </w:r>
    </w:p>
    <w:p w14:paraId="3757749B">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联系地址：广州市番禺区大学城明志街1号信息枢纽楼9楼</w:t>
      </w:r>
    </w:p>
    <w:p w14:paraId="69B8ADAB">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联系人：</w:t>
      </w:r>
      <w:r>
        <w:rPr>
          <w:rFonts w:hint="eastAsia" w:ascii="宋体" w:hAnsi="宋体" w:eastAsia="宋体" w:cs="宋体"/>
          <w:sz w:val="21"/>
          <w:szCs w:val="21"/>
          <w:lang w:val="en-US" w:eastAsia="zh-CN"/>
        </w:rPr>
        <w:t>王小姐</w:t>
      </w:r>
    </w:p>
    <w:p w14:paraId="0B19C2FC">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联系电话：020-3930207</w:t>
      </w:r>
      <w:r>
        <w:rPr>
          <w:rFonts w:hint="eastAsia" w:ascii="宋体" w:hAnsi="宋体" w:eastAsia="宋体" w:cs="宋体"/>
          <w:sz w:val="21"/>
          <w:szCs w:val="21"/>
          <w:lang w:val="en-US" w:eastAsia="zh-CN"/>
        </w:rPr>
        <w:t>8</w:t>
      </w:r>
    </w:p>
    <w:p w14:paraId="2FDA94B7">
      <w:pPr>
        <w:pStyle w:val="6"/>
        <w:spacing w:line="360" w:lineRule="auto"/>
        <w:ind w:firstLine="480"/>
        <w:rPr>
          <w:rFonts w:hint="eastAsia" w:ascii="宋体" w:hAnsi="宋体" w:eastAsia="宋体" w:cs="宋体"/>
          <w:b/>
          <w:bCs/>
          <w:sz w:val="21"/>
          <w:szCs w:val="21"/>
          <w:highlight w:val="none"/>
        </w:rPr>
      </w:pPr>
      <w:bookmarkStart w:id="10" w:name="_Hlk33473223"/>
      <w:r>
        <w:rPr>
          <w:rFonts w:hint="eastAsia" w:ascii="宋体" w:hAnsi="宋体" w:eastAsia="宋体" w:cs="宋体"/>
          <w:b/>
          <w:bCs/>
          <w:sz w:val="21"/>
          <w:szCs w:val="21"/>
          <w:highlight w:val="none"/>
        </w:rPr>
        <w:t>附件1：投标文件目录及格式要求</w:t>
      </w:r>
    </w:p>
    <w:p w14:paraId="6BCA1602">
      <w:pPr>
        <w:spacing w:before="156" w:beforeLines="50" w:after="156" w:afterLines="5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附件3: 需求书</w:t>
      </w:r>
    </w:p>
    <w:p w14:paraId="42FAF1D9">
      <w:pPr>
        <w:pStyle w:val="8"/>
        <w:spacing w:before="120" w:beforeLines="50" w:after="120" w:afterLines="50" w:line="360" w:lineRule="auto"/>
        <w:ind w:left="0" w:leftChars="0" w:right="560"/>
        <w:jc w:val="right"/>
        <w:rPr>
          <w:rFonts w:hint="eastAsia" w:ascii="宋体" w:hAnsi="宋体" w:eastAsia="宋体" w:cs="宋体"/>
          <w:sz w:val="21"/>
          <w:szCs w:val="21"/>
          <w:lang w:eastAsia="zh-CN"/>
        </w:rPr>
      </w:pPr>
      <w:r>
        <w:rPr>
          <w:rFonts w:hint="eastAsia" w:ascii="宋体" w:hAnsi="宋体" w:eastAsia="宋体" w:cs="宋体"/>
          <w:sz w:val="21"/>
          <w:szCs w:val="21"/>
        </w:rPr>
        <w:t>采购人：</w:t>
      </w:r>
      <w:r>
        <w:rPr>
          <w:rFonts w:hint="eastAsia" w:ascii="宋体" w:hAnsi="宋体" w:eastAsia="宋体" w:cs="宋体"/>
          <w:sz w:val="21"/>
          <w:szCs w:val="21"/>
          <w:lang w:eastAsia="zh-CN"/>
        </w:rPr>
        <w:t>广州城投保盈综合能源有限公司</w:t>
      </w:r>
    </w:p>
    <w:p w14:paraId="0B4C16EE">
      <w:pPr>
        <w:pStyle w:val="8"/>
        <w:spacing w:before="120" w:beforeLines="50" w:after="120" w:afterLines="50" w:line="360" w:lineRule="auto"/>
        <w:ind w:left="0" w:leftChars="0" w:right="560"/>
        <w:jc w:val="right"/>
        <w:rPr>
          <w:rFonts w:hint="eastAsia" w:ascii="宋体" w:hAnsi="宋体" w:eastAsia="宋体" w:cs="宋体"/>
          <w:sz w:val="21"/>
          <w:szCs w:val="21"/>
        </w:rPr>
      </w:pPr>
      <w:r>
        <w:rPr>
          <w:rFonts w:hint="eastAsia" w:ascii="宋体" w:hAnsi="宋体" w:eastAsia="宋体" w:cs="宋体"/>
          <w:sz w:val="21"/>
          <w:szCs w:val="21"/>
        </w:rPr>
        <w:t>202</w:t>
      </w:r>
      <w:r>
        <w:rPr>
          <w:rFonts w:hint="eastAsia" w:ascii="宋体" w:hAnsi="宋体" w:eastAsia="宋体" w:cs="宋体"/>
          <w:sz w:val="21"/>
          <w:szCs w:val="21"/>
          <w:lang w:val="en-US" w:eastAsia="zh-CN"/>
        </w:rPr>
        <w:t>5</w:t>
      </w:r>
      <w:r>
        <w:rPr>
          <w:rFonts w:hint="eastAsia" w:ascii="宋体" w:hAnsi="宋体" w:eastAsia="宋体" w:cs="宋体"/>
          <w:sz w:val="21"/>
          <w:szCs w:val="21"/>
        </w:rPr>
        <w:t>年</w:t>
      </w:r>
      <w:r>
        <w:rPr>
          <w:rFonts w:hint="eastAsia" w:ascii="宋体" w:hAnsi="宋体" w:eastAsia="宋体" w:cs="宋体"/>
          <w:sz w:val="21"/>
          <w:szCs w:val="21"/>
          <w:lang w:val="en-US" w:eastAsia="zh-CN"/>
        </w:rPr>
        <w:t>8</w:t>
      </w:r>
      <w:r>
        <w:rPr>
          <w:rFonts w:hint="eastAsia" w:ascii="宋体" w:hAnsi="宋体" w:eastAsia="宋体" w:cs="宋体"/>
          <w:sz w:val="21"/>
          <w:szCs w:val="21"/>
        </w:rPr>
        <w:t>月</w:t>
      </w:r>
      <w:r>
        <w:rPr>
          <w:rFonts w:hint="eastAsia" w:hAnsi="宋体" w:cs="宋体"/>
          <w:sz w:val="21"/>
          <w:szCs w:val="21"/>
          <w:lang w:val="en-US" w:eastAsia="zh-CN"/>
        </w:rPr>
        <w:t>20</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bookmarkEnd w:id="5"/>
    </w:p>
    <w:bookmarkEnd w:id="9"/>
    <w:bookmarkEnd w:id="10"/>
    <w:p w14:paraId="09D90E6C">
      <w:pPr>
        <w:pStyle w:val="6"/>
        <w:spacing w:line="360" w:lineRule="auto"/>
        <w:ind w:firstLine="480"/>
        <w:rPr>
          <w:rFonts w:hint="eastAsia" w:ascii="宋体" w:hAnsi="宋体" w:cs="宋体"/>
          <w:b/>
          <w:bCs/>
          <w:sz w:val="21"/>
          <w:szCs w:val="21"/>
          <w:highlight w:val="none"/>
        </w:rPr>
      </w:pPr>
      <w:r>
        <w:rPr>
          <w:rFonts w:hint="eastAsia" w:ascii="宋体" w:hAnsi="宋体" w:eastAsia="宋体" w:cs="宋体"/>
          <w:color w:val="000000"/>
          <w:sz w:val="21"/>
          <w:szCs w:val="21"/>
        </w:rPr>
        <w:br w:type="page"/>
      </w:r>
      <w:r>
        <w:rPr>
          <w:rFonts w:hint="eastAsia" w:ascii="宋体" w:hAnsi="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拟投入本项目的项目负责人情况表(格式</w:t>
            </w: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ascii="宋体" w:hAnsi="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1"/>
                <w:szCs w:val="21"/>
              </w:rPr>
            </w:pPr>
            <w:r>
              <w:rPr>
                <w:rFonts w:hint="eastAsia" w:ascii="宋体" w:hAnsi="宋体" w:eastAsia="宋体" w:cs="宋体"/>
                <w:b w:val="0"/>
                <w:bCs w:val="0"/>
                <w:i w:val="0"/>
                <w:caps w:val="0"/>
                <w:color w:val="000000"/>
                <w:spacing w:val="0"/>
                <w:sz w:val="21"/>
                <w:szCs w:val="21"/>
                <w:shd w:val="clear"/>
              </w:rPr>
              <w:t>投标人需详细列明拟用于本项目的冷却水及冷冻水系统所有化学药剂的完整清单（商品名、主要成分、功能类别）</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7FF90B24">
            <w:pPr>
              <w:widowControl/>
              <w:numPr>
                <w:ilvl w:val="0"/>
                <w:numId w:val="0"/>
              </w:numPr>
              <w:spacing w:before="120" w:beforeLines="50" w:after="120" w:afterLines="50" w:line="360" w:lineRule="auto"/>
              <w:rPr>
                <w:rFonts w:hint="eastAsia" w:ascii="宋体" w:hAnsi="宋体" w:cs="宋体"/>
                <w:color w:val="auto"/>
                <w:kern w:val="0"/>
                <w:sz w:val="21"/>
                <w:szCs w:val="21"/>
              </w:rPr>
            </w:pPr>
            <w:r>
              <w:rPr>
                <w:rFonts w:hint="eastAsia" w:ascii="宋体" w:hAnsi="宋体" w:eastAsia="宋体" w:cs="宋体"/>
                <w:b w:val="0"/>
                <w:bCs w:val="0"/>
                <w:i w:val="0"/>
                <w:caps w:val="0"/>
                <w:color w:val="000000"/>
                <w:spacing w:val="0"/>
                <w:sz w:val="21"/>
                <w:szCs w:val="21"/>
                <w:shd w:val="clear"/>
                <w:lang w:val="en-US" w:eastAsia="zh-CN"/>
              </w:rPr>
              <w:t>提供所有</w:t>
            </w:r>
            <w:r>
              <w:rPr>
                <w:rFonts w:hint="eastAsia" w:ascii="宋体" w:hAnsi="宋体" w:eastAsia="宋体" w:cs="宋体"/>
                <w:b w:val="0"/>
                <w:bCs w:val="0"/>
                <w:i w:val="0"/>
                <w:caps w:val="0"/>
                <w:color w:val="000000"/>
                <w:spacing w:val="0"/>
                <w:sz w:val="21"/>
                <w:szCs w:val="21"/>
                <w:shd w:val="clear"/>
              </w:rPr>
              <w:t>药剂的最新版安全技术说明书（MSDS）</w:t>
            </w:r>
            <w:r>
              <w:rPr>
                <w:rFonts w:hint="eastAsia" w:ascii="宋体" w:hAnsi="宋体" w:eastAsia="宋体" w:cs="宋体"/>
                <w:b w:val="0"/>
                <w:bCs w:val="0"/>
                <w:i w:val="0"/>
                <w:caps w:val="0"/>
                <w:color w:val="000000"/>
                <w:spacing w:val="0"/>
                <w:sz w:val="21"/>
                <w:szCs w:val="21"/>
                <w:shd w:val="clear"/>
                <w:lang w:val="en-US" w:eastAsia="zh-CN"/>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ascii="宋体" w:hAnsi="宋体" w:cs="宋体"/>
                <w:b/>
                <w:bCs/>
                <w:color w:val="auto"/>
                <w:kern w:val="0"/>
                <w:sz w:val="21"/>
                <w:szCs w:val="21"/>
              </w:rPr>
            </w:pPr>
          </w:p>
        </w:tc>
      </w:tr>
      <w:tr w14:paraId="1370FE8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423D7FE">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2.9</w:t>
            </w:r>
          </w:p>
        </w:tc>
        <w:tc>
          <w:tcPr>
            <w:tcW w:w="5003" w:type="dxa"/>
            <w:tcBorders>
              <w:top w:val="single" w:color="auto" w:sz="4" w:space="0"/>
              <w:left w:val="nil"/>
              <w:bottom w:val="single" w:color="auto" w:sz="4" w:space="0"/>
              <w:right w:val="single" w:color="auto" w:sz="4" w:space="0"/>
            </w:tcBorders>
            <w:noWrap/>
            <w:vAlign w:val="center"/>
          </w:tcPr>
          <w:p w14:paraId="335AB536">
            <w:pPr>
              <w:widowControl/>
              <w:spacing w:line="360" w:lineRule="auto"/>
              <w:rPr>
                <w:rFonts w:hint="eastAsia" w:ascii="宋体" w:hAnsi="宋体" w:eastAsia="宋体" w:cs="宋体"/>
                <w:color w:val="auto"/>
                <w:kern w:val="0"/>
                <w:sz w:val="21"/>
                <w:szCs w:val="21"/>
                <w:lang w:val="en-US" w:eastAsia="zh-CN"/>
              </w:rPr>
            </w:pPr>
            <w:r>
              <w:rPr>
                <w:rFonts w:hint="eastAsia" w:ascii="宋体" w:hAnsi="宋体" w:eastAsia="宋体" w:cs="宋体"/>
                <w:b w:val="0"/>
                <w:bCs w:val="0"/>
                <w:i w:val="0"/>
                <w:caps w:val="0"/>
                <w:color w:val="000000"/>
                <w:spacing w:val="0"/>
                <w:sz w:val="21"/>
                <w:szCs w:val="21"/>
                <w:shd w:val="clear"/>
                <w:lang w:val="en-US" w:eastAsia="zh-CN"/>
              </w:rPr>
              <w:t>提供</w:t>
            </w:r>
            <w:r>
              <w:rPr>
                <w:rFonts w:hint="eastAsia" w:ascii="宋体" w:hAnsi="宋体" w:eastAsia="宋体" w:cs="宋体"/>
                <w:b w:val="0"/>
                <w:bCs w:val="0"/>
                <w:i w:val="0"/>
                <w:caps w:val="0"/>
                <w:color w:val="000000"/>
                <w:spacing w:val="0"/>
                <w:sz w:val="21"/>
                <w:szCs w:val="21"/>
                <w:shd w:val="clear"/>
              </w:rPr>
              <w:t>缓蚀剂、阻垢剂、杀菌剂的初始加药量及日常维持加药量的计算依据和方法说明</w:t>
            </w:r>
          </w:p>
        </w:tc>
        <w:tc>
          <w:tcPr>
            <w:tcW w:w="1383" w:type="dxa"/>
            <w:tcBorders>
              <w:top w:val="single" w:color="auto" w:sz="4" w:space="0"/>
              <w:left w:val="nil"/>
              <w:bottom w:val="single" w:color="auto" w:sz="4" w:space="0"/>
              <w:right w:val="single" w:color="auto" w:sz="4" w:space="0"/>
            </w:tcBorders>
            <w:noWrap/>
            <w:vAlign w:val="bottom"/>
          </w:tcPr>
          <w:p w14:paraId="622DC61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B74870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FEEF964">
            <w:pPr>
              <w:widowControl/>
              <w:spacing w:line="360" w:lineRule="auto"/>
              <w:jc w:val="center"/>
              <w:rPr>
                <w:rFonts w:ascii="宋体" w:hAnsi="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10</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1"/>
                <w:szCs w:val="21"/>
              </w:rPr>
            </w:pPr>
          </w:p>
        </w:tc>
      </w:tr>
    </w:tbl>
    <w:p w14:paraId="56A9E22E">
      <w:pPr>
        <w:spacing w:line="360" w:lineRule="auto"/>
        <w:rPr>
          <w:rFonts w:hint="eastAsia" w:ascii="宋体" w:hAnsi="宋体" w:cs="宋体"/>
          <w:sz w:val="21"/>
          <w:szCs w:val="21"/>
          <w:highlight w:val="none"/>
        </w:rPr>
      </w:pPr>
    </w:p>
    <w:p w14:paraId="23C40CB4">
      <w:pPr>
        <w:spacing w:line="360" w:lineRule="auto"/>
        <w:rPr>
          <w:rFonts w:hint="eastAsia" w:ascii="宋体" w:hAnsi="宋体" w:cs="宋体"/>
          <w:b/>
          <w:bCs/>
          <w:sz w:val="21"/>
          <w:szCs w:val="21"/>
          <w:highlight w:val="none"/>
        </w:rPr>
      </w:pPr>
    </w:p>
    <w:p w14:paraId="6E81CFE0">
      <w:pPr>
        <w:spacing w:line="360" w:lineRule="auto"/>
        <w:rPr>
          <w:rFonts w:hint="eastAsia" w:ascii="宋体" w:hAnsi="宋体" w:cs="宋体"/>
          <w:color w:val="000000"/>
          <w:sz w:val="21"/>
          <w:szCs w:val="21"/>
        </w:rPr>
      </w:pPr>
    </w:p>
    <w:p w14:paraId="6D9FBB94">
      <w:pPr>
        <w:spacing w:line="360" w:lineRule="auto"/>
        <w:rPr>
          <w:rFonts w:hint="eastAsia" w:ascii="宋体" w:hAnsi="宋体" w:cs="宋体"/>
          <w:color w:val="000000"/>
          <w:sz w:val="21"/>
          <w:szCs w:val="21"/>
        </w:rPr>
      </w:pPr>
    </w:p>
    <w:p w14:paraId="62F9C573">
      <w:pPr>
        <w:spacing w:line="360" w:lineRule="auto"/>
        <w:rPr>
          <w:rFonts w:hint="eastAsia" w:ascii="宋体" w:hAnsi="宋体" w:cs="宋体"/>
          <w:color w:val="000000"/>
          <w:sz w:val="21"/>
          <w:szCs w:val="21"/>
        </w:rPr>
      </w:pPr>
    </w:p>
    <w:p w14:paraId="15184A1D">
      <w:pPr>
        <w:spacing w:line="360" w:lineRule="auto"/>
        <w:rPr>
          <w:rFonts w:hint="eastAsia" w:ascii="宋体" w:hAnsi="宋体" w:cs="宋体"/>
          <w:color w:val="000000"/>
          <w:sz w:val="21"/>
          <w:szCs w:val="21"/>
        </w:rPr>
      </w:pPr>
    </w:p>
    <w:p w14:paraId="27892211">
      <w:pPr>
        <w:spacing w:line="360" w:lineRule="auto"/>
        <w:rPr>
          <w:rFonts w:hint="eastAsia" w:ascii="宋体" w:hAnsi="宋体" w:cs="宋体"/>
          <w:color w:val="000000"/>
          <w:sz w:val="21"/>
          <w:szCs w:val="21"/>
        </w:rPr>
      </w:pPr>
    </w:p>
    <w:p w14:paraId="016041C7">
      <w:pPr>
        <w:pStyle w:val="21"/>
        <w:rPr>
          <w:rFonts w:hint="eastAsia" w:ascii="宋体" w:hAnsi="宋体" w:cs="宋体"/>
          <w:color w:val="000000"/>
          <w:sz w:val="21"/>
          <w:szCs w:val="21"/>
        </w:rPr>
      </w:pPr>
    </w:p>
    <w:p w14:paraId="40AEAC6F">
      <w:pPr>
        <w:rPr>
          <w:rFonts w:hint="eastAsia" w:ascii="宋体" w:hAnsi="宋体" w:cs="宋体"/>
          <w:color w:val="000000"/>
          <w:sz w:val="21"/>
          <w:szCs w:val="21"/>
        </w:rPr>
      </w:pPr>
    </w:p>
    <w:p w14:paraId="0E8B4679">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14:paraId="124A139E">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14:paraId="4CF21444">
      <w:pPr>
        <w:pStyle w:val="12"/>
        <w:ind w:firstLine="0" w:firstLineChars="0"/>
        <w:jc w:val="center"/>
        <w:rPr>
          <w:rFonts w:hint="eastAsia" w:hAnsi="宋体" w:eastAsia="宋体" w:cs="宋体"/>
          <w:b/>
          <w:sz w:val="21"/>
          <w:szCs w:val="21"/>
        </w:rPr>
      </w:pPr>
    </w:p>
    <w:p w14:paraId="2A425A83">
      <w:pPr>
        <w:spacing w:line="360" w:lineRule="auto"/>
        <w:rPr>
          <w:rFonts w:hint="eastAsia" w:ascii="宋体" w:hAnsi="宋体" w:eastAsia="宋体" w:cs="宋体"/>
          <w:sz w:val="21"/>
          <w:szCs w:val="21"/>
          <w:lang w:eastAsia="zh-CN"/>
        </w:rPr>
      </w:pPr>
      <w:r>
        <w:rPr>
          <w:rFonts w:hint="eastAsia" w:ascii="宋体" w:hAnsi="宋体" w:cs="宋体"/>
          <w:sz w:val="21"/>
          <w:szCs w:val="21"/>
        </w:rPr>
        <w:t>项目名称：</w:t>
      </w:r>
      <w:r>
        <w:rPr>
          <w:rFonts w:hint="eastAsia" w:ascii="宋体"/>
          <w:sz w:val="24"/>
          <w:lang w:eastAsia="zh-CN"/>
        </w:rPr>
        <w:t>保盈项目中央空调系统水质处理年度服务</w:t>
      </w:r>
    </w:p>
    <w:tbl>
      <w:tblPr>
        <w:tblStyle w:val="22"/>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cs="宋体"/>
                <w:bCs/>
                <w:sz w:val="21"/>
                <w:szCs w:val="21"/>
              </w:rPr>
            </w:pPr>
            <w:r>
              <w:rPr>
                <w:rFonts w:hint="eastAsia" w:ascii="宋体" w:hAnsi="宋体" w:cs="宋体"/>
                <w:bCs/>
                <w:sz w:val="21"/>
                <w:szCs w:val="21"/>
              </w:rPr>
              <w:t>序号</w:t>
            </w:r>
          </w:p>
        </w:tc>
        <w:tc>
          <w:tcPr>
            <w:tcW w:w="1844" w:type="dxa"/>
            <w:vAlign w:val="center"/>
          </w:tcPr>
          <w:p w14:paraId="5B87A9D8">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14:paraId="25A94AC8">
            <w:pPr>
              <w:rPr>
                <w:rFonts w:hint="eastAsia" w:ascii="宋体" w:hAnsi="宋体" w:cs="宋体"/>
                <w:bCs/>
                <w:sz w:val="21"/>
                <w:szCs w:val="21"/>
              </w:rPr>
            </w:pPr>
            <w:r>
              <w:rPr>
                <w:rFonts w:hint="eastAsia" w:ascii="宋体" w:hAnsi="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14:paraId="1AA96BFD">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14:paraId="5BE9B343">
            <w:pPr>
              <w:rPr>
                <w:rFonts w:hint="eastAsia" w:ascii="宋体" w:hAnsi="宋体" w:cs="宋体"/>
                <w:sz w:val="21"/>
                <w:szCs w:val="21"/>
              </w:rPr>
            </w:pPr>
            <w:r>
              <w:rPr>
                <w:rFonts w:hint="eastAsia" w:ascii="宋体" w:hAnsi="宋体" w:cs="宋体"/>
                <w:sz w:val="21"/>
                <w:szCs w:val="21"/>
              </w:rPr>
              <w:t>大写：</w:t>
            </w:r>
          </w:p>
          <w:p w14:paraId="3EEE7F2B">
            <w:pPr>
              <w:rPr>
                <w:rFonts w:hint="eastAsia" w:ascii="宋体" w:hAnsi="宋体" w:cs="宋体"/>
                <w:sz w:val="21"/>
                <w:szCs w:val="21"/>
              </w:rPr>
            </w:pPr>
            <w:r>
              <w:rPr>
                <w:rFonts w:hint="eastAsia" w:ascii="宋体" w:hAnsi="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14:paraId="49E26CB1">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14:paraId="31935F34">
            <w:pPr>
              <w:rPr>
                <w:rFonts w:hint="eastAsia" w:ascii="宋体" w:hAnsi="宋体" w:cs="宋体"/>
                <w:sz w:val="21"/>
                <w:szCs w:val="21"/>
              </w:rPr>
            </w:pPr>
            <w:r>
              <w:rPr>
                <w:rFonts w:hint="eastAsia" w:ascii="宋体" w:hAnsi="宋体" w:cs="宋体"/>
                <w:sz w:val="21"/>
                <w:szCs w:val="21"/>
              </w:rPr>
              <w:t>大写：</w:t>
            </w:r>
          </w:p>
          <w:p w14:paraId="2CA25FAB">
            <w:pPr>
              <w:rPr>
                <w:rFonts w:hint="eastAsia" w:ascii="宋体" w:hAnsi="宋体" w:cs="宋体"/>
                <w:sz w:val="21"/>
                <w:szCs w:val="21"/>
              </w:rPr>
            </w:pPr>
            <w:r>
              <w:rPr>
                <w:rFonts w:hint="eastAsia" w:ascii="宋体" w:hAnsi="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14:paraId="675A116D">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14:paraId="27DBFA03">
            <w:pPr>
              <w:rPr>
                <w:rFonts w:hint="eastAsia" w:ascii="宋体" w:hAnsi="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14:paraId="331ED719">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14:paraId="6EBAF0DA">
            <w:pPr>
              <w:rPr>
                <w:rFonts w:hint="eastAsia" w:ascii="宋体" w:hAnsi="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14:paraId="5716FA86">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14:paraId="06D963AF">
            <w:pPr>
              <w:rPr>
                <w:rFonts w:hint="eastAsia" w:ascii="宋体" w:hAnsi="宋体" w:cs="宋体"/>
                <w:sz w:val="21"/>
                <w:szCs w:val="21"/>
              </w:rPr>
            </w:pPr>
            <w:r>
              <w:rPr>
                <w:rFonts w:hint="eastAsia" w:ascii="宋体" w:hAnsi="宋体" w:cs="宋体"/>
                <w:sz w:val="21"/>
                <w:szCs w:val="21"/>
              </w:rPr>
              <w:t>姓名</w:t>
            </w:r>
          </w:p>
        </w:tc>
        <w:tc>
          <w:tcPr>
            <w:tcW w:w="4503" w:type="dxa"/>
            <w:vAlign w:val="center"/>
          </w:tcPr>
          <w:p w14:paraId="778094F2">
            <w:pPr>
              <w:rPr>
                <w:rFonts w:hint="eastAsia" w:ascii="宋体" w:hAnsi="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cs="宋体"/>
                <w:sz w:val="21"/>
                <w:szCs w:val="21"/>
              </w:rPr>
            </w:pPr>
          </w:p>
        </w:tc>
        <w:tc>
          <w:tcPr>
            <w:tcW w:w="1844" w:type="dxa"/>
            <w:vMerge w:val="continue"/>
            <w:vAlign w:val="center"/>
          </w:tcPr>
          <w:p w14:paraId="18DCE37A">
            <w:pPr>
              <w:rPr>
                <w:rFonts w:hint="eastAsia" w:ascii="宋体" w:hAnsi="宋体" w:cs="宋体"/>
                <w:sz w:val="21"/>
                <w:szCs w:val="21"/>
              </w:rPr>
            </w:pPr>
          </w:p>
        </w:tc>
        <w:tc>
          <w:tcPr>
            <w:tcW w:w="1663" w:type="dxa"/>
            <w:vAlign w:val="center"/>
          </w:tcPr>
          <w:p w14:paraId="0D91A6CD">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14:paraId="67184591">
            <w:pPr>
              <w:rPr>
                <w:rFonts w:hint="eastAsia" w:ascii="宋体" w:hAnsi="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cs="宋体"/>
                <w:sz w:val="21"/>
                <w:szCs w:val="21"/>
              </w:rPr>
            </w:pPr>
          </w:p>
        </w:tc>
        <w:tc>
          <w:tcPr>
            <w:tcW w:w="1844" w:type="dxa"/>
            <w:vMerge w:val="continue"/>
            <w:vAlign w:val="center"/>
          </w:tcPr>
          <w:p w14:paraId="5DC40940">
            <w:pPr>
              <w:rPr>
                <w:rFonts w:hint="eastAsia" w:ascii="宋体" w:hAnsi="宋体" w:cs="宋体"/>
                <w:sz w:val="21"/>
                <w:szCs w:val="21"/>
              </w:rPr>
            </w:pPr>
          </w:p>
        </w:tc>
        <w:tc>
          <w:tcPr>
            <w:tcW w:w="1663" w:type="dxa"/>
            <w:vAlign w:val="center"/>
          </w:tcPr>
          <w:p w14:paraId="5D938FA8">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14:paraId="44F60C8A">
            <w:pPr>
              <w:rPr>
                <w:rFonts w:hint="eastAsia" w:ascii="宋体" w:hAnsi="宋体" w:cs="宋体"/>
                <w:sz w:val="21"/>
                <w:szCs w:val="21"/>
              </w:rPr>
            </w:pPr>
          </w:p>
        </w:tc>
      </w:tr>
    </w:tbl>
    <w:p w14:paraId="66F53609">
      <w:pPr>
        <w:rPr>
          <w:rFonts w:hint="eastAsia" w:ascii="宋体" w:hAnsi="宋体" w:cs="宋体"/>
          <w:szCs w:val="21"/>
        </w:rPr>
      </w:pPr>
    </w:p>
    <w:p w14:paraId="445452DD">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14:paraId="2DC213FC">
      <w:pPr>
        <w:spacing w:before="120" w:beforeLines="50" w:after="120" w:afterLines="50" w:line="360" w:lineRule="auto"/>
        <w:rPr>
          <w:rFonts w:hint="eastAsia" w:ascii="宋体" w:hAnsi="宋体" w:cs="宋体"/>
          <w:szCs w:val="21"/>
        </w:rPr>
      </w:pPr>
    </w:p>
    <w:p w14:paraId="18F4A36C">
      <w:pPr>
        <w:spacing w:line="360" w:lineRule="auto"/>
        <w:rPr>
          <w:rFonts w:hint="eastAsia" w:ascii="宋体" w:hAnsi="宋体" w:cs="宋体"/>
          <w:szCs w:val="21"/>
        </w:rPr>
      </w:pPr>
      <w:r>
        <w:rPr>
          <w:rFonts w:hint="eastAsia" w:ascii="宋体" w:hAnsi="宋体" w:cs="宋体"/>
          <w:szCs w:val="21"/>
        </w:rPr>
        <w:t>日期：     年  月  日</w:t>
      </w:r>
    </w:p>
    <w:p w14:paraId="2AF93730">
      <w:pPr>
        <w:spacing w:line="360" w:lineRule="auto"/>
        <w:rPr>
          <w:rFonts w:hint="eastAsia" w:ascii="宋体" w:hAnsi="宋体" w:cs="宋体"/>
          <w:szCs w:val="21"/>
        </w:rPr>
      </w:pPr>
    </w:p>
    <w:p w14:paraId="470BA519">
      <w:pPr>
        <w:spacing w:line="360" w:lineRule="auto"/>
        <w:rPr>
          <w:rFonts w:hint="eastAsia" w:ascii="宋体" w:hAnsi="宋体" w:cs="宋体"/>
          <w:b/>
          <w:bCs/>
          <w:sz w:val="21"/>
          <w:szCs w:val="21"/>
          <w:highlight w:val="none"/>
          <w:lang w:val="en-US" w:eastAsia="zh-CN"/>
        </w:rPr>
      </w:pPr>
    </w:p>
    <w:p w14:paraId="3E18123C">
      <w:pPr>
        <w:spacing w:line="360" w:lineRule="auto"/>
        <w:rPr>
          <w:rFonts w:hint="eastAsia" w:ascii="宋体" w:hAnsi="宋体" w:cs="宋体"/>
          <w:b/>
          <w:bCs/>
          <w:sz w:val="21"/>
          <w:szCs w:val="21"/>
          <w:highlight w:val="none"/>
          <w:lang w:val="en-US" w:eastAsia="zh-CN"/>
        </w:rPr>
      </w:pPr>
    </w:p>
    <w:p w14:paraId="26630117">
      <w:pPr>
        <w:spacing w:line="360" w:lineRule="auto"/>
        <w:rPr>
          <w:rFonts w:hint="eastAsia" w:ascii="宋体" w:hAnsi="宋体" w:cs="宋体"/>
          <w:b/>
          <w:bCs/>
          <w:sz w:val="21"/>
          <w:szCs w:val="21"/>
          <w:highlight w:val="none"/>
          <w:lang w:val="en-US" w:eastAsia="zh-CN"/>
        </w:rPr>
      </w:pPr>
    </w:p>
    <w:p w14:paraId="0126881B">
      <w:pPr>
        <w:pStyle w:val="21"/>
        <w:rPr>
          <w:rFonts w:hint="eastAsia"/>
          <w:lang w:val="en-US" w:eastAsia="zh-CN"/>
        </w:rPr>
      </w:pPr>
    </w:p>
    <w:p w14:paraId="7534FCCD">
      <w:pPr>
        <w:spacing w:before="120" w:beforeLines="50" w:after="120" w:afterLines="50" w:line="360" w:lineRule="auto"/>
        <w:jc w:val="left"/>
        <w:rPr>
          <w:rFonts w:hint="eastAsia" w:ascii="宋体" w:hAnsi="宋体" w:eastAsia="宋体" w:cs="宋体"/>
          <w:szCs w:val="21"/>
          <w:lang w:val="en-US" w:eastAsia="zh-CN"/>
        </w:rPr>
      </w:pPr>
    </w:p>
    <w:p w14:paraId="7D11EB89">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cs="宋体"/>
          <w:color w:val="000000"/>
          <w:sz w:val="21"/>
          <w:szCs w:val="21"/>
        </w:rPr>
      </w:pPr>
    </w:p>
    <w:p w14:paraId="41919916">
      <w:pPr>
        <w:spacing w:before="120" w:beforeLines="50" w:after="120" w:afterLines="50" w:line="360" w:lineRule="auto"/>
        <w:rPr>
          <w:rFonts w:hint="eastAsia" w:ascii="宋体" w:hAnsi="宋体" w:cs="宋体"/>
          <w:color w:val="000000"/>
          <w:sz w:val="21"/>
          <w:szCs w:val="21"/>
        </w:rPr>
      </w:pPr>
    </w:p>
    <w:p w14:paraId="40B7B1D7">
      <w:pPr>
        <w:spacing w:before="120" w:beforeLines="50" w:after="120" w:afterLines="50" w:line="360" w:lineRule="auto"/>
        <w:rPr>
          <w:rFonts w:hint="eastAsia" w:ascii="宋体" w:hAnsi="宋体" w:cs="宋体"/>
          <w:color w:val="000000"/>
          <w:sz w:val="21"/>
          <w:szCs w:val="21"/>
        </w:rPr>
      </w:pPr>
    </w:p>
    <w:p w14:paraId="443B8255">
      <w:pPr>
        <w:spacing w:before="120" w:beforeLines="50" w:after="120" w:afterLines="50" w:line="360" w:lineRule="auto"/>
        <w:rPr>
          <w:rFonts w:hint="eastAsia" w:ascii="宋体" w:hAnsi="宋体" w:cs="宋体"/>
          <w:color w:val="000000"/>
          <w:sz w:val="21"/>
          <w:szCs w:val="21"/>
        </w:rPr>
      </w:pPr>
    </w:p>
    <w:p w14:paraId="0DB19A28">
      <w:pPr>
        <w:spacing w:before="120" w:beforeLines="50" w:after="120" w:afterLines="50" w:line="360" w:lineRule="auto"/>
        <w:rPr>
          <w:rFonts w:hint="eastAsia" w:ascii="宋体" w:hAnsi="宋体" w:cs="宋体"/>
          <w:color w:val="000000"/>
          <w:sz w:val="21"/>
          <w:szCs w:val="21"/>
        </w:rPr>
      </w:pPr>
    </w:p>
    <w:p w14:paraId="0FC56E74">
      <w:pPr>
        <w:spacing w:before="120" w:beforeLines="50" w:after="120" w:afterLines="50" w:line="360" w:lineRule="auto"/>
        <w:rPr>
          <w:rFonts w:hint="eastAsia" w:ascii="宋体" w:hAnsi="宋体" w:cs="宋体"/>
          <w:color w:val="000000"/>
          <w:sz w:val="21"/>
          <w:szCs w:val="21"/>
        </w:rPr>
      </w:pPr>
    </w:p>
    <w:p w14:paraId="60AC2B39">
      <w:pPr>
        <w:spacing w:before="120" w:beforeLines="50" w:after="120" w:afterLines="50" w:line="360" w:lineRule="auto"/>
        <w:rPr>
          <w:rFonts w:hint="eastAsia" w:ascii="宋体" w:hAnsi="宋体" w:cs="宋体"/>
          <w:color w:val="000000"/>
          <w:sz w:val="21"/>
          <w:szCs w:val="21"/>
        </w:rPr>
      </w:pPr>
    </w:p>
    <w:p w14:paraId="34E5693B">
      <w:pPr>
        <w:spacing w:before="120" w:beforeLines="50" w:after="120" w:afterLines="50" w:line="360" w:lineRule="auto"/>
        <w:rPr>
          <w:rFonts w:hint="eastAsia" w:ascii="宋体" w:hAnsi="宋体" w:cs="宋体"/>
          <w:color w:val="000000"/>
          <w:sz w:val="21"/>
          <w:szCs w:val="21"/>
        </w:rPr>
      </w:pPr>
    </w:p>
    <w:p w14:paraId="3CAB14D0">
      <w:pPr>
        <w:spacing w:before="120" w:beforeLines="50" w:after="120" w:afterLines="50" w:line="360" w:lineRule="auto"/>
        <w:rPr>
          <w:rFonts w:hint="eastAsia" w:ascii="宋体" w:hAnsi="宋体" w:cs="宋体"/>
          <w:color w:val="000000"/>
          <w:sz w:val="21"/>
          <w:szCs w:val="21"/>
        </w:rPr>
      </w:pPr>
    </w:p>
    <w:p w14:paraId="37E3B4F9">
      <w:pPr>
        <w:spacing w:before="120" w:beforeLines="50" w:after="120" w:afterLines="50" w:line="360" w:lineRule="auto"/>
        <w:rPr>
          <w:rFonts w:hint="eastAsia" w:ascii="宋体" w:hAnsi="宋体" w:cs="宋体"/>
          <w:color w:val="000000"/>
          <w:sz w:val="21"/>
          <w:szCs w:val="21"/>
        </w:rPr>
      </w:pPr>
    </w:p>
    <w:p w14:paraId="62017DE1">
      <w:pPr>
        <w:spacing w:before="120" w:beforeLines="50" w:after="120" w:afterLines="50" w:line="360" w:lineRule="auto"/>
        <w:rPr>
          <w:rFonts w:hint="eastAsia" w:ascii="宋体" w:hAnsi="宋体" w:cs="宋体"/>
          <w:color w:val="000000"/>
          <w:sz w:val="21"/>
          <w:szCs w:val="21"/>
        </w:rPr>
      </w:pPr>
    </w:p>
    <w:p w14:paraId="20009200">
      <w:pPr>
        <w:spacing w:before="120" w:beforeLines="50" w:after="120" w:afterLines="50" w:line="360" w:lineRule="auto"/>
        <w:rPr>
          <w:rFonts w:hint="eastAsia" w:ascii="宋体" w:hAnsi="宋体" w:cs="宋体"/>
          <w:color w:val="000000"/>
          <w:sz w:val="21"/>
          <w:szCs w:val="21"/>
        </w:rPr>
      </w:pPr>
    </w:p>
    <w:p w14:paraId="38E18F0F">
      <w:pPr>
        <w:spacing w:before="120" w:beforeLines="50" w:after="120" w:afterLines="50" w:line="360" w:lineRule="auto"/>
        <w:rPr>
          <w:rFonts w:hint="eastAsia" w:ascii="宋体" w:hAnsi="宋体" w:cs="宋体"/>
          <w:color w:val="000000"/>
          <w:sz w:val="21"/>
          <w:szCs w:val="21"/>
        </w:rPr>
      </w:pPr>
    </w:p>
    <w:p w14:paraId="3B597B3E">
      <w:pPr>
        <w:spacing w:before="120" w:beforeLines="50" w:after="120" w:afterLines="50" w:line="360" w:lineRule="auto"/>
        <w:rPr>
          <w:rFonts w:hint="eastAsia" w:ascii="宋体" w:hAnsi="宋体" w:cs="宋体"/>
          <w:color w:val="000000"/>
          <w:sz w:val="21"/>
          <w:szCs w:val="21"/>
        </w:rPr>
      </w:pPr>
    </w:p>
    <w:p w14:paraId="6E69B96D">
      <w:pPr>
        <w:spacing w:before="120" w:beforeLines="50" w:after="120" w:afterLines="50" w:line="360" w:lineRule="auto"/>
        <w:rPr>
          <w:rFonts w:hint="eastAsia" w:ascii="宋体" w:hAnsi="宋体" w:cs="宋体"/>
          <w:color w:val="000000"/>
          <w:sz w:val="21"/>
          <w:szCs w:val="21"/>
        </w:rPr>
      </w:pPr>
    </w:p>
    <w:p w14:paraId="0451E2A3">
      <w:pPr>
        <w:spacing w:before="120" w:beforeLines="50" w:after="120" w:afterLines="50" w:line="360" w:lineRule="auto"/>
        <w:rPr>
          <w:rFonts w:hint="eastAsia" w:ascii="宋体" w:hAnsi="宋体" w:cs="宋体"/>
          <w:color w:val="000000"/>
          <w:sz w:val="21"/>
          <w:szCs w:val="21"/>
        </w:rPr>
      </w:pPr>
    </w:p>
    <w:p w14:paraId="0BB12A45">
      <w:pPr>
        <w:spacing w:before="120" w:beforeLines="50" w:after="120" w:afterLines="50" w:line="360" w:lineRule="auto"/>
        <w:rPr>
          <w:rFonts w:hint="eastAsia" w:ascii="宋体" w:hAnsi="宋体" w:cs="宋体"/>
          <w:color w:val="000000"/>
          <w:sz w:val="21"/>
          <w:szCs w:val="21"/>
        </w:rPr>
      </w:pPr>
    </w:p>
    <w:p w14:paraId="00CAF02B">
      <w:pPr>
        <w:spacing w:before="120" w:beforeLines="50" w:after="120" w:afterLines="50" w:line="360" w:lineRule="auto"/>
        <w:rPr>
          <w:rFonts w:hint="eastAsia" w:ascii="宋体" w:hAnsi="宋体" w:cs="宋体"/>
          <w:color w:val="000000"/>
          <w:sz w:val="21"/>
          <w:szCs w:val="21"/>
        </w:rPr>
      </w:pPr>
    </w:p>
    <w:p w14:paraId="24679A96">
      <w:pPr>
        <w:spacing w:before="120" w:beforeLines="50" w:after="120" w:afterLines="50" w:line="360" w:lineRule="auto"/>
        <w:rPr>
          <w:rFonts w:hint="eastAsia" w:ascii="宋体" w:hAnsi="宋体" w:cs="宋体"/>
          <w:color w:val="000000"/>
          <w:sz w:val="21"/>
          <w:szCs w:val="21"/>
        </w:rPr>
      </w:pPr>
    </w:p>
    <w:p w14:paraId="20B4CDEB">
      <w:pPr>
        <w:spacing w:before="120" w:beforeLines="50" w:after="120" w:afterLines="50" w:line="360" w:lineRule="auto"/>
        <w:rPr>
          <w:rFonts w:hint="eastAsia" w:ascii="宋体" w:hAnsi="宋体" w:cs="宋体"/>
          <w:color w:val="000000"/>
          <w:sz w:val="21"/>
          <w:szCs w:val="21"/>
        </w:rPr>
      </w:pPr>
    </w:p>
    <w:p w14:paraId="6AA4A5F6">
      <w:pPr>
        <w:spacing w:before="120" w:beforeLines="50" w:after="120" w:afterLines="50" w:line="360" w:lineRule="auto"/>
        <w:rPr>
          <w:rFonts w:hint="eastAsia" w:ascii="宋体" w:hAnsi="宋体" w:cs="宋体"/>
          <w:color w:val="000000"/>
          <w:sz w:val="21"/>
          <w:szCs w:val="21"/>
        </w:rPr>
      </w:pPr>
    </w:p>
    <w:p w14:paraId="71AB0A3E">
      <w:pPr>
        <w:spacing w:before="120" w:beforeLines="50" w:after="120" w:afterLines="50" w:line="360" w:lineRule="auto"/>
        <w:rPr>
          <w:rFonts w:hint="eastAsia" w:ascii="宋体" w:hAnsi="宋体" w:cs="宋体"/>
          <w:color w:val="000000"/>
          <w:sz w:val="21"/>
          <w:szCs w:val="21"/>
        </w:rPr>
      </w:pPr>
    </w:p>
    <w:p w14:paraId="3F417081">
      <w:pPr>
        <w:spacing w:before="120" w:beforeLines="50" w:after="120" w:afterLines="50" w:line="360" w:lineRule="auto"/>
        <w:rPr>
          <w:rFonts w:hint="eastAsia" w:ascii="宋体" w:hAnsi="宋体" w:cs="宋体"/>
          <w:color w:val="000000"/>
          <w:sz w:val="21"/>
          <w:szCs w:val="21"/>
        </w:rPr>
      </w:pPr>
    </w:p>
    <w:p w14:paraId="4BD72CC9">
      <w:pPr>
        <w:spacing w:before="120" w:beforeLines="50" w:after="120" w:afterLines="50" w:line="360" w:lineRule="auto"/>
        <w:rPr>
          <w:rFonts w:hint="eastAsia" w:ascii="宋体" w:hAnsi="宋体" w:cs="宋体"/>
          <w:color w:val="000000"/>
          <w:sz w:val="21"/>
          <w:szCs w:val="21"/>
        </w:rPr>
      </w:pPr>
    </w:p>
    <w:p w14:paraId="74342670">
      <w:pPr>
        <w:numPr>
          <w:ilvl w:val="-1"/>
          <w:numId w:val="0"/>
        </w:numPr>
        <w:spacing w:line="360" w:lineRule="auto"/>
        <w:rPr>
          <w:rFonts w:hint="eastAsia" w:ascii="宋体" w:hAnsi="宋体" w:cs="宋体"/>
          <w:b/>
          <w:bCs/>
          <w:sz w:val="21"/>
          <w:szCs w:val="21"/>
          <w:highlight w:val="none"/>
          <w:lang w:val="en-US" w:eastAsia="zh-CN"/>
        </w:rPr>
      </w:pPr>
    </w:p>
    <w:p w14:paraId="4ECAFB14">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14:paraId="060481C5">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14:paraId="16F2B9B5">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14:paraId="7F037091">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14:paraId="7B924BC2">
      <w:pPr>
        <w:spacing w:line="500" w:lineRule="exact"/>
        <w:ind w:firstLine="470" w:firstLineChars="224"/>
        <w:rPr>
          <w:rFonts w:ascii="宋体" w:hAnsi="宋体" w:cs="宋体"/>
          <w:sz w:val="21"/>
          <w:szCs w:val="21"/>
          <w:highlight w:val="none"/>
        </w:rPr>
      </w:pPr>
    </w:p>
    <w:p w14:paraId="466AE514">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14:paraId="25A747AE">
      <w:pPr>
        <w:spacing w:line="500" w:lineRule="exact"/>
        <w:ind w:firstLine="470" w:firstLineChars="224"/>
        <w:rPr>
          <w:rFonts w:ascii="宋体" w:hAnsi="宋体" w:cs="宋体"/>
          <w:sz w:val="21"/>
          <w:szCs w:val="21"/>
          <w:highlight w:val="none"/>
        </w:rPr>
      </w:pPr>
    </w:p>
    <w:p w14:paraId="7A1B836E">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14:paraId="28ABAA05">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14:paraId="6BF7B9BB">
      <w:pPr>
        <w:spacing w:line="500" w:lineRule="exact"/>
        <w:rPr>
          <w:rFonts w:ascii="宋体" w:hAnsi="宋体" w:cs="宋体"/>
          <w:sz w:val="21"/>
          <w:szCs w:val="21"/>
          <w:highlight w:val="none"/>
        </w:rPr>
      </w:pPr>
    </w:p>
    <w:p w14:paraId="5AE6576C">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14:paraId="6D48A026">
      <w:pPr>
        <w:rPr>
          <w:rFonts w:hint="eastAsia" w:ascii="宋体" w:hAnsi="宋体" w:cs="宋体"/>
          <w:sz w:val="21"/>
          <w:szCs w:val="21"/>
          <w:highlight w:val="none"/>
        </w:rPr>
      </w:pPr>
    </w:p>
    <w:p w14:paraId="7070C0B9">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14:paraId="0AB6833C">
      <w:pPr>
        <w:pStyle w:val="59"/>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21"/>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21"/>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21"/>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21"/>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14:paraId="7809FB23">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14:paraId="290901F8">
      <w:pPr>
        <w:pStyle w:val="31"/>
        <w:spacing w:line="360" w:lineRule="auto"/>
        <w:ind w:firstLine="371" w:firstLineChars="177"/>
        <w:rPr>
          <w:rFonts w:hint="eastAsia" w:hAnsi="宋体" w:cs="宋体"/>
          <w:bCs/>
          <w:sz w:val="21"/>
          <w:szCs w:val="21"/>
          <w:highlight w:val="none"/>
        </w:rPr>
      </w:pPr>
    </w:p>
    <w:p w14:paraId="22002D0D">
      <w:pPr>
        <w:pStyle w:val="31"/>
        <w:spacing w:line="360" w:lineRule="auto"/>
        <w:ind w:firstLine="420"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广州城投保盈综合能源有限公司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ascii="宋体"/>
          <w:sz w:val="24"/>
          <w:lang w:eastAsia="zh-CN"/>
        </w:rPr>
        <w:t>保盈项目中央空调系统水质处理年度服务</w:t>
      </w:r>
      <w:r>
        <w:rPr>
          <w:rFonts w:hint="eastAsia" w:hAnsi="宋体" w:cs="宋体"/>
          <w:sz w:val="21"/>
          <w:szCs w:val="21"/>
          <w:highlight w:val="none"/>
        </w:rPr>
        <w:t>”的投标和合同执行，以我方的名义处理一切与之有关的事宜。</w:t>
      </w:r>
    </w:p>
    <w:p w14:paraId="050B0DA0">
      <w:pPr>
        <w:pStyle w:val="31"/>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14:paraId="6BCF9946">
      <w:pPr>
        <w:pStyle w:val="31"/>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14:paraId="28981E45">
      <w:pPr>
        <w:pStyle w:val="31"/>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14:paraId="23196662">
      <w:pPr>
        <w:pStyle w:val="31"/>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14:paraId="580ABBCB">
      <w:pPr>
        <w:pStyle w:val="31"/>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14:paraId="42E83532">
      <w:pPr>
        <w:pStyle w:val="31"/>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14:paraId="18457D3C">
      <w:pPr>
        <w:pStyle w:val="31"/>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14:paraId="49C3DED8">
      <w:pPr>
        <w:pStyle w:val="30"/>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14:paraId="30D041FA">
      <w:pPr>
        <w:pStyle w:val="30"/>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14:paraId="4716FD1C">
      <w:pPr>
        <w:pStyle w:val="30"/>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14:paraId="1384AFDB">
      <w:pPr>
        <w:pStyle w:val="30"/>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21"/>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21"/>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21"/>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21"/>
              <w:spacing w:line="240" w:lineRule="auto"/>
              <w:ind w:firstLine="0"/>
              <w:jc w:val="center"/>
              <w:rPr>
                <w:rFonts w:hint="eastAsia" w:ascii="宋体" w:hAnsi="宋体" w:eastAsia="宋体" w:cs="宋体"/>
                <w:color w:val="auto"/>
                <w:sz w:val="21"/>
                <w:szCs w:val="21"/>
                <w:highlight w:val="none"/>
              </w:rPr>
            </w:pPr>
          </w:p>
        </w:tc>
      </w:tr>
    </w:tbl>
    <w:p w14:paraId="519C5E99">
      <w:pPr>
        <w:pStyle w:val="6"/>
        <w:ind w:firstLine="560"/>
        <w:rPr>
          <w:rFonts w:hint="eastAsia" w:ascii="宋体" w:hAnsi="宋体" w:cs="宋体"/>
          <w:sz w:val="21"/>
          <w:szCs w:val="21"/>
          <w:highlight w:val="none"/>
          <w:lang w:val="zh-CN"/>
        </w:rPr>
      </w:pPr>
    </w:p>
    <w:p w14:paraId="581C5043">
      <w:pPr>
        <w:pStyle w:val="6"/>
        <w:ind w:firstLine="560"/>
        <w:rPr>
          <w:rFonts w:hint="eastAsia" w:ascii="宋体" w:hAnsi="宋体" w:cs="宋体"/>
          <w:sz w:val="21"/>
          <w:szCs w:val="21"/>
          <w:highlight w:val="none"/>
          <w:lang w:val="zh-CN"/>
        </w:rPr>
      </w:pPr>
    </w:p>
    <w:p w14:paraId="33894F4C">
      <w:pPr>
        <w:adjustRightInd w:val="0"/>
        <w:snapToGrid w:val="0"/>
        <w:spacing w:line="600" w:lineRule="exact"/>
        <w:ind w:firstLine="0"/>
        <w:rPr>
          <w:rFonts w:hint="eastAsia" w:ascii="宋体" w:hAnsi="宋体" w:cs="宋体"/>
          <w:kern w:val="0"/>
          <w:sz w:val="21"/>
          <w:szCs w:val="21"/>
          <w:highlight w:val="none"/>
        </w:rPr>
      </w:pPr>
    </w:p>
    <w:p w14:paraId="5975C061">
      <w:pPr>
        <w:adjustRightInd w:val="0"/>
        <w:snapToGrid w:val="0"/>
        <w:spacing w:line="600" w:lineRule="exact"/>
        <w:ind w:firstLine="0"/>
        <w:rPr>
          <w:rFonts w:hint="eastAsia" w:ascii="宋体" w:hAnsi="宋体" w:cs="宋体"/>
          <w:kern w:val="0"/>
          <w:sz w:val="21"/>
          <w:szCs w:val="21"/>
          <w:highlight w:val="none"/>
        </w:rPr>
      </w:pPr>
    </w:p>
    <w:p w14:paraId="4530ED5A">
      <w:pPr>
        <w:adjustRightInd w:val="0"/>
        <w:snapToGrid w:val="0"/>
        <w:spacing w:line="600" w:lineRule="exact"/>
        <w:ind w:firstLine="0"/>
        <w:rPr>
          <w:rFonts w:hint="eastAsia" w:ascii="宋体" w:hAnsi="宋体" w:cs="宋体"/>
          <w:kern w:val="0"/>
          <w:sz w:val="21"/>
          <w:szCs w:val="21"/>
          <w:highlight w:val="none"/>
        </w:rPr>
      </w:pPr>
    </w:p>
    <w:p w14:paraId="415FE087">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14:paraId="7FD4C43E">
      <w:pPr>
        <w:rPr>
          <w:rFonts w:hint="eastAsia" w:ascii="宋体" w:hAnsi="宋体" w:cs="宋体"/>
          <w:sz w:val="21"/>
          <w:szCs w:val="21"/>
          <w:highlight w:val="none"/>
        </w:rPr>
      </w:pPr>
      <w:r>
        <w:rPr>
          <w:rFonts w:hint="eastAsia" w:ascii="宋体" w:hAnsi="宋体" w:cs="宋体"/>
          <w:sz w:val="21"/>
          <w:szCs w:val="21"/>
          <w:highlight w:val="none"/>
        </w:rPr>
        <w:br w:type="page"/>
      </w:r>
    </w:p>
    <w:p w14:paraId="3E1F67FA">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sz w:val="24"/>
                <w:lang w:eastAsia="zh-CN"/>
              </w:rPr>
              <w:t>保盈项目中央空调系统水质处理年度服务</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1"/>
                <w:szCs w:val="21"/>
                <w:highlight w:val="none"/>
              </w:rPr>
            </w:pPr>
          </w:p>
          <w:p w14:paraId="14784ABC">
            <w:pPr>
              <w:widowControl/>
              <w:rPr>
                <w:rFonts w:ascii="宋体" w:hAnsi="宋体" w:cs="宋体"/>
                <w:b/>
                <w:bCs/>
                <w:kern w:val="0"/>
                <w:sz w:val="21"/>
                <w:szCs w:val="21"/>
                <w:highlight w:val="none"/>
              </w:rPr>
            </w:pPr>
          </w:p>
          <w:p w14:paraId="74D422D3">
            <w:pPr>
              <w:widowControl/>
              <w:rPr>
                <w:rFonts w:ascii="宋体" w:hAnsi="宋体" w:cs="宋体"/>
                <w:b/>
                <w:bCs/>
                <w:kern w:val="0"/>
                <w:sz w:val="21"/>
                <w:szCs w:val="21"/>
                <w:highlight w:val="none"/>
              </w:rPr>
            </w:pPr>
          </w:p>
          <w:p w14:paraId="5F1DB338">
            <w:pPr>
              <w:widowControl/>
              <w:rPr>
                <w:rFonts w:ascii="宋体" w:hAnsi="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1"/>
                <w:szCs w:val="21"/>
                <w:highlight w:val="none"/>
              </w:rPr>
            </w:pPr>
          </w:p>
        </w:tc>
      </w:tr>
    </w:tbl>
    <w:p w14:paraId="603CD63E">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14:paraId="717360D5">
      <w:pPr>
        <w:pStyle w:val="6"/>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r>
        <w:rPr>
          <w:rFonts w:hint="eastAsia" w:ascii="方正小标宋简体" w:hAnsi="方正小标宋简体" w:eastAsia="方正小标宋简体" w:cs="Arial"/>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7E653925">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49E1C17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081A8179">
      <w:pPr>
        <w:pStyle w:val="6"/>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14:paraId="46376615">
      <w:pPr>
        <w:pStyle w:val="6"/>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14:paraId="6BB9D815">
      <w:pPr>
        <w:pStyle w:val="6"/>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14:paraId="055C0DBA">
      <w:pPr>
        <w:rPr>
          <w:rFonts w:hint="eastAsia" w:ascii="宋体" w:hAnsi="宋体" w:cs="宋体"/>
          <w:b/>
          <w:sz w:val="21"/>
          <w:szCs w:val="21"/>
          <w:highlight w:val="none"/>
        </w:rPr>
      </w:pPr>
    </w:p>
    <w:p w14:paraId="3F688C59">
      <w:pPr>
        <w:rPr>
          <w:rFonts w:hint="eastAsia" w:ascii="宋体" w:hAnsi="宋体" w:cs="宋体"/>
          <w:b/>
          <w:sz w:val="21"/>
          <w:szCs w:val="21"/>
          <w:highlight w:val="none"/>
        </w:rPr>
      </w:pPr>
      <w:r>
        <w:rPr>
          <w:rFonts w:hint="eastAsia" w:ascii="宋体" w:hAnsi="宋体" w:eastAsia="宋体"/>
          <w:sz w:val="21"/>
          <w:szCs w:val="21"/>
          <w:highlight w:val="none"/>
          <w:u w:val="single"/>
          <w:lang w:val="en-US" w:eastAsia="zh-CN"/>
        </w:rPr>
        <w:t>广州</w:t>
      </w:r>
      <w:r>
        <w:rPr>
          <w:rFonts w:hint="eastAsia" w:ascii="宋体" w:hAnsi="宋体"/>
          <w:sz w:val="21"/>
          <w:szCs w:val="21"/>
          <w:highlight w:val="none"/>
          <w:u w:val="single"/>
          <w:lang w:val="en-US" w:eastAsia="zh-CN"/>
        </w:rPr>
        <w:t>城投保盈综合能源</w:t>
      </w:r>
      <w:r>
        <w:rPr>
          <w:rFonts w:hint="eastAsia" w:ascii="宋体" w:hAnsi="宋体" w:eastAsia="宋体"/>
          <w:sz w:val="21"/>
          <w:szCs w:val="21"/>
          <w:highlight w:val="none"/>
          <w:u w:val="single"/>
          <w:lang w:val="en-US" w:eastAsia="zh-CN"/>
        </w:rPr>
        <w:t xml:space="preserve">有限公司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14:paraId="28E729B3">
      <w:pPr>
        <w:spacing w:before="156"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sz w:val="24"/>
          <w:lang w:eastAsia="zh-CN"/>
        </w:rPr>
        <w:t>保盈项目中央空调系统水质处理年度服务</w:t>
      </w:r>
      <w:r>
        <w:rPr>
          <w:rFonts w:hint="eastAsia" w:ascii="宋体" w:hAnsi="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14:paraId="0916DF6F">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14:paraId="6EFE4515">
      <w:pPr>
        <w:spacing w:line="360" w:lineRule="auto"/>
        <w:ind w:firstLine="420"/>
        <w:rPr>
          <w:rFonts w:hint="eastAsia" w:ascii="宋体" w:hAnsi="宋体" w:cs="宋体"/>
          <w:sz w:val="21"/>
          <w:szCs w:val="21"/>
          <w:highlight w:val="none"/>
        </w:rPr>
      </w:pPr>
    </w:p>
    <w:p w14:paraId="704D8AA2">
      <w:pPr>
        <w:spacing w:line="360" w:lineRule="auto"/>
        <w:ind w:firstLine="420"/>
        <w:rPr>
          <w:rFonts w:hint="eastAsia" w:ascii="宋体" w:hAnsi="宋体" w:cs="宋体"/>
          <w:sz w:val="21"/>
          <w:szCs w:val="21"/>
          <w:highlight w:val="none"/>
        </w:rPr>
      </w:pPr>
    </w:p>
    <w:p w14:paraId="3C35B409">
      <w:pPr>
        <w:spacing w:line="360" w:lineRule="auto"/>
        <w:ind w:firstLine="420"/>
        <w:rPr>
          <w:rFonts w:hint="eastAsia" w:ascii="宋体" w:hAnsi="宋体" w:cs="宋体"/>
          <w:sz w:val="21"/>
          <w:szCs w:val="21"/>
          <w:highlight w:val="none"/>
        </w:rPr>
      </w:pPr>
    </w:p>
    <w:p w14:paraId="09FD38A1">
      <w:pPr>
        <w:spacing w:line="360" w:lineRule="auto"/>
        <w:ind w:firstLine="420"/>
        <w:rPr>
          <w:rFonts w:hint="eastAsia" w:ascii="宋体" w:hAnsi="宋体" w:cs="宋体"/>
          <w:sz w:val="21"/>
          <w:szCs w:val="21"/>
          <w:highlight w:val="none"/>
        </w:rPr>
      </w:pPr>
    </w:p>
    <w:p w14:paraId="385EAAC8">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14:paraId="6393B9CB">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法定代表人（负责人）或报价人授权代表（签名或盖章）：</w:t>
      </w:r>
    </w:p>
    <w:p w14:paraId="27E2F7CE">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14:paraId="789C9CB1">
      <w:pPr>
        <w:rPr>
          <w:rFonts w:hint="eastAsia" w:ascii="宋体" w:hAnsi="宋体" w:cs="宋体"/>
          <w:color w:val="000000"/>
          <w:sz w:val="21"/>
          <w:szCs w:val="21"/>
          <w:highlight w:val="none"/>
        </w:rPr>
      </w:pPr>
    </w:p>
    <w:p w14:paraId="3A3A0B52">
      <w:pPr>
        <w:rPr>
          <w:rFonts w:hint="eastAsia" w:ascii="宋体" w:hAnsi="宋体" w:cs="宋体"/>
          <w:color w:val="000000"/>
          <w:sz w:val="21"/>
          <w:szCs w:val="21"/>
          <w:highlight w:val="none"/>
        </w:rPr>
      </w:pPr>
    </w:p>
    <w:p w14:paraId="422D7E29">
      <w:pPr>
        <w:ind w:firstLine="1687" w:firstLineChars="800"/>
        <w:rPr>
          <w:rFonts w:hint="eastAsia" w:ascii="宋体" w:hAnsi="宋体" w:cs="宋体"/>
          <w:b/>
          <w:bCs/>
          <w:sz w:val="21"/>
          <w:szCs w:val="21"/>
          <w:highlight w:val="none"/>
        </w:rPr>
      </w:pPr>
    </w:p>
    <w:p w14:paraId="72EE2482">
      <w:pPr>
        <w:ind w:firstLine="1687" w:firstLineChars="800"/>
        <w:rPr>
          <w:rFonts w:hint="eastAsia" w:ascii="宋体" w:hAnsi="宋体" w:cs="宋体"/>
          <w:b/>
          <w:bCs/>
          <w:sz w:val="21"/>
          <w:szCs w:val="21"/>
          <w:highlight w:val="none"/>
        </w:rPr>
      </w:pPr>
    </w:p>
    <w:p w14:paraId="79379A33">
      <w:pPr>
        <w:spacing w:before="120" w:beforeLines="50" w:after="120" w:afterLines="50" w:line="360" w:lineRule="auto"/>
        <w:rPr>
          <w:rFonts w:hint="eastAsia" w:ascii="宋体" w:hAnsi="宋体" w:cs="宋体"/>
          <w:color w:val="000000"/>
          <w:sz w:val="21"/>
          <w:szCs w:val="21"/>
        </w:rPr>
      </w:pPr>
    </w:p>
    <w:p w14:paraId="0D7F1ACE">
      <w:pPr>
        <w:spacing w:before="120" w:beforeLines="50" w:after="120" w:afterLines="50" w:line="360" w:lineRule="auto"/>
        <w:rPr>
          <w:rFonts w:hint="eastAsia" w:ascii="宋体" w:hAnsi="宋体" w:cs="宋体"/>
          <w:color w:val="000000"/>
          <w:sz w:val="21"/>
          <w:szCs w:val="21"/>
        </w:rPr>
      </w:pPr>
    </w:p>
    <w:p w14:paraId="36D67BD6">
      <w:pPr>
        <w:spacing w:before="120" w:beforeLines="50" w:after="120" w:afterLines="50" w:line="360" w:lineRule="auto"/>
        <w:rPr>
          <w:rFonts w:hint="eastAsia" w:ascii="宋体" w:hAnsi="宋体" w:cs="宋体"/>
          <w:color w:val="000000"/>
          <w:sz w:val="21"/>
          <w:szCs w:val="21"/>
        </w:rPr>
      </w:pPr>
    </w:p>
    <w:p w14:paraId="4104C6F2">
      <w:pPr>
        <w:spacing w:before="120" w:beforeLines="50" w:after="120" w:afterLines="50" w:line="360" w:lineRule="auto"/>
        <w:rPr>
          <w:rFonts w:hint="eastAsia" w:ascii="宋体" w:hAnsi="宋体" w:cs="宋体"/>
          <w:color w:val="000000"/>
          <w:sz w:val="21"/>
          <w:szCs w:val="21"/>
        </w:rPr>
      </w:pPr>
    </w:p>
    <w:p w14:paraId="10CAC6DF">
      <w:pPr>
        <w:spacing w:before="120" w:beforeLines="50" w:after="120" w:afterLines="50" w:line="360" w:lineRule="auto"/>
        <w:rPr>
          <w:rFonts w:hint="eastAsia" w:ascii="宋体" w:hAnsi="宋体" w:cs="宋体"/>
          <w:color w:val="000000"/>
          <w:sz w:val="21"/>
          <w:szCs w:val="21"/>
        </w:rPr>
      </w:pPr>
    </w:p>
    <w:p w14:paraId="54C88064">
      <w:pPr>
        <w:spacing w:before="120" w:beforeLines="50" w:after="120" w:afterLines="50" w:line="360" w:lineRule="auto"/>
        <w:rPr>
          <w:rFonts w:hint="eastAsia" w:ascii="宋体" w:hAnsi="宋体" w:cs="宋体"/>
          <w:color w:val="000000"/>
          <w:sz w:val="21"/>
          <w:szCs w:val="21"/>
        </w:rPr>
      </w:pPr>
    </w:p>
    <w:p w14:paraId="1422B6B2">
      <w:pPr>
        <w:spacing w:before="120" w:beforeLines="50" w:after="120" w:afterLines="50" w:line="360" w:lineRule="auto"/>
        <w:rPr>
          <w:rFonts w:hint="eastAsia" w:ascii="宋体" w:hAnsi="宋体" w:cs="宋体"/>
          <w:color w:val="000000"/>
          <w:sz w:val="21"/>
          <w:szCs w:val="21"/>
        </w:rPr>
      </w:pPr>
    </w:p>
    <w:p w14:paraId="4AD535A3">
      <w:pPr>
        <w:spacing w:before="120" w:beforeLines="50" w:after="120" w:afterLines="50" w:line="360" w:lineRule="auto"/>
        <w:rPr>
          <w:rFonts w:hint="eastAsia" w:ascii="宋体" w:hAnsi="宋体" w:cs="宋体"/>
          <w:color w:val="000000"/>
          <w:sz w:val="21"/>
          <w:szCs w:val="21"/>
        </w:rPr>
      </w:pPr>
    </w:p>
    <w:p w14:paraId="65703931">
      <w:pPr>
        <w:spacing w:before="120" w:beforeLines="50" w:after="120" w:afterLines="50" w:line="360" w:lineRule="auto"/>
        <w:rPr>
          <w:rFonts w:hint="eastAsia" w:ascii="宋体" w:hAnsi="宋体" w:cs="宋体"/>
          <w:color w:val="000000"/>
          <w:sz w:val="21"/>
          <w:szCs w:val="21"/>
        </w:rPr>
      </w:pPr>
    </w:p>
    <w:p w14:paraId="40A9F23C">
      <w:pPr>
        <w:rPr>
          <w:rFonts w:ascii="宋体" w:hAnsi="宋体" w:cs="宋体"/>
          <w:b/>
          <w:bCs/>
          <w:color w:val="auto"/>
          <w:sz w:val="21"/>
          <w:szCs w:val="21"/>
        </w:rPr>
      </w:pPr>
      <w:r>
        <w:rPr>
          <w:rFonts w:hint="eastAsia" w:ascii="宋体" w:hAnsi="宋体" w:cs="宋体"/>
          <w:b/>
          <w:bCs/>
          <w:color w:val="000000"/>
          <w:sz w:val="21"/>
          <w:szCs w:val="21"/>
          <w:lang w:val="en-US" w:eastAsia="zh-CN"/>
        </w:rPr>
        <w:t>2.6</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5</w:t>
      </w:r>
      <w:r>
        <w:rPr>
          <w:rFonts w:hint="eastAsia" w:ascii="宋体" w:hAnsi="宋体" w:cs="宋体"/>
          <w:b/>
          <w:bCs/>
          <w:color w:val="auto"/>
          <w:sz w:val="21"/>
          <w:szCs w:val="21"/>
        </w:rPr>
        <w:t>.拟投入本项目的项目负责人</w:t>
      </w:r>
      <w:r>
        <w:rPr>
          <w:rFonts w:hint="eastAsia" w:ascii="宋体" w:hAnsi="宋体" w:cs="宋体"/>
          <w:b/>
          <w:bCs/>
          <w:color w:val="auto"/>
          <w:sz w:val="21"/>
          <w:szCs w:val="21"/>
          <w:lang w:val="en-US" w:eastAsia="zh-CN"/>
        </w:rPr>
        <w:t>及团队成员</w:t>
      </w:r>
      <w:r>
        <w:rPr>
          <w:rFonts w:hint="eastAsia" w:ascii="宋体" w:hAnsi="宋体" w:cs="宋体"/>
          <w:b/>
          <w:bCs/>
          <w:color w:val="auto"/>
          <w:sz w:val="21"/>
          <w:szCs w:val="21"/>
        </w:rPr>
        <w:t>情况表</w:t>
      </w:r>
    </w:p>
    <w:p w14:paraId="58B7C9F2">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14:paraId="67C1D460">
            <w:pPr>
              <w:jc w:val="center"/>
              <w:rPr>
                <w:rFonts w:ascii="宋体" w:hAnsi="宋体" w:cs="宋体"/>
                <w:bCs/>
                <w:color w:val="auto"/>
                <w:sz w:val="21"/>
                <w:szCs w:val="21"/>
              </w:rPr>
            </w:pPr>
          </w:p>
        </w:tc>
        <w:tc>
          <w:tcPr>
            <w:tcW w:w="1613" w:type="dxa"/>
            <w:gridSpan w:val="2"/>
            <w:vAlign w:val="center"/>
          </w:tcPr>
          <w:p w14:paraId="7B296C4D">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14:paraId="38BA02E2">
            <w:pPr>
              <w:jc w:val="center"/>
              <w:rPr>
                <w:rFonts w:ascii="宋体" w:hAnsi="宋体" w:cs="宋体"/>
                <w:bCs/>
                <w:color w:val="auto"/>
                <w:sz w:val="21"/>
                <w:szCs w:val="21"/>
              </w:rPr>
            </w:pPr>
          </w:p>
        </w:tc>
        <w:tc>
          <w:tcPr>
            <w:tcW w:w="2198" w:type="dxa"/>
            <w:gridSpan w:val="2"/>
            <w:vAlign w:val="center"/>
          </w:tcPr>
          <w:p w14:paraId="7ABD9998">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14:paraId="0B61FD20">
            <w:pPr>
              <w:jc w:val="center"/>
              <w:rPr>
                <w:rFonts w:ascii="宋体" w:hAnsi="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14:paraId="6689C04F">
            <w:pPr>
              <w:spacing w:line="360" w:lineRule="exact"/>
              <w:jc w:val="center"/>
              <w:rPr>
                <w:rFonts w:ascii="宋体" w:hAnsi="宋体" w:cs="宋体"/>
                <w:bCs/>
                <w:color w:val="auto"/>
                <w:sz w:val="21"/>
                <w:szCs w:val="21"/>
              </w:rPr>
            </w:pPr>
          </w:p>
        </w:tc>
        <w:tc>
          <w:tcPr>
            <w:tcW w:w="1613" w:type="dxa"/>
            <w:gridSpan w:val="2"/>
            <w:vAlign w:val="center"/>
          </w:tcPr>
          <w:p w14:paraId="03B801C3">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14:paraId="0145D6AC">
            <w:pPr>
              <w:spacing w:line="360" w:lineRule="exact"/>
              <w:jc w:val="center"/>
              <w:rPr>
                <w:rFonts w:ascii="宋体" w:hAnsi="宋体" w:cs="宋体"/>
                <w:bCs/>
                <w:color w:val="auto"/>
                <w:sz w:val="21"/>
                <w:szCs w:val="21"/>
              </w:rPr>
            </w:pPr>
          </w:p>
        </w:tc>
        <w:tc>
          <w:tcPr>
            <w:tcW w:w="2198" w:type="dxa"/>
            <w:gridSpan w:val="2"/>
            <w:vAlign w:val="center"/>
          </w:tcPr>
          <w:p w14:paraId="00F5267D">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14:paraId="555D8457">
            <w:pPr>
              <w:spacing w:line="360" w:lineRule="exact"/>
              <w:jc w:val="center"/>
              <w:rPr>
                <w:rFonts w:ascii="宋体" w:hAnsi="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14:paraId="510A4FD2">
            <w:pPr>
              <w:spacing w:line="360" w:lineRule="exact"/>
              <w:jc w:val="center"/>
              <w:rPr>
                <w:rFonts w:ascii="宋体" w:hAnsi="宋体" w:cs="宋体"/>
                <w:bCs/>
                <w:color w:val="auto"/>
                <w:sz w:val="21"/>
                <w:szCs w:val="21"/>
              </w:rPr>
            </w:pPr>
          </w:p>
        </w:tc>
        <w:tc>
          <w:tcPr>
            <w:tcW w:w="1613" w:type="dxa"/>
            <w:gridSpan w:val="2"/>
            <w:vAlign w:val="center"/>
          </w:tcPr>
          <w:p w14:paraId="72FC51A2">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14:paraId="7F182324">
            <w:pPr>
              <w:spacing w:line="360" w:lineRule="exact"/>
              <w:jc w:val="center"/>
              <w:rPr>
                <w:rFonts w:ascii="宋体" w:hAnsi="宋体" w:cs="宋体"/>
                <w:bCs/>
                <w:color w:val="auto"/>
                <w:sz w:val="21"/>
                <w:szCs w:val="21"/>
              </w:rPr>
            </w:pPr>
          </w:p>
        </w:tc>
        <w:tc>
          <w:tcPr>
            <w:tcW w:w="2198" w:type="dxa"/>
            <w:gridSpan w:val="2"/>
            <w:vAlign w:val="center"/>
          </w:tcPr>
          <w:p w14:paraId="5BA6B815">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14:paraId="64DB10E9">
            <w:pPr>
              <w:spacing w:line="360" w:lineRule="exact"/>
              <w:jc w:val="center"/>
              <w:rPr>
                <w:rFonts w:ascii="宋体" w:hAnsi="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14:paraId="398ADE58">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14:paraId="4AA39A10">
            <w:pPr>
              <w:spacing w:line="360" w:lineRule="exact"/>
              <w:jc w:val="center"/>
              <w:rPr>
                <w:rFonts w:ascii="宋体" w:hAnsi="宋体" w:cs="宋体"/>
                <w:bCs/>
                <w:color w:val="auto"/>
                <w:sz w:val="21"/>
                <w:szCs w:val="21"/>
              </w:rPr>
            </w:pPr>
          </w:p>
        </w:tc>
        <w:tc>
          <w:tcPr>
            <w:tcW w:w="2198" w:type="dxa"/>
            <w:gridSpan w:val="2"/>
            <w:vAlign w:val="center"/>
          </w:tcPr>
          <w:p w14:paraId="47F8C3E0">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421141B5">
            <w:pPr>
              <w:spacing w:line="360" w:lineRule="exact"/>
              <w:jc w:val="center"/>
              <w:rPr>
                <w:rFonts w:ascii="宋体" w:hAnsi="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14:paraId="00F04381">
            <w:pPr>
              <w:jc w:val="center"/>
              <w:rPr>
                <w:rFonts w:ascii="宋体" w:hAnsi="宋体" w:cs="宋体"/>
                <w:bCs/>
                <w:color w:val="auto"/>
                <w:sz w:val="21"/>
                <w:szCs w:val="21"/>
              </w:rPr>
            </w:pPr>
          </w:p>
        </w:tc>
        <w:tc>
          <w:tcPr>
            <w:tcW w:w="2198" w:type="dxa"/>
            <w:gridSpan w:val="2"/>
            <w:vAlign w:val="center"/>
          </w:tcPr>
          <w:p w14:paraId="108C1660">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57C8F9FF">
            <w:pPr>
              <w:jc w:val="center"/>
              <w:rPr>
                <w:rFonts w:ascii="宋体" w:hAnsi="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14:paraId="1C8593F7">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14:paraId="58812E64">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14:paraId="7BBA383A">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14:paraId="48936703">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1"/>
                <w:szCs w:val="21"/>
              </w:rPr>
            </w:pPr>
          </w:p>
        </w:tc>
        <w:tc>
          <w:tcPr>
            <w:tcW w:w="1993" w:type="dxa"/>
            <w:gridSpan w:val="2"/>
          </w:tcPr>
          <w:p w14:paraId="4FD296CD">
            <w:pPr>
              <w:jc w:val="center"/>
              <w:rPr>
                <w:rFonts w:ascii="宋体" w:hAnsi="宋体" w:cs="宋体"/>
                <w:b/>
                <w:color w:val="auto"/>
                <w:sz w:val="21"/>
                <w:szCs w:val="21"/>
              </w:rPr>
            </w:pPr>
          </w:p>
        </w:tc>
        <w:tc>
          <w:tcPr>
            <w:tcW w:w="1993" w:type="dxa"/>
            <w:gridSpan w:val="2"/>
          </w:tcPr>
          <w:p w14:paraId="17959A7B">
            <w:pPr>
              <w:jc w:val="center"/>
              <w:rPr>
                <w:rFonts w:ascii="宋体" w:hAnsi="宋体" w:cs="宋体"/>
                <w:b/>
                <w:color w:val="auto"/>
                <w:sz w:val="21"/>
                <w:szCs w:val="21"/>
              </w:rPr>
            </w:pPr>
          </w:p>
        </w:tc>
        <w:tc>
          <w:tcPr>
            <w:tcW w:w="1993" w:type="dxa"/>
            <w:gridSpan w:val="2"/>
          </w:tcPr>
          <w:p w14:paraId="64267730">
            <w:pPr>
              <w:jc w:val="center"/>
              <w:rPr>
                <w:rFonts w:ascii="宋体" w:hAnsi="宋体" w:cs="宋体"/>
                <w:b/>
                <w:color w:val="auto"/>
                <w:sz w:val="21"/>
                <w:szCs w:val="21"/>
              </w:rPr>
            </w:pPr>
          </w:p>
        </w:tc>
        <w:tc>
          <w:tcPr>
            <w:tcW w:w="1685" w:type="dxa"/>
            <w:gridSpan w:val="2"/>
          </w:tcPr>
          <w:p w14:paraId="4648F5CC">
            <w:pPr>
              <w:jc w:val="center"/>
              <w:rPr>
                <w:rFonts w:ascii="宋体" w:hAnsi="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1"/>
                <w:szCs w:val="21"/>
              </w:rPr>
            </w:pPr>
          </w:p>
        </w:tc>
        <w:tc>
          <w:tcPr>
            <w:tcW w:w="1993" w:type="dxa"/>
            <w:gridSpan w:val="2"/>
          </w:tcPr>
          <w:p w14:paraId="7D66555E">
            <w:pPr>
              <w:jc w:val="center"/>
              <w:rPr>
                <w:rFonts w:ascii="宋体" w:hAnsi="宋体" w:cs="宋体"/>
                <w:b/>
                <w:color w:val="auto"/>
                <w:sz w:val="21"/>
                <w:szCs w:val="21"/>
              </w:rPr>
            </w:pPr>
          </w:p>
        </w:tc>
        <w:tc>
          <w:tcPr>
            <w:tcW w:w="1993" w:type="dxa"/>
            <w:gridSpan w:val="2"/>
          </w:tcPr>
          <w:p w14:paraId="4A082F64">
            <w:pPr>
              <w:jc w:val="center"/>
              <w:rPr>
                <w:rFonts w:ascii="宋体" w:hAnsi="宋体" w:cs="宋体"/>
                <w:b/>
                <w:color w:val="auto"/>
                <w:sz w:val="21"/>
                <w:szCs w:val="21"/>
              </w:rPr>
            </w:pPr>
          </w:p>
        </w:tc>
        <w:tc>
          <w:tcPr>
            <w:tcW w:w="1993" w:type="dxa"/>
            <w:gridSpan w:val="2"/>
          </w:tcPr>
          <w:p w14:paraId="70A9EA40">
            <w:pPr>
              <w:jc w:val="center"/>
              <w:rPr>
                <w:rFonts w:ascii="宋体" w:hAnsi="宋体" w:cs="宋体"/>
                <w:b/>
                <w:color w:val="auto"/>
                <w:sz w:val="21"/>
                <w:szCs w:val="21"/>
              </w:rPr>
            </w:pPr>
          </w:p>
        </w:tc>
        <w:tc>
          <w:tcPr>
            <w:tcW w:w="1685" w:type="dxa"/>
            <w:gridSpan w:val="2"/>
          </w:tcPr>
          <w:p w14:paraId="4F9A6A59">
            <w:pPr>
              <w:jc w:val="center"/>
              <w:rPr>
                <w:rFonts w:ascii="宋体" w:hAnsi="宋体" w:cs="宋体"/>
                <w:b/>
                <w:color w:val="auto"/>
                <w:sz w:val="21"/>
                <w:szCs w:val="21"/>
              </w:rPr>
            </w:pPr>
          </w:p>
        </w:tc>
      </w:tr>
    </w:tbl>
    <w:p w14:paraId="3CD82F2F">
      <w:pPr>
        <w:pStyle w:val="21"/>
        <w:rPr>
          <w:rFonts w:ascii="宋体" w:hAnsi="宋体" w:eastAsia="宋体" w:cs="宋体"/>
          <w:color w:val="auto"/>
          <w:sz w:val="21"/>
          <w:szCs w:val="21"/>
        </w:rPr>
      </w:pPr>
    </w:p>
    <w:p w14:paraId="347C7E43">
      <w:pPr>
        <w:pStyle w:val="21"/>
        <w:rPr>
          <w:rFonts w:ascii="宋体" w:hAnsi="宋体" w:eastAsia="宋体" w:cs="宋体"/>
          <w:color w:val="auto"/>
          <w:sz w:val="21"/>
          <w:szCs w:val="21"/>
        </w:rPr>
      </w:pPr>
    </w:p>
    <w:p w14:paraId="77949F68">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14:paraId="132B7E15">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14:paraId="450A3914">
      <w:pPr>
        <w:spacing w:before="120" w:beforeLines="50" w:after="120" w:afterLines="50" w:line="360" w:lineRule="auto"/>
        <w:rPr>
          <w:rFonts w:hint="default" w:ascii="宋体" w:hAnsi="宋体" w:eastAsia="宋体" w:cs="宋体"/>
          <w:b/>
          <w:bCs/>
          <w:color w:val="000000"/>
          <w:sz w:val="21"/>
          <w:szCs w:val="21"/>
          <w:lang w:val="en-US" w:eastAsia="zh-CN"/>
        </w:rPr>
      </w:pPr>
    </w:p>
    <w:p w14:paraId="59687B8B">
      <w:pPr>
        <w:spacing w:before="120" w:beforeLines="50" w:after="120" w:afterLines="50" w:line="360" w:lineRule="auto"/>
        <w:rPr>
          <w:rFonts w:hint="eastAsia" w:ascii="宋体" w:hAnsi="宋体" w:cs="宋体"/>
          <w:b/>
          <w:bCs/>
          <w:color w:val="auto"/>
          <w:kern w:val="0"/>
          <w:sz w:val="21"/>
          <w:szCs w:val="21"/>
          <w:lang w:val="en-US" w:eastAsia="zh-CN"/>
        </w:rPr>
      </w:pPr>
    </w:p>
    <w:p w14:paraId="47FA02EA">
      <w:pPr>
        <w:spacing w:before="120" w:beforeLines="50" w:after="120" w:afterLines="50" w:line="360" w:lineRule="auto"/>
        <w:rPr>
          <w:rFonts w:hint="eastAsia" w:ascii="宋体" w:hAnsi="宋体" w:cs="宋体"/>
          <w:b/>
          <w:bCs/>
          <w:color w:val="auto"/>
          <w:kern w:val="0"/>
          <w:sz w:val="21"/>
          <w:szCs w:val="21"/>
          <w:lang w:val="en-US" w:eastAsia="zh-CN"/>
        </w:rPr>
      </w:pPr>
    </w:p>
    <w:p w14:paraId="78F5BBB5">
      <w:pPr>
        <w:spacing w:before="120" w:beforeLines="50" w:after="120" w:afterLines="50" w:line="360" w:lineRule="auto"/>
        <w:rPr>
          <w:rFonts w:hint="eastAsia" w:ascii="宋体" w:hAnsi="宋体" w:cs="宋体"/>
          <w:b/>
          <w:bCs/>
          <w:color w:val="auto"/>
          <w:kern w:val="0"/>
          <w:sz w:val="21"/>
          <w:szCs w:val="21"/>
          <w:lang w:val="en-US" w:eastAsia="zh-CN"/>
        </w:rPr>
      </w:pPr>
    </w:p>
    <w:p w14:paraId="1E1D2032">
      <w:pPr>
        <w:spacing w:before="120" w:beforeLines="50" w:after="120" w:afterLines="50" w:line="360" w:lineRule="auto"/>
        <w:rPr>
          <w:rFonts w:hint="eastAsia" w:ascii="宋体" w:hAnsi="宋体" w:cs="宋体"/>
          <w:b/>
          <w:bCs/>
          <w:color w:val="auto"/>
          <w:kern w:val="0"/>
          <w:sz w:val="21"/>
          <w:szCs w:val="21"/>
          <w:lang w:val="en-US" w:eastAsia="zh-CN"/>
        </w:rPr>
      </w:pPr>
    </w:p>
    <w:p w14:paraId="30A1A388">
      <w:pPr>
        <w:spacing w:before="120" w:beforeLines="50" w:after="120" w:afterLines="50" w:line="360" w:lineRule="auto"/>
        <w:rPr>
          <w:rFonts w:hint="eastAsia" w:ascii="宋体" w:hAnsi="宋体" w:cs="宋体"/>
          <w:b/>
          <w:bCs/>
          <w:color w:val="auto"/>
          <w:kern w:val="0"/>
          <w:sz w:val="21"/>
          <w:szCs w:val="21"/>
          <w:lang w:val="en-US" w:eastAsia="zh-CN"/>
        </w:rPr>
      </w:pPr>
    </w:p>
    <w:p w14:paraId="1E8DAF54">
      <w:pPr>
        <w:spacing w:before="120" w:beforeLines="50" w:after="120" w:afterLines="50" w:line="360" w:lineRule="auto"/>
        <w:rPr>
          <w:rFonts w:hint="eastAsia" w:ascii="宋体" w:hAnsi="宋体" w:cs="宋体"/>
          <w:b/>
          <w:bCs/>
          <w:color w:val="auto"/>
          <w:kern w:val="0"/>
          <w:sz w:val="21"/>
          <w:szCs w:val="21"/>
          <w:lang w:val="en-US" w:eastAsia="zh-CN"/>
        </w:rPr>
      </w:pPr>
    </w:p>
    <w:p w14:paraId="726B6CFE">
      <w:pPr>
        <w:spacing w:before="120" w:beforeLines="50" w:after="120" w:afterLines="50" w:line="360" w:lineRule="auto"/>
        <w:rPr>
          <w:rFonts w:hint="eastAsia" w:ascii="宋体" w:hAnsi="宋体" w:cs="宋体"/>
          <w:b/>
          <w:bCs/>
          <w:color w:val="auto"/>
          <w:kern w:val="0"/>
          <w:sz w:val="21"/>
          <w:szCs w:val="21"/>
          <w:lang w:val="en-US" w:eastAsia="zh-CN"/>
        </w:rPr>
      </w:pPr>
    </w:p>
    <w:p w14:paraId="6D66170B">
      <w:pPr>
        <w:spacing w:before="120" w:beforeLines="50" w:after="120" w:afterLines="50" w:line="360" w:lineRule="auto"/>
        <w:rPr>
          <w:rFonts w:hint="eastAsia" w:ascii="宋体" w:hAnsi="宋体" w:cs="宋体"/>
          <w:b/>
          <w:bCs/>
          <w:color w:val="auto"/>
          <w:kern w:val="0"/>
          <w:sz w:val="21"/>
          <w:szCs w:val="21"/>
          <w:lang w:val="en-US" w:eastAsia="zh-CN"/>
        </w:rPr>
      </w:pPr>
    </w:p>
    <w:p w14:paraId="39510B7E">
      <w:pPr>
        <w:spacing w:before="120" w:beforeLines="50" w:after="120" w:afterLines="50" w:line="360" w:lineRule="auto"/>
        <w:rPr>
          <w:rFonts w:hint="eastAsia" w:ascii="宋体" w:hAnsi="宋体" w:cs="宋体"/>
          <w:b/>
          <w:bCs/>
          <w:color w:val="auto"/>
          <w:kern w:val="0"/>
          <w:sz w:val="21"/>
          <w:szCs w:val="21"/>
          <w:lang w:val="en-US" w:eastAsia="zh-CN"/>
        </w:rPr>
      </w:pPr>
    </w:p>
    <w:p w14:paraId="3A8FA694">
      <w:pPr>
        <w:spacing w:before="120" w:beforeLines="50" w:after="120" w:afterLines="50" w:line="360" w:lineRule="auto"/>
        <w:rPr>
          <w:rFonts w:hint="eastAsia" w:ascii="宋体" w:hAnsi="宋体" w:cs="宋体"/>
          <w:b/>
          <w:bCs/>
          <w:color w:val="auto"/>
          <w:kern w:val="0"/>
          <w:sz w:val="21"/>
          <w:szCs w:val="21"/>
          <w:lang w:val="en-US" w:eastAsia="zh-CN"/>
        </w:rPr>
      </w:pPr>
    </w:p>
    <w:p w14:paraId="032FE80E">
      <w:pPr>
        <w:pStyle w:val="21"/>
        <w:rPr>
          <w:rFonts w:hint="eastAsia"/>
          <w:lang w:val="en-US" w:eastAsia="zh-CN"/>
        </w:rPr>
      </w:pPr>
    </w:p>
    <w:p w14:paraId="205A5BC6">
      <w:pPr>
        <w:spacing w:before="120" w:beforeLines="50" w:after="120" w:afterLines="50" w:line="360" w:lineRule="auto"/>
        <w:rPr>
          <w:rFonts w:hint="eastAsia" w:ascii="宋体" w:hAnsi="宋体" w:cs="宋体"/>
          <w:b/>
          <w:bCs/>
          <w:color w:val="auto"/>
          <w:kern w:val="0"/>
          <w:sz w:val="21"/>
          <w:szCs w:val="21"/>
          <w:lang w:val="en-US" w:eastAsia="zh-CN"/>
        </w:rPr>
      </w:pPr>
    </w:p>
    <w:p w14:paraId="2EAAC97D">
      <w:pPr>
        <w:spacing w:before="120" w:beforeLines="50" w:after="120" w:afterLines="50" w:line="360" w:lineRule="auto"/>
        <w:rPr>
          <w:rFonts w:hint="eastAsia" w:ascii="宋体" w:hAnsi="宋体" w:cs="宋体"/>
          <w:b/>
          <w:bCs/>
          <w:color w:val="auto"/>
          <w:kern w:val="0"/>
          <w:sz w:val="21"/>
          <w:szCs w:val="21"/>
          <w:lang w:val="en-US" w:eastAsia="zh-CN"/>
        </w:rPr>
      </w:pPr>
      <w:r>
        <w:rPr>
          <w:rFonts w:hint="eastAsia" w:ascii="宋体" w:hAnsi="宋体" w:cs="宋体"/>
          <w:b/>
          <w:bCs/>
          <w:color w:val="auto"/>
          <w:kern w:val="0"/>
          <w:sz w:val="21"/>
          <w:szCs w:val="21"/>
          <w:lang w:val="en-US" w:eastAsia="zh-CN"/>
        </w:rPr>
        <w:t>2.7</w:t>
      </w:r>
      <w:r>
        <w:rPr>
          <w:rFonts w:hint="eastAsia" w:ascii="宋体" w:hAnsi="宋体" w:eastAsia="宋体" w:cs="宋体"/>
          <w:b w:val="0"/>
          <w:bCs w:val="0"/>
          <w:i w:val="0"/>
          <w:caps w:val="0"/>
          <w:color w:val="000000"/>
          <w:spacing w:val="0"/>
          <w:sz w:val="21"/>
          <w:szCs w:val="21"/>
          <w:shd w:val="clear"/>
        </w:rPr>
        <w:t>投标人需详细列明拟用于本项目的冷却水及冷冻水系统所有化学药剂的完整清单（商品名、主要成分、功能类别）</w:t>
      </w:r>
    </w:p>
    <w:p w14:paraId="02BFF3F9">
      <w:pPr>
        <w:spacing w:before="120" w:beforeLines="50" w:after="120" w:afterLines="50" w:line="360" w:lineRule="auto"/>
        <w:rPr>
          <w:rFonts w:hint="eastAsia" w:ascii="宋体" w:hAnsi="宋体" w:cs="宋体"/>
          <w:b/>
          <w:bCs/>
          <w:color w:val="auto"/>
          <w:kern w:val="0"/>
          <w:sz w:val="21"/>
          <w:szCs w:val="21"/>
          <w:lang w:val="en-US" w:eastAsia="zh-CN"/>
        </w:rPr>
      </w:pPr>
    </w:p>
    <w:p w14:paraId="79E03007">
      <w:pPr>
        <w:spacing w:before="120" w:beforeLines="50" w:after="120" w:afterLines="50" w:line="360" w:lineRule="auto"/>
        <w:rPr>
          <w:rFonts w:hint="eastAsia" w:ascii="宋体" w:hAnsi="宋体" w:cs="宋体"/>
          <w:b/>
          <w:bCs/>
          <w:color w:val="auto"/>
          <w:kern w:val="0"/>
          <w:sz w:val="21"/>
          <w:szCs w:val="21"/>
          <w:lang w:val="en-US" w:eastAsia="zh-CN"/>
        </w:rPr>
      </w:pPr>
    </w:p>
    <w:p w14:paraId="1203A098">
      <w:pPr>
        <w:spacing w:before="120" w:beforeLines="50" w:after="120" w:afterLines="50" w:line="360" w:lineRule="auto"/>
        <w:rPr>
          <w:rFonts w:hint="eastAsia" w:ascii="宋体" w:hAnsi="宋体" w:cs="宋体"/>
          <w:b/>
          <w:bCs/>
          <w:color w:val="auto"/>
          <w:kern w:val="0"/>
          <w:sz w:val="21"/>
          <w:szCs w:val="21"/>
          <w:lang w:val="en-US" w:eastAsia="zh-CN"/>
        </w:rPr>
      </w:pPr>
    </w:p>
    <w:p w14:paraId="3C1D885F">
      <w:pPr>
        <w:spacing w:before="120" w:beforeLines="50" w:after="120" w:afterLines="50" w:line="360" w:lineRule="auto"/>
        <w:rPr>
          <w:rFonts w:hint="eastAsia" w:ascii="宋体" w:hAnsi="宋体" w:eastAsia="宋体" w:cs="宋体"/>
          <w:b/>
          <w:bCs/>
          <w:color w:val="auto"/>
          <w:kern w:val="0"/>
          <w:sz w:val="21"/>
          <w:szCs w:val="21"/>
          <w:lang w:val="en-US" w:eastAsia="zh-CN"/>
        </w:rPr>
      </w:pPr>
      <w:r>
        <w:rPr>
          <w:rFonts w:hint="eastAsia" w:ascii="宋体" w:hAnsi="宋体" w:cs="宋体"/>
          <w:b/>
          <w:bCs/>
          <w:color w:val="auto"/>
          <w:kern w:val="0"/>
          <w:sz w:val="21"/>
          <w:szCs w:val="21"/>
          <w:lang w:val="en-US" w:eastAsia="zh-CN"/>
        </w:rPr>
        <w:t>2.8</w:t>
      </w:r>
      <w:r>
        <w:rPr>
          <w:rFonts w:hint="eastAsia" w:ascii="仿宋" w:hAnsi="仿宋" w:eastAsia="仿宋" w:cs="仿宋"/>
          <w:b w:val="0"/>
          <w:bCs w:val="0"/>
          <w:i w:val="0"/>
          <w:caps w:val="0"/>
          <w:color w:val="auto"/>
          <w:spacing w:val="0"/>
          <w:sz w:val="30"/>
          <w:szCs w:val="30"/>
          <w:highlight w:val="none"/>
          <w:shd w:val="clear" w:fill="FFFFFF"/>
        </w:rPr>
        <w:t>提</w:t>
      </w:r>
      <w:r>
        <w:rPr>
          <w:rFonts w:hint="eastAsia" w:ascii="宋体" w:hAnsi="宋体" w:eastAsia="宋体" w:cs="宋体"/>
          <w:b w:val="0"/>
          <w:bCs w:val="0"/>
          <w:i w:val="0"/>
          <w:caps w:val="0"/>
          <w:color w:val="000000"/>
          <w:spacing w:val="0"/>
          <w:sz w:val="21"/>
          <w:szCs w:val="21"/>
          <w:shd w:val="clear"/>
        </w:rPr>
        <w:t>供所有药剂的最新版安全技术说明书（MSDS）</w:t>
      </w:r>
      <w:r>
        <w:rPr>
          <w:rFonts w:hint="eastAsia" w:ascii="宋体" w:hAnsi="宋体" w:eastAsia="宋体" w:cs="宋体"/>
          <w:b w:val="0"/>
          <w:bCs w:val="0"/>
          <w:i w:val="0"/>
          <w:caps w:val="0"/>
          <w:color w:val="000000"/>
          <w:spacing w:val="0"/>
          <w:sz w:val="21"/>
          <w:szCs w:val="21"/>
          <w:shd w:val="clear"/>
          <w:lang w:eastAsia="zh-CN"/>
        </w:rPr>
        <w:t>。</w:t>
      </w:r>
    </w:p>
    <w:p w14:paraId="63BE7673">
      <w:pPr>
        <w:spacing w:before="120" w:beforeLines="50" w:after="120" w:afterLines="50" w:line="360" w:lineRule="auto"/>
        <w:rPr>
          <w:rFonts w:hint="eastAsia" w:ascii="宋体" w:hAnsi="宋体" w:cs="宋体"/>
          <w:b/>
          <w:bCs/>
          <w:color w:val="auto"/>
          <w:kern w:val="0"/>
          <w:sz w:val="21"/>
          <w:szCs w:val="21"/>
          <w:lang w:val="en-US" w:eastAsia="zh-CN"/>
        </w:rPr>
      </w:pPr>
    </w:p>
    <w:p w14:paraId="6303A483">
      <w:pPr>
        <w:spacing w:before="120" w:beforeLines="50" w:after="120" w:afterLines="50" w:line="360" w:lineRule="auto"/>
        <w:rPr>
          <w:rFonts w:hint="eastAsia" w:ascii="宋体" w:hAnsi="宋体" w:cs="宋体"/>
          <w:b/>
          <w:bCs/>
          <w:color w:val="auto"/>
          <w:kern w:val="0"/>
          <w:sz w:val="21"/>
          <w:szCs w:val="21"/>
          <w:lang w:val="en-US" w:eastAsia="zh-CN"/>
        </w:rPr>
      </w:pPr>
    </w:p>
    <w:p w14:paraId="0BBBCB96">
      <w:pPr>
        <w:spacing w:before="120" w:beforeLines="50" w:after="120" w:afterLines="50" w:line="360" w:lineRule="auto"/>
        <w:rPr>
          <w:rFonts w:hint="eastAsia" w:ascii="宋体" w:hAnsi="宋体" w:cs="宋体"/>
          <w:b/>
          <w:bCs/>
          <w:szCs w:val="21"/>
        </w:rPr>
      </w:pPr>
      <w:r>
        <w:rPr>
          <w:rFonts w:hint="eastAsia" w:ascii="宋体" w:hAnsi="宋体" w:cs="宋体"/>
          <w:b/>
          <w:bCs/>
          <w:color w:val="auto"/>
          <w:kern w:val="0"/>
          <w:sz w:val="21"/>
          <w:szCs w:val="21"/>
          <w:lang w:val="en-US" w:eastAsia="zh-CN"/>
        </w:rPr>
        <w:t xml:space="preserve">2.9 </w:t>
      </w:r>
      <w:r>
        <w:rPr>
          <w:rFonts w:hint="eastAsia" w:ascii="宋体" w:hAnsi="宋体" w:eastAsia="宋体" w:cs="宋体"/>
          <w:b w:val="0"/>
          <w:bCs w:val="0"/>
          <w:i w:val="0"/>
          <w:caps w:val="0"/>
          <w:color w:val="000000"/>
          <w:spacing w:val="0"/>
          <w:sz w:val="21"/>
          <w:szCs w:val="21"/>
          <w:shd w:val="clear"/>
          <w:lang w:val="en-US" w:eastAsia="zh-CN"/>
        </w:rPr>
        <w:t>提供</w:t>
      </w:r>
      <w:r>
        <w:rPr>
          <w:rFonts w:hint="eastAsia" w:ascii="宋体" w:hAnsi="宋体" w:eastAsia="宋体" w:cs="宋体"/>
          <w:b w:val="0"/>
          <w:bCs w:val="0"/>
          <w:i w:val="0"/>
          <w:caps w:val="0"/>
          <w:color w:val="000000"/>
          <w:spacing w:val="0"/>
          <w:sz w:val="21"/>
          <w:szCs w:val="21"/>
          <w:shd w:val="clear"/>
        </w:rPr>
        <w:t>缓蚀剂、阻垢剂、杀菌剂的初始加药量及日常维持加药量的计算依据和方法说明</w:t>
      </w:r>
    </w:p>
    <w:p w14:paraId="39FC0CCF">
      <w:pPr>
        <w:pStyle w:val="21"/>
        <w:rPr>
          <w:rFonts w:hint="eastAsia" w:ascii="宋体" w:hAnsi="宋体" w:cs="宋体"/>
          <w:b/>
          <w:bCs/>
          <w:szCs w:val="21"/>
        </w:rPr>
      </w:pPr>
    </w:p>
    <w:p w14:paraId="5FB4F46A">
      <w:pPr>
        <w:rPr>
          <w:rFonts w:hint="eastAsia" w:ascii="宋体" w:hAnsi="宋体" w:cs="宋体"/>
          <w:b/>
          <w:bCs/>
          <w:szCs w:val="21"/>
        </w:rPr>
      </w:pPr>
    </w:p>
    <w:p w14:paraId="1A360CDE">
      <w:pPr>
        <w:pStyle w:val="21"/>
        <w:rPr>
          <w:rFonts w:hint="eastAsia" w:ascii="宋体" w:hAnsi="宋体" w:cs="宋体"/>
          <w:b/>
          <w:bCs/>
          <w:szCs w:val="21"/>
        </w:rPr>
      </w:pPr>
    </w:p>
    <w:p w14:paraId="0374F691">
      <w:pPr>
        <w:rPr>
          <w:rFonts w:hint="eastAsia" w:ascii="宋体" w:hAnsi="宋体" w:cs="宋体"/>
          <w:b/>
          <w:bCs/>
          <w:szCs w:val="21"/>
        </w:rPr>
      </w:pPr>
    </w:p>
    <w:p w14:paraId="595550D8">
      <w:pPr>
        <w:pStyle w:val="21"/>
        <w:rPr>
          <w:rFonts w:hint="eastAsia" w:ascii="宋体" w:hAnsi="宋体" w:cs="宋体"/>
          <w:b/>
          <w:bCs/>
          <w:szCs w:val="21"/>
        </w:rPr>
      </w:pPr>
    </w:p>
    <w:p w14:paraId="32FE3B15">
      <w:pPr>
        <w:pStyle w:val="21"/>
        <w:rPr>
          <w:rFonts w:hint="eastAsia" w:ascii="宋体" w:hAnsi="宋体" w:cs="宋体"/>
          <w:b/>
          <w:bCs/>
          <w:szCs w:val="21"/>
        </w:rPr>
      </w:pPr>
    </w:p>
    <w:p w14:paraId="0CC2E4D7">
      <w:pPr>
        <w:rPr>
          <w:rFonts w:hint="eastAsia" w:ascii="宋体" w:hAnsi="宋体" w:cs="宋体"/>
          <w:b/>
          <w:bCs/>
          <w:szCs w:val="21"/>
        </w:rPr>
      </w:pPr>
    </w:p>
    <w:p w14:paraId="17C65F0C">
      <w:pPr>
        <w:pStyle w:val="21"/>
        <w:rPr>
          <w:rFonts w:hint="eastAsia"/>
          <w:lang w:val="en-US" w:eastAsia="zh-CN"/>
        </w:rPr>
      </w:pPr>
    </w:p>
    <w:p w14:paraId="68EDB8B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2.10</w:t>
      </w:r>
      <w:r>
        <w:rPr>
          <w:rFonts w:hint="eastAsia" w:ascii="宋体" w:hAnsi="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cs="宋体"/>
          <w:b/>
          <w:bCs/>
          <w:color w:val="000000"/>
          <w:sz w:val="21"/>
          <w:szCs w:val="21"/>
        </w:rPr>
      </w:pPr>
    </w:p>
    <w:p w14:paraId="7065D04C">
      <w:pPr>
        <w:spacing w:before="120" w:beforeLines="50" w:after="120" w:afterLines="50" w:line="360" w:lineRule="auto"/>
        <w:rPr>
          <w:rFonts w:hint="eastAsia" w:ascii="宋体" w:hAnsi="宋体" w:cs="宋体"/>
          <w:b/>
          <w:bCs/>
          <w:color w:val="000000"/>
          <w:sz w:val="21"/>
          <w:szCs w:val="21"/>
        </w:rPr>
      </w:pPr>
    </w:p>
    <w:p w14:paraId="787781FD">
      <w:pPr>
        <w:spacing w:before="120" w:beforeLines="50" w:after="120" w:afterLines="50" w:line="360" w:lineRule="auto"/>
        <w:rPr>
          <w:rFonts w:hint="eastAsia" w:ascii="宋体" w:hAnsi="宋体" w:cs="宋体"/>
          <w:b/>
          <w:bCs/>
          <w:color w:val="000000"/>
          <w:sz w:val="21"/>
          <w:szCs w:val="21"/>
        </w:rPr>
      </w:pPr>
    </w:p>
    <w:p w14:paraId="4C53E5A4">
      <w:pPr>
        <w:spacing w:before="120" w:beforeLines="50" w:after="120" w:afterLines="50" w:line="360" w:lineRule="auto"/>
        <w:rPr>
          <w:rFonts w:hint="eastAsia" w:ascii="宋体" w:hAnsi="宋体" w:eastAsia="宋体" w:cs="宋体"/>
          <w:b/>
          <w:bCs/>
          <w:color w:val="000000"/>
          <w:sz w:val="21"/>
          <w:szCs w:val="21"/>
          <w:lang w:val="en-US" w:eastAsia="zh-CN"/>
        </w:rPr>
      </w:pPr>
    </w:p>
    <w:p w14:paraId="17537670">
      <w:pPr>
        <w:pStyle w:val="6"/>
        <w:ind w:firstLine="0"/>
        <w:rPr>
          <w:rFonts w:hint="eastAsia" w:ascii="宋体" w:hAnsi="宋体" w:cs="宋体"/>
          <w:b/>
          <w:bCs/>
          <w:szCs w:val="21"/>
          <w:highlight w:val="none"/>
        </w:rPr>
      </w:pPr>
      <w:r>
        <w:rPr>
          <w:rFonts w:hint="eastAsia" w:ascii="宋体" w:hAnsi="宋体" w:eastAsia="宋体" w:cs="宋体"/>
          <w:b/>
          <w:bCs/>
          <w:szCs w:val="21"/>
          <w:lang w:val="en-US" w:eastAsia="zh-CN"/>
        </w:rPr>
        <w:t>三、技术方案文件</w:t>
      </w:r>
      <w:r>
        <w:rPr>
          <w:rFonts w:hint="eastAsia" w:ascii="宋体" w:hAnsi="宋体" w:eastAsia="宋体" w:cs="宋体"/>
          <w:b/>
          <w:bCs/>
          <w:szCs w:val="21"/>
        </w:rPr>
        <w:br w:type="page"/>
      </w:r>
      <w:r>
        <w:rPr>
          <w:rFonts w:hint="eastAsia" w:ascii="宋体" w:hAnsi="宋体" w:cs="宋体"/>
          <w:b/>
          <w:bCs/>
          <w:szCs w:val="21"/>
          <w:highlight w:val="none"/>
        </w:rPr>
        <w:t>附件2：评审办法</w:t>
      </w:r>
    </w:p>
    <w:p w14:paraId="2799FCE9">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14:paraId="11A55BBB">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w:t>
      </w:r>
      <w:r>
        <w:rPr>
          <w:rFonts w:hint="eastAsia" w:ascii="宋体" w:hAnsi="宋体" w:cs="宋体"/>
          <w:sz w:val="21"/>
          <w:szCs w:val="21"/>
          <w:highlight w:val="none"/>
        </w:rPr>
        <w:t>城投综合能源投资经营管理有限公司人员组成，确定5人的评审小组。</w:t>
      </w:r>
      <w:bookmarkStart w:id="11" w:name="_Toc318967830"/>
      <w:bookmarkStart w:id="12" w:name="_Toc28142597"/>
      <w:bookmarkStart w:id="13" w:name="_Toc26163628"/>
      <w:bookmarkStart w:id="14" w:name="_Toc28489529"/>
      <w:bookmarkStart w:id="15" w:name="_Toc31424230"/>
    </w:p>
    <w:p w14:paraId="1E4C028E">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1"/>
      <w:bookmarkEnd w:id="12"/>
      <w:bookmarkEnd w:id="13"/>
      <w:bookmarkEnd w:id="14"/>
      <w:bookmarkEnd w:id="15"/>
      <w:r>
        <w:rPr>
          <w:rFonts w:hint="eastAsia" w:ascii="宋体" w:hAnsi="宋体" w:cs="宋体"/>
          <w:b/>
          <w:sz w:val="21"/>
          <w:szCs w:val="21"/>
          <w:highlight w:val="none"/>
        </w:rPr>
        <w:t>及程序</w:t>
      </w:r>
    </w:p>
    <w:p w14:paraId="3724C116">
      <w:pPr>
        <w:pStyle w:val="60"/>
        <w:widowControl w:val="0"/>
        <w:numPr>
          <w:ilvl w:val="0"/>
          <w:numId w:val="25"/>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eastAsia="宋体" w:cs="宋体"/>
          <w:sz w:val="21"/>
          <w:szCs w:val="21"/>
          <w:highlight w:val="none"/>
        </w:rPr>
        <w:t>评审小组对各</w:t>
      </w:r>
      <w:r>
        <w:rPr>
          <w:rFonts w:hint="eastAsia" w:ascii="宋体" w:hAnsi="宋体" w:eastAsia="宋体" w:cs="宋体"/>
          <w:sz w:val="21"/>
          <w:szCs w:val="21"/>
          <w:highlight w:val="none"/>
          <w:lang w:val="en-US" w:eastAsia="zh-CN"/>
        </w:rPr>
        <w:t>投标</w:t>
      </w:r>
      <w:r>
        <w:rPr>
          <w:rFonts w:hint="eastAsia" w:ascii="宋体" w:hAnsi="宋体" w:eastAsia="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《资格性</w:t>
      </w:r>
      <w:r>
        <w:rPr>
          <w:rFonts w:hint="eastAsia" w:ascii="宋体" w:hAnsi="宋体" w:eastAsia="宋体" w:cs="宋体"/>
          <w:b w:val="0"/>
          <w:bCs w:val="0"/>
          <w:sz w:val="21"/>
          <w:szCs w:val="21"/>
          <w:highlight w:val="none"/>
          <w:lang w:val="en-US" w:eastAsia="zh-CN"/>
        </w:rPr>
        <w:t>及有效性</w:t>
      </w:r>
      <w:r>
        <w:rPr>
          <w:rFonts w:hint="eastAsia" w:ascii="宋体" w:hAnsi="宋体" w:eastAsia="宋体" w:cs="宋体"/>
          <w:b w:val="0"/>
          <w:bCs w:val="0"/>
          <w:sz w:val="21"/>
          <w:szCs w:val="21"/>
          <w:highlight w:val="none"/>
        </w:rPr>
        <w:t>性审查表》如下：</w:t>
      </w:r>
    </w:p>
    <w:p w14:paraId="1DA5560B">
      <w:pPr>
        <w:rPr>
          <w:rFonts w:hint="eastAsia" w:ascii="宋体" w:hAnsi="宋体" w:cs="宋体"/>
          <w:color w:val="000000"/>
          <w:sz w:val="21"/>
          <w:szCs w:val="21"/>
        </w:rPr>
      </w:pPr>
    </w:p>
    <w:p w14:paraId="7AF471FA">
      <w:pPr>
        <w:ind w:firstLine="2741" w:firstLineChars="1300"/>
        <w:rPr>
          <w:rFonts w:ascii="宋体" w:hAnsi="宋体" w:cs="宋体"/>
          <w:b/>
          <w:bCs/>
          <w:sz w:val="21"/>
          <w:szCs w:val="21"/>
        </w:rPr>
      </w:pPr>
      <w:r>
        <w:rPr>
          <w:rFonts w:hint="eastAsia" w:ascii="宋体" w:hAnsi="宋体" w:cs="宋体"/>
          <w:b/>
          <w:bCs/>
          <w:sz w:val="21"/>
          <w:szCs w:val="21"/>
        </w:rPr>
        <w:t>投标人资格性及有效性审查表</w:t>
      </w:r>
    </w:p>
    <w:p w14:paraId="6119470A">
      <w:pPr>
        <w:ind w:firstLine="1687" w:firstLineChars="800"/>
        <w:rPr>
          <w:rFonts w:ascii="宋体" w:hAnsi="宋体" w:cs="宋体"/>
          <w:b/>
          <w:bCs/>
          <w:sz w:val="21"/>
          <w:szCs w:val="21"/>
        </w:rPr>
      </w:pPr>
    </w:p>
    <w:p w14:paraId="66C8CA84">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sz w:val="24"/>
          <w:lang w:eastAsia="zh-CN"/>
        </w:rPr>
        <w:t>保盈项目中央空调系统水质处理年度服务</w:t>
      </w:r>
    </w:p>
    <w:tbl>
      <w:tblPr>
        <w:tblStyle w:val="22"/>
        <w:tblW w:w="79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080"/>
        <w:gridCol w:w="5025"/>
        <w:gridCol w:w="1080"/>
      </w:tblGrid>
      <w:tr w14:paraId="533C3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8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E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4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F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17BD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E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FC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29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7A86">
            <w:pPr>
              <w:jc w:val="left"/>
              <w:rPr>
                <w:rFonts w:hint="eastAsia" w:ascii="宋体" w:hAnsi="宋体" w:eastAsia="宋体" w:cs="宋体"/>
                <w:i w:val="0"/>
                <w:iCs w:val="0"/>
                <w:color w:val="000000"/>
                <w:sz w:val="20"/>
                <w:szCs w:val="20"/>
                <w:u w:val="none"/>
              </w:rPr>
            </w:pPr>
          </w:p>
        </w:tc>
      </w:tr>
      <w:tr w14:paraId="0D6F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7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44BAD">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35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95E0">
            <w:pPr>
              <w:jc w:val="left"/>
              <w:rPr>
                <w:rFonts w:hint="eastAsia" w:ascii="宋体" w:hAnsi="宋体" w:eastAsia="宋体" w:cs="宋体"/>
                <w:i w:val="0"/>
                <w:iCs w:val="0"/>
                <w:color w:val="000000"/>
                <w:sz w:val="20"/>
                <w:szCs w:val="20"/>
                <w:u w:val="none"/>
              </w:rPr>
            </w:pPr>
          </w:p>
        </w:tc>
      </w:tr>
      <w:tr w14:paraId="20288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2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2C3FE">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22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D51A">
            <w:pPr>
              <w:jc w:val="left"/>
              <w:rPr>
                <w:rFonts w:hint="eastAsia" w:ascii="宋体" w:hAnsi="宋体" w:eastAsia="宋体" w:cs="宋体"/>
                <w:i w:val="0"/>
                <w:iCs w:val="0"/>
                <w:color w:val="000000"/>
                <w:sz w:val="20"/>
                <w:szCs w:val="20"/>
                <w:u w:val="none"/>
              </w:rPr>
            </w:pPr>
          </w:p>
        </w:tc>
      </w:tr>
      <w:tr w14:paraId="293B3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2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65E5F">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1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color w:val="000000"/>
                <w:kern w:val="0"/>
                <w:sz w:val="20"/>
                <w:szCs w:val="20"/>
                <w:u w:val="none"/>
                <w:lang w:bidi="ar"/>
              </w:rPr>
              <w:t>投标人近3年内(20</w:t>
            </w:r>
            <w:r>
              <w:rPr>
                <w:rFonts w:hint="eastAsia" w:ascii="宋体" w:hAnsi="宋体" w:eastAsia="宋体" w:cs="宋体"/>
                <w:color w:val="000000"/>
                <w:kern w:val="0"/>
                <w:sz w:val="20"/>
                <w:szCs w:val="20"/>
                <w:u w:val="none"/>
                <w:lang w:val="en-US" w:eastAsia="zh-CN" w:bidi="ar"/>
              </w:rPr>
              <w:t>22</w:t>
            </w:r>
            <w:r>
              <w:rPr>
                <w:rFonts w:hint="eastAsia" w:ascii="宋体" w:hAnsi="宋体" w:eastAsia="宋体" w:cs="宋体"/>
                <w:color w:val="000000"/>
                <w:kern w:val="0"/>
                <w:sz w:val="20"/>
                <w:szCs w:val="20"/>
                <w:u w:val="none"/>
                <w:lang w:bidi="ar"/>
              </w:rPr>
              <w:t>年1月1日至今)完成过类似</w:t>
            </w:r>
            <w:r>
              <w:rPr>
                <w:rFonts w:hint="eastAsia" w:ascii="宋体" w:hAnsi="宋体" w:eastAsia="宋体" w:cs="宋体"/>
                <w:color w:val="000000"/>
                <w:kern w:val="0"/>
                <w:sz w:val="20"/>
                <w:szCs w:val="20"/>
                <w:u w:val="none"/>
                <w:lang w:val="en-US" w:eastAsia="zh-CN" w:bidi="ar"/>
              </w:rPr>
              <w:t>水处理服务</w:t>
            </w:r>
            <w:r>
              <w:rPr>
                <w:rFonts w:hint="eastAsia" w:ascii="宋体" w:hAnsi="宋体" w:eastAsia="宋体" w:cs="宋体"/>
                <w:color w:val="000000"/>
                <w:kern w:val="0"/>
                <w:sz w:val="20"/>
                <w:szCs w:val="20"/>
                <w:u w:val="none"/>
                <w:lang w:bidi="ar"/>
              </w:rPr>
              <w:t>项目业绩（需提供合同</w:t>
            </w:r>
            <w:r>
              <w:rPr>
                <w:rFonts w:hint="eastAsia" w:ascii="宋体" w:hAnsi="宋体" w:eastAsia="宋体" w:cs="宋体"/>
                <w:color w:val="000000"/>
                <w:kern w:val="0"/>
                <w:sz w:val="20"/>
                <w:szCs w:val="20"/>
                <w:u w:val="none"/>
                <w:lang w:val="en-US" w:eastAsia="zh-CN" w:bidi="ar"/>
              </w:rPr>
              <w:t>等</w:t>
            </w:r>
            <w:r>
              <w:rPr>
                <w:rFonts w:hint="eastAsia" w:ascii="宋体" w:hAnsi="宋体" w:eastAsia="宋体" w:cs="宋体"/>
                <w:color w:val="000000"/>
                <w:kern w:val="0"/>
                <w:sz w:val="20"/>
                <w:szCs w:val="20"/>
                <w:u w:val="none"/>
                <w:lang w:bidi="ar"/>
              </w:rPr>
              <w:t>相关证明材料复印件；</w:t>
            </w:r>
            <w:r>
              <w:rPr>
                <w:rFonts w:hint="eastAsia" w:ascii="宋体" w:hAnsi="宋体" w:eastAsia="宋体" w:cs="宋体"/>
                <w:color w:val="000000"/>
                <w:kern w:val="0"/>
                <w:sz w:val="20"/>
                <w:szCs w:val="20"/>
                <w:u w:val="none"/>
                <w:lang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3421">
            <w:pPr>
              <w:jc w:val="left"/>
              <w:rPr>
                <w:rFonts w:hint="eastAsia" w:ascii="宋体" w:hAnsi="宋体" w:eastAsia="宋体" w:cs="宋体"/>
                <w:i w:val="0"/>
                <w:iCs w:val="0"/>
                <w:color w:val="000000"/>
                <w:sz w:val="20"/>
                <w:szCs w:val="20"/>
                <w:u w:val="none"/>
              </w:rPr>
            </w:pPr>
          </w:p>
        </w:tc>
      </w:tr>
      <w:tr w14:paraId="06BB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A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78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73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0269">
            <w:pPr>
              <w:jc w:val="left"/>
              <w:rPr>
                <w:rFonts w:hint="eastAsia" w:ascii="宋体" w:hAnsi="宋体" w:eastAsia="宋体" w:cs="宋体"/>
                <w:i w:val="0"/>
                <w:iCs w:val="0"/>
                <w:color w:val="000000"/>
                <w:sz w:val="20"/>
                <w:szCs w:val="20"/>
                <w:u w:val="none"/>
              </w:rPr>
            </w:pPr>
          </w:p>
        </w:tc>
      </w:tr>
      <w:tr w14:paraId="4359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2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DE9D2">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6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9310">
            <w:pPr>
              <w:jc w:val="left"/>
              <w:rPr>
                <w:rFonts w:hint="eastAsia" w:ascii="宋体" w:hAnsi="宋体" w:eastAsia="宋体" w:cs="宋体"/>
                <w:i w:val="0"/>
                <w:iCs w:val="0"/>
                <w:color w:val="000000"/>
                <w:sz w:val="20"/>
                <w:szCs w:val="20"/>
                <w:u w:val="none"/>
              </w:rPr>
            </w:pPr>
          </w:p>
        </w:tc>
      </w:tr>
      <w:tr w14:paraId="6D2D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F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2814B">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D5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E068">
            <w:pPr>
              <w:jc w:val="left"/>
              <w:rPr>
                <w:rFonts w:hint="eastAsia" w:ascii="宋体" w:hAnsi="宋体" w:eastAsia="宋体" w:cs="宋体"/>
                <w:i w:val="0"/>
                <w:iCs w:val="0"/>
                <w:color w:val="000000"/>
                <w:sz w:val="20"/>
                <w:szCs w:val="20"/>
                <w:u w:val="none"/>
              </w:rPr>
            </w:pPr>
          </w:p>
        </w:tc>
      </w:tr>
      <w:tr w14:paraId="3E09D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6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3A40F">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12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1874">
            <w:pPr>
              <w:jc w:val="left"/>
              <w:rPr>
                <w:rFonts w:hint="eastAsia" w:ascii="宋体" w:hAnsi="宋体" w:eastAsia="宋体" w:cs="宋体"/>
                <w:i w:val="0"/>
                <w:iCs w:val="0"/>
                <w:color w:val="000000"/>
                <w:sz w:val="20"/>
                <w:szCs w:val="20"/>
                <w:u w:val="none"/>
              </w:rPr>
            </w:pPr>
          </w:p>
        </w:tc>
      </w:tr>
      <w:tr w14:paraId="58D89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6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783DC">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B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652C">
            <w:pPr>
              <w:jc w:val="left"/>
              <w:rPr>
                <w:rFonts w:hint="eastAsia" w:ascii="宋体" w:hAnsi="宋体" w:eastAsia="宋体" w:cs="宋体"/>
                <w:i w:val="0"/>
                <w:iCs w:val="0"/>
                <w:color w:val="000000"/>
                <w:sz w:val="20"/>
                <w:szCs w:val="20"/>
                <w:u w:val="none"/>
              </w:rPr>
            </w:pPr>
          </w:p>
        </w:tc>
      </w:tr>
      <w:tr w14:paraId="38256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B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18E0E">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49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ECD5">
            <w:pPr>
              <w:jc w:val="left"/>
              <w:rPr>
                <w:rFonts w:hint="eastAsia" w:ascii="宋体" w:hAnsi="宋体" w:eastAsia="宋体" w:cs="宋体"/>
                <w:i w:val="0"/>
                <w:iCs w:val="0"/>
                <w:color w:val="000000"/>
                <w:sz w:val="20"/>
                <w:szCs w:val="20"/>
                <w:u w:val="none"/>
              </w:rPr>
            </w:pPr>
          </w:p>
        </w:tc>
      </w:tr>
      <w:tr w14:paraId="6374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4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9E040">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FE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F1D9">
            <w:pPr>
              <w:jc w:val="left"/>
              <w:rPr>
                <w:rFonts w:hint="eastAsia" w:ascii="宋体" w:hAnsi="宋体" w:eastAsia="宋体" w:cs="宋体"/>
                <w:i w:val="0"/>
                <w:iCs w:val="0"/>
                <w:color w:val="000000"/>
                <w:sz w:val="20"/>
                <w:szCs w:val="20"/>
                <w:u w:val="none"/>
              </w:rPr>
            </w:pPr>
          </w:p>
        </w:tc>
      </w:tr>
      <w:tr w14:paraId="16449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266C">
            <w:pPr>
              <w:jc w:val="lef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71B6">
            <w:pPr>
              <w:jc w:val="left"/>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10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103A">
            <w:pPr>
              <w:jc w:val="left"/>
              <w:rPr>
                <w:rFonts w:hint="eastAsia" w:ascii="宋体" w:hAnsi="宋体" w:eastAsia="宋体" w:cs="宋体"/>
                <w:i w:val="0"/>
                <w:iCs w:val="0"/>
                <w:color w:val="000000"/>
                <w:sz w:val="22"/>
                <w:szCs w:val="22"/>
                <w:u w:val="none"/>
              </w:rPr>
            </w:pPr>
          </w:p>
        </w:tc>
      </w:tr>
    </w:tbl>
    <w:p w14:paraId="7DCA9157">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14:paraId="1A3B1319">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6A462731">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44C2BA85">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50C03238">
      <w:pPr>
        <w:numPr>
          <w:ilvl w:val="0"/>
          <w:numId w:val="2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4C56C210">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782FBDC">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14:paraId="06B88755">
      <w:pPr>
        <w:spacing w:line="400" w:lineRule="exact"/>
        <w:rPr>
          <w:rFonts w:hint="eastAsia" w:ascii="宋体" w:hAnsi="宋体" w:cs="宋体"/>
          <w:szCs w:val="21"/>
        </w:rPr>
      </w:pPr>
    </w:p>
    <w:p w14:paraId="4BC33B37">
      <w:pPr>
        <w:spacing w:before="120" w:beforeLines="50" w:after="120" w:afterLines="50" w:line="360" w:lineRule="auto"/>
        <w:ind w:firstLine="420" w:firstLineChars="200"/>
        <w:rPr>
          <w:rFonts w:hint="eastAsia" w:ascii="宋体" w:hAnsi="宋体" w:cs="宋体"/>
          <w:sz w:val="21"/>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ascii="宋体" w:hAnsi="宋体"/>
          <w:color w:val="auto"/>
          <w:sz w:val="21"/>
          <w:szCs w:val="21"/>
        </w:rPr>
      </w:pPr>
      <w:r>
        <w:rPr>
          <w:rFonts w:hint="eastAsia" w:ascii="宋体" w:hAnsi="宋体"/>
          <w:color w:val="auto"/>
          <w:sz w:val="21"/>
          <w:szCs w:val="21"/>
        </w:rPr>
        <w:t>本项目采用</w:t>
      </w:r>
      <w:r>
        <w:rPr>
          <w:rFonts w:hint="eastAsia" w:ascii="宋体" w:hAnsi="宋体"/>
          <w:color w:val="auto"/>
          <w:sz w:val="21"/>
          <w:szCs w:val="21"/>
          <w:lang w:val="en-US" w:eastAsia="zh-CN"/>
        </w:rPr>
        <w:t>最低价</w:t>
      </w:r>
      <w:r>
        <w:rPr>
          <w:rFonts w:hint="eastAsia" w:ascii="宋体" w:hAnsi="宋体"/>
          <w:color w:val="auto"/>
          <w:sz w:val="21"/>
          <w:szCs w:val="21"/>
        </w:rPr>
        <w:t>评</w:t>
      </w:r>
      <w:r>
        <w:rPr>
          <w:rFonts w:hint="eastAsia" w:ascii="宋体" w:hAnsi="宋体"/>
          <w:color w:val="auto"/>
          <w:sz w:val="21"/>
          <w:szCs w:val="21"/>
          <w:lang w:val="en-US" w:eastAsia="zh-CN"/>
        </w:rPr>
        <w:t>分</w:t>
      </w:r>
      <w:r>
        <w:rPr>
          <w:rFonts w:hint="eastAsia" w:ascii="宋体" w:hAnsi="宋体"/>
          <w:color w:val="auto"/>
          <w:sz w:val="21"/>
          <w:szCs w:val="21"/>
        </w:rPr>
        <w:t>法</w:t>
      </w:r>
      <w:r>
        <w:rPr>
          <w:rFonts w:hint="eastAsia" w:ascii="宋体" w:hAnsi="宋体"/>
          <w:color w:val="auto"/>
          <w:sz w:val="21"/>
          <w:szCs w:val="21"/>
          <w:lang w:eastAsia="zh-CN"/>
        </w:rPr>
        <w:t>，</w:t>
      </w:r>
      <w:r>
        <w:rPr>
          <w:rFonts w:hint="eastAsia" w:ascii="宋体" w:hAnsi="宋体"/>
          <w:color w:val="auto"/>
          <w:sz w:val="21"/>
          <w:szCs w:val="21"/>
        </w:rPr>
        <w:t>投标人</w:t>
      </w:r>
      <w:r>
        <w:rPr>
          <w:rFonts w:hint="eastAsia" w:ascii="宋体" w:hAnsi="宋体"/>
          <w:color w:val="auto"/>
          <w:sz w:val="21"/>
          <w:szCs w:val="21"/>
          <w:lang w:val="en-US" w:eastAsia="zh-CN"/>
        </w:rPr>
        <w:t>通过</w:t>
      </w:r>
      <w:r>
        <w:rPr>
          <w:rFonts w:hint="eastAsia" w:ascii="宋体" w:hAnsi="宋体"/>
          <w:color w:val="auto"/>
          <w:sz w:val="21"/>
          <w:szCs w:val="21"/>
        </w:rPr>
        <w:t>资格及有效性审查后，各投标人按</w:t>
      </w:r>
      <w:r>
        <w:rPr>
          <w:rFonts w:hint="eastAsia" w:ascii="宋体" w:hAnsi="宋体"/>
          <w:color w:val="auto"/>
          <w:sz w:val="21"/>
          <w:szCs w:val="21"/>
          <w:lang w:val="en-US" w:eastAsia="zh-CN"/>
        </w:rPr>
        <w:t>价格</w:t>
      </w:r>
      <w:r>
        <w:rPr>
          <w:rFonts w:hint="eastAsia" w:ascii="宋体" w:hAnsi="宋体"/>
          <w:color w:val="auto"/>
          <w:sz w:val="21"/>
          <w:szCs w:val="21"/>
        </w:rPr>
        <w:t>由</w:t>
      </w:r>
      <w:r>
        <w:rPr>
          <w:rFonts w:hint="eastAsia" w:ascii="宋体" w:hAnsi="宋体"/>
          <w:color w:val="auto"/>
          <w:sz w:val="21"/>
          <w:szCs w:val="21"/>
          <w:lang w:val="en-US" w:eastAsia="zh-CN"/>
        </w:rPr>
        <w:t>低</w:t>
      </w:r>
      <w:r>
        <w:rPr>
          <w:rFonts w:hint="eastAsia" w:ascii="宋体" w:hAnsi="宋体"/>
          <w:color w:val="auto"/>
          <w:sz w:val="21"/>
          <w:szCs w:val="21"/>
        </w:rPr>
        <w:t>至</w:t>
      </w:r>
      <w:r>
        <w:rPr>
          <w:rFonts w:hint="eastAsia" w:ascii="宋体" w:hAnsi="宋体"/>
          <w:color w:val="auto"/>
          <w:sz w:val="21"/>
          <w:szCs w:val="21"/>
          <w:lang w:val="en-US" w:eastAsia="zh-CN"/>
        </w:rPr>
        <w:t>高</w:t>
      </w:r>
      <w:r>
        <w:rPr>
          <w:rFonts w:hint="eastAsia" w:ascii="宋体" w:hAnsi="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cs="宋体"/>
          <w:sz w:val="21"/>
          <w:szCs w:val="21"/>
        </w:rPr>
        <w:sectPr>
          <w:pgSz w:w="11906" w:h="16838"/>
          <w:pgMar w:top="1418" w:right="1448" w:bottom="1418" w:left="1418" w:header="851" w:footer="992" w:gutter="0"/>
          <w:cols w:space="720" w:num="1"/>
          <w:docGrid w:linePitch="312" w:charSpace="0"/>
        </w:sectPr>
      </w:pPr>
    </w:p>
    <w:p w14:paraId="747C1D0F">
      <w:pPr>
        <w:pStyle w:val="11"/>
        <w:ind w:firstLine="0" w:firstLineChars="0"/>
        <w:jc w:val="center"/>
        <w:rPr>
          <w:rFonts w:hint="eastAsia" w:ascii="宋体" w:hAnsi="宋体" w:eastAsia="宋体" w:cs="宋体"/>
          <w:b w:val="0"/>
          <w:bCs w:val="0"/>
          <w:color w:val="auto"/>
          <w:sz w:val="36"/>
          <w:szCs w:val="36"/>
          <w:highlight w:val="none"/>
        </w:rPr>
      </w:pPr>
      <w:r>
        <w:rPr>
          <w:rFonts w:hint="eastAsia" w:ascii="宋体" w:hAnsi="宋体"/>
          <w:sz w:val="24"/>
          <w:lang w:val="en-US" w:eastAsia="zh-CN"/>
        </w:rPr>
        <w:t xml:space="preserve">附件3       </w:t>
      </w:r>
      <w:r>
        <w:rPr>
          <w:rFonts w:hint="eastAsia" w:ascii="宋体" w:hAnsi="宋体" w:eastAsia="宋体" w:cs="宋体"/>
          <w:b w:val="0"/>
          <w:bCs w:val="0"/>
          <w:color w:val="auto"/>
          <w:sz w:val="36"/>
          <w:szCs w:val="36"/>
          <w:highlight w:val="none"/>
        </w:rPr>
        <w:t>保盈</w:t>
      </w:r>
      <w:r>
        <w:rPr>
          <w:rFonts w:hint="eastAsia" w:ascii="宋体" w:hAnsi="宋体" w:eastAsia="宋体" w:cs="宋体"/>
          <w:b w:val="0"/>
          <w:bCs w:val="0"/>
          <w:color w:val="auto"/>
          <w:sz w:val="36"/>
          <w:szCs w:val="36"/>
          <w:highlight w:val="none"/>
          <w:lang w:val="en-US" w:eastAsia="zh-CN"/>
        </w:rPr>
        <w:t>项目中央空调系统</w:t>
      </w:r>
      <w:r>
        <w:rPr>
          <w:rFonts w:hint="eastAsia" w:ascii="宋体" w:hAnsi="宋体" w:eastAsia="宋体" w:cs="宋体"/>
          <w:b w:val="0"/>
          <w:bCs w:val="0"/>
          <w:color w:val="auto"/>
          <w:sz w:val="36"/>
          <w:szCs w:val="36"/>
          <w:highlight w:val="none"/>
        </w:rPr>
        <w:t>水质处理</w:t>
      </w:r>
    </w:p>
    <w:p w14:paraId="4034A37A">
      <w:pPr>
        <w:pStyle w:val="11"/>
        <w:ind w:firstLine="0" w:firstLineChars="0"/>
        <w:jc w:val="center"/>
        <w:rPr>
          <w:rFonts w:hint="eastAsia" w:ascii="宋体" w:hAnsi="宋体" w:eastAsia="宋体" w:cs="宋体"/>
          <w:b w:val="0"/>
          <w:bCs w:val="0"/>
          <w:color w:val="auto"/>
          <w:sz w:val="36"/>
          <w:szCs w:val="36"/>
          <w:highlight w:val="none"/>
        </w:rPr>
      </w:pPr>
      <w:r>
        <w:rPr>
          <w:rFonts w:hint="eastAsia" w:ascii="宋体" w:hAnsi="宋体" w:eastAsia="宋体" w:cs="宋体"/>
          <w:b w:val="0"/>
          <w:bCs w:val="0"/>
          <w:color w:val="auto"/>
          <w:sz w:val="36"/>
          <w:szCs w:val="36"/>
          <w:highlight w:val="none"/>
          <w:lang w:val="en-US" w:eastAsia="zh-CN"/>
        </w:rPr>
        <w:t>年度</w:t>
      </w:r>
      <w:r>
        <w:rPr>
          <w:rFonts w:hint="eastAsia" w:ascii="宋体" w:hAnsi="宋体" w:eastAsia="宋体" w:cs="宋体"/>
          <w:b w:val="0"/>
          <w:bCs w:val="0"/>
          <w:color w:val="auto"/>
          <w:sz w:val="36"/>
          <w:szCs w:val="36"/>
          <w:highlight w:val="none"/>
        </w:rPr>
        <w:t>服务需求书</w:t>
      </w:r>
    </w:p>
    <w:p w14:paraId="0A410984">
      <w:pPr>
        <w:pStyle w:val="11"/>
        <w:numPr>
          <w:ilvl w:val="0"/>
          <w:numId w:val="27"/>
        </w:num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项目名称</w:t>
      </w:r>
    </w:p>
    <w:p w14:paraId="2172C0B6">
      <w:pPr>
        <w:pStyle w:val="11"/>
        <w:spacing w:line="240" w:lineRule="auto"/>
        <w:ind w:firstLine="56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保盈项目中央空调系统水质处理年度服务</w:t>
      </w:r>
    </w:p>
    <w:p w14:paraId="60FE179A">
      <w:pPr>
        <w:pStyle w:val="11"/>
        <w:numPr>
          <w:ilvl w:val="0"/>
          <w:numId w:val="27"/>
        </w:num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项目地点</w:t>
      </w:r>
    </w:p>
    <w:p w14:paraId="496229EF">
      <w:pPr>
        <w:pStyle w:val="11"/>
        <w:spacing w:line="240" w:lineRule="auto"/>
        <w:ind w:firstLine="56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广州黄埔保税区保盈商业广场</w:t>
      </w:r>
    </w:p>
    <w:p w14:paraId="099CEE2F">
      <w:pPr>
        <w:pStyle w:val="11"/>
        <w:numPr>
          <w:ilvl w:val="0"/>
          <w:numId w:val="27"/>
        </w:num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项目概况</w:t>
      </w:r>
    </w:p>
    <w:p w14:paraId="3A9ED4B5">
      <w:pPr>
        <w:pStyle w:val="11"/>
        <w:numPr>
          <w:ilvl w:val="0"/>
          <w:numId w:val="2"/>
        </w:numPr>
        <w:spacing w:line="240" w:lineRule="auto"/>
        <w:ind w:firstLine="56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冷却水系统：</w:t>
      </w:r>
    </w:p>
    <w:p w14:paraId="6B1D6D0C">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0" w:firstLineChars="20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冷却水系统分为A栋冷却水系统和B东冷却水两个独立系统，均采用开式循环。</w:t>
      </w:r>
    </w:p>
    <w:tbl>
      <w:tblPr>
        <w:tblStyle w:val="23"/>
        <w:tblW w:w="89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890"/>
        <w:gridCol w:w="945"/>
        <w:gridCol w:w="870"/>
        <w:gridCol w:w="1005"/>
        <w:gridCol w:w="1725"/>
        <w:gridCol w:w="1020"/>
        <w:gridCol w:w="1530"/>
      </w:tblGrid>
      <w:tr w14:paraId="1149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Align w:val="center"/>
          </w:tcPr>
          <w:p w14:paraId="12CB8069">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系统名称</w:t>
            </w:r>
          </w:p>
        </w:tc>
        <w:tc>
          <w:tcPr>
            <w:tcW w:w="890" w:type="dxa"/>
            <w:vAlign w:val="center"/>
          </w:tcPr>
          <w:p w14:paraId="1E6CFF7F">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系统主要材质</w:t>
            </w:r>
          </w:p>
        </w:tc>
        <w:tc>
          <w:tcPr>
            <w:tcW w:w="945" w:type="dxa"/>
            <w:vAlign w:val="center"/>
          </w:tcPr>
          <w:p w14:paraId="6416F94F">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保有水量（预估）</w:t>
            </w:r>
          </w:p>
        </w:tc>
        <w:tc>
          <w:tcPr>
            <w:tcW w:w="870" w:type="dxa"/>
            <w:vAlign w:val="center"/>
          </w:tcPr>
          <w:p w14:paraId="31267ADF">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冷却</w:t>
            </w:r>
            <w:r>
              <w:rPr>
                <w:rFonts w:hint="eastAsia" w:ascii="宋体" w:hAnsi="宋体" w:eastAsia="宋体" w:cs="宋体"/>
                <w:b w:val="0"/>
                <w:bCs w:val="0"/>
                <w:color w:val="auto"/>
                <w:sz w:val="21"/>
                <w:szCs w:val="21"/>
                <w:highlight w:val="none"/>
              </w:rPr>
              <w:t>水泵台数</w:t>
            </w:r>
          </w:p>
        </w:tc>
        <w:tc>
          <w:tcPr>
            <w:tcW w:w="1005" w:type="dxa"/>
            <w:vAlign w:val="center"/>
          </w:tcPr>
          <w:p w14:paraId="0A9892D9">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单台水泵循环量</w:t>
            </w:r>
          </w:p>
        </w:tc>
        <w:tc>
          <w:tcPr>
            <w:tcW w:w="1725" w:type="dxa"/>
            <w:vAlign w:val="center"/>
          </w:tcPr>
          <w:p w14:paraId="30916D8E">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制冷主机</w:t>
            </w:r>
          </w:p>
        </w:tc>
        <w:tc>
          <w:tcPr>
            <w:tcW w:w="1020" w:type="dxa"/>
            <w:vAlign w:val="center"/>
          </w:tcPr>
          <w:p w14:paraId="0D410D91">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冷却塔品牌型号</w:t>
            </w:r>
          </w:p>
        </w:tc>
        <w:tc>
          <w:tcPr>
            <w:tcW w:w="1530" w:type="dxa"/>
            <w:vAlign w:val="center"/>
          </w:tcPr>
          <w:p w14:paraId="751D1E15">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加药装置</w:t>
            </w:r>
          </w:p>
        </w:tc>
      </w:tr>
      <w:tr w14:paraId="6FED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Merge w:val="restart"/>
            <w:vAlign w:val="center"/>
          </w:tcPr>
          <w:p w14:paraId="38F2CF02">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A栋冷却水系统</w:t>
            </w:r>
          </w:p>
        </w:tc>
        <w:tc>
          <w:tcPr>
            <w:tcW w:w="890" w:type="dxa"/>
            <w:vAlign w:val="center"/>
          </w:tcPr>
          <w:p w14:paraId="5915574D">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碳钢、铜</w:t>
            </w:r>
          </w:p>
        </w:tc>
        <w:tc>
          <w:tcPr>
            <w:tcW w:w="945" w:type="dxa"/>
            <w:vAlign w:val="center"/>
          </w:tcPr>
          <w:p w14:paraId="55477013">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40m³</w:t>
            </w:r>
          </w:p>
        </w:tc>
        <w:tc>
          <w:tcPr>
            <w:tcW w:w="870" w:type="dxa"/>
            <w:vAlign w:val="center"/>
          </w:tcPr>
          <w:p w14:paraId="4D493736">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1005" w:type="dxa"/>
            <w:vAlign w:val="center"/>
          </w:tcPr>
          <w:p w14:paraId="5DA948B7">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180m³/h</w:t>
            </w:r>
          </w:p>
        </w:tc>
        <w:tc>
          <w:tcPr>
            <w:tcW w:w="1725" w:type="dxa"/>
            <w:vAlign w:val="center"/>
          </w:tcPr>
          <w:p w14:paraId="4037B2B3">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r>
              <w:rPr>
                <w:rFonts w:hint="eastAsia" w:ascii="宋体" w:hAnsi="宋体" w:eastAsia="宋体" w:cs="宋体"/>
                <w:b w:val="0"/>
                <w:bCs w:val="0"/>
                <w:color w:val="auto"/>
                <w:sz w:val="21"/>
                <w:szCs w:val="21"/>
                <w:highlight w:val="none"/>
              </w:rPr>
              <w:t>500</w:t>
            </w:r>
            <w:r>
              <w:rPr>
                <w:rFonts w:hint="eastAsia" w:ascii="宋体" w:hAnsi="宋体" w:eastAsia="宋体" w:cs="宋体"/>
                <w:b w:val="0"/>
                <w:bCs w:val="0"/>
                <w:color w:val="auto"/>
                <w:sz w:val="21"/>
                <w:szCs w:val="21"/>
                <w:highlight w:val="none"/>
                <w:lang w:val="en-US" w:eastAsia="zh-CN"/>
              </w:rPr>
              <w:t>冷吨，1台</w:t>
            </w:r>
            <w:r>
              <w:rPr>
                <w:rFonts w:hint="eastAsia" w:ascii="宋体" w:hAnsi="宋体" w:eastAsia="宋体" w:cs="宋体"/>
                <w:b w:val="0"/>
                <w:bCs w:val="0"/>
                <w:color w:val="auto"/>
                <w:sz w:val="21"/>
                <w:szCs w:val="21"/>
                <w:highlight w:val="none"/>
              </w:rPr>
              <w:t>200冷吨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配胶球在线清洗装置</w:t>
            </w:r>
          </w:p>
        </w:tc>
        <w:tc>
          <w:tcPr>
            <w:tcW w:w="1020" w:type="dxa"/>
            <w:vAlign w:val="center"/>
          </w:tcPr>
          <w:p w14:paraId="5CDA2E53">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斯频徳：KG-SDL301-D</w:t>
            </w:r>
          </w:p>
        </w:tc>
        <w:tc>
          <w:tcPr>
            <w:tcW w:w="1530" w:type="dxa"/>
            <w:vAlign w:val="center"/>
          </w:tcPr>
          <w:p w14:paraId="5DF95FC1">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1套双桶（100L/桶）自动加药装置</w:t>
            </w:r>
          </w:p>
        </w:tc>
      </w:tr>
      <w:tr w14:paraId="3723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Merge w:val="continue"/>
            <w:vAlign w:val="center"/>
          </w:tcPr>
          <w:p w14:paraId="1D453C57">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43CA34AE">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冷却塔数量</w:t>
            </w:r>
          </w:p>
        </w:tc>
        <w:tc>
          <w:tcPr>
            <w:tcW w:w="945" w:type="dxa"/>
            <w:vAlign w:val="center"/>
          </w:tcPr>
          <w:p w14:paraId="092B8A81">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单台</w:t>
            </w:r>
            <w:r>
              <w:rPr>
                <w:rFonts w:hint="eastAsia" w:ascii="宋体" w:hAnsi="宋体" w:eastAsia="宋体" w:cs="宋体"/>
                <w:b w:val="0"/>
                <w:bCs w:val="0"/>
                <w:color w:val="auto"/>
                <w:sz w:val="21"/>
                <w:szCs w:val="21"/>
                <w:highlight w:val="none"/>
              </w:rPr>
              <w:t>冷却塔流量</w:t>
            </w:r>
          </w:p>
        </w:tc>
        <w:tc>
          <w:tcPr>
            <w:tcW w:w="870" w:type="dxa"/>
            <w:vAlign w:val="center"/>
          </w:tcPr>
          <w:p w14:paraId="19423893">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冷却塔类型</w:t>
            </w:r>
          </w:p>
        </w:tc>
        <w:tc>
          <w:tcPr>
            <w:tcW w:w="1005" w:type="dxa"/>
            <w:vAlign w:val="center"/>
          </w:tcPr>
          <w:p w14:paraId="13BFA62D">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补水方式</w:t>
            </w:r>
          </w:p>
        </w:tc>
        <w:tc>
          <w:tcPr>
            <w:tcW w:w="1725" w:type="dxa"/>
            <w:vAlign w:val="center"/>
          </w:tcPr>
          <w:p w14:paraId="18C5AD54">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补水水质</w:t>
            </w:r>
          </w:p>
        </w:tc>
        <w:tc>
          <w:tcPr>
            <w:tcW w:w="1020" w:type="dxa"/>
            <w:vAlign w:val="center"/>
          </w:tcPr>
          <w:p w14:paraId="7805F8E6">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冷却塔安装位置</w:t>
            </w:r>
          </w:p>
        </w:tc>
        <w:tc>
          <w:tcPr>
            <w:tcW w:w="1530" w:type="dxa"/>
            <w:vAlign w:val="center"/>
          </w:tcPr>
          <w:p w14:paraId="473E73A7">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安装位置</w:t>
            </w:r>
          </w:p>
        </w:tc>
      </w:tr>
      <w:tr w14:paraId="3C434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986" w:type="dxa"/>
            <w:vMerge w:val="continue"/>
            <w:vAlign w:val="center"/>
          </w:tcPr>
          <w:p w14:paraId="377CCD92">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0B9F6DF7">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945" w:type="dxa"/>
            <w:vAlign w:val="center"/>
          </w:tcPr>
          <w:p w14:paraId="2C231F57">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165 m³/h</w:t>
            </w:r>
          </w:p>
        </w:tc>
        <w:tc>
          <w:tcPr>
            <w:tcW w:w="870" w:type="dxa"/>
            <w:vAlign w:val="center"/>
          </w:tcPr>
          <w:p w14:paraId="631DAA26">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玻璃钢</w:t>
            </w:r>
            <w:r>
              <w:rPr>
                <w:rFonts w:hint="eastAsia" w:ascii="宋体" w:hAnsi="宋体" w:eastAsia="宋体" w:cs="宋体"/>
                <w:b w:val="0"/>
                <w:bCs w:val="0"/>
                <w:color w:val="auto"/>
                <w:sz w:val="21"/>
                <w:szCs w:val="21"/>
                <w:highlight w:val="none"/>
              </w:rPr>
              <w:t>横流冷却塔</w:t>
            </w:r>
          </w:p>
        </w:tc>
        <w:tc>
          <w:tcPr>
            <w:tcW w:w="1005" w:type="dxa"/>
            <w:vAlign w:val="center"/>
          </w:tcPr>
          <w:p w14:paraId="0FFA24BA">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自动补水</w:t>
            </w:r>
          </w:p>
        </w:tc>
        <w:tc>
          <w:tcPr>
            <w:tcW w:w="1725" w:type="dxa"/>
            <w:vAlign w:val="center"/>
          </w:tcPr>
          <w:p w14:paraId="2113160D">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自来水</w:t>
            </w:r>
          </w:p>
        </w:tc>
        <w:tc>
          <w:tcPr>
            <w:tcW w:w="1020" w:type="dxa"/>
            <w:vAlign w:val="center"/>
          </w:tcPr>
          <w:p w14:paraId="7DB5D32C">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A栋12层天面</w:t>
            </w:r>
          </w:p>
        </w:tc>
        <w:tc>
          <w:tcPr>
            <w:tcW w:w="1530" w:type="dxa"/>
            <w:vAlign w:val="center"/>
          </w:tcPr>
          <w:p w14:paraId="0799178F">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主机、水泵、加药装置安装于负二机房</w:t>
            </w:r>
          </w:p>
        </w:tc>
      </w:tr>
      <w:tr w14:paraId="4538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Align w:val="center"/>
          </w:tcPr>
          <w:p w14:paraId="43CA3960">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系统名称</w:t>
            </w:r>
          </w:p>
        </w:tc>
        <w:tc>
          <w:tcPr>
            <w:tcW w:w="890" w:type="dxa"/>
            <w:vAlign w:val="center"/>
          </w:tcPr>
          <w:p w14:paraId="25F217EA">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系统主要材质</w:t>
            </w:r>
          </w:p>
        </w:tc>
        <w:tc>
          <w:tcPr>
            <w:tcW w:w="945" w:type="dxa"/>
            <w:vAlign w:val="center"/>
          </w:tcPr>
          <w:p w14:paraId="42CA2C61">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保有水量（预估）</w:t>
            </w:r>
          </w:p>
        </w:tc>
        <w:tc>
          <w:tcPr>
            <w:tcW w:w="870" w:type="dxa"/>
            <w:vAlign w:val="center"/>
          </w:tcPr>
          <w:p w14:paraId="1C3FE9CD">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冷却</w:t>
            </w:r>
            <w:r>
              <w:rPr>
                <w:rFonts w:hint="eastAsia" w:ascii="宋体" w:hAnsi="宋体" w:eastAsia="宋体" w:cs="宋体"/>
                <w:b w:val="0"/>
                <w:bCs w:val="0"/>
                <w:color w:val="auto"/>
                <w:sz w:val="21"/>
                <w:szCs w:val="21"/>
                <w:highlight w:val="none"/>
              </w:rPr>
              <w:t>水泵台数</w:t>
            </w:r>
          </w:p>
        </w:tc>
        <w:tc>
          <w:tcPr>
            <w:tcW w:w="1005" w:type="dxa"/>
            <w:vAlign w:val="center"/>
          </w:tcPr>
          <w:p w14:paraId="48EF94CF">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单台水泵循环量</w:t>
            </w:r>
          </w:p>
        </w:tc>
        <w:tc>
          <w:tcPr>
            <w:tcW w:w="1725" w:type="dxa"/>
            <w:vAlign w:val="center"/>
          </w:tcPr>
          <w:p w14:paraId="3CD1CDBC">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制冷主机</w:t>
            </w:r>
          </w:p>
        </w:tc>
        <w:tc>
          <w:tcPr>
            <w:tcW w:w="1020" w:type="dxa"/>
            <w:vAlign w:val="center"/>
          </w:tcPr>
          <w:p w14:paraId="18DBAF53">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冷却塔品牌型号</w:t>
            </w:r>
          </w:p>
        </w:tc>
        <w:tc>
          <w:tcPr>
            <w:tcW w:w="1530" w:type="dxa"/>
            <w:vAlign w:val="center"/>
          </w:tcPr>
          <w:p w14:paraId="4B11400B">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加药装置</w:t>
            </w:r>
          </w:p>
        </w:tc>
      </w:tr>
      <w:tr w14:paraId="6CC7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Merge w:val="restart"/>
            <w:vAlign w:val="center"/>
          </w:tcPr>
          <w:p w14:paraId="3EBEE18E">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B</w:t>
            </w:r>
            <w:r>
              <w:rPr>
                <w:rFonts w:hint="eastAsia" w:ascii="宋体" w:hAnsi="宋体" w:eastAsia="宋体" w:cs="宋体"/>
                <w:b w:val="0"/>
                <w:bCs w:val="0"/>
                <w:color w:val="auto"/>
                <w:sz w:val="21"/>
                <w:szCs w:val="21"/>
                <w:highlight w:val="none"/>
              </w:rPr>
              <w:t>栋冷却水系统</w:t>
            </w:r>
          </w:p>
        </w:tc>
        <w:tc>
          <w:tcPr>
            <w:tcW w:w="890" w:type="dxa"/>
            <w:vAlign w:val="center"/>
          </w:tcPr>
          <w:p w14:paraId="5502F195">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碳钢、铜</w:t>
            </w:r>
          </w:p>
        </w:tc>
        <w:tc>
          <w:tcPr>
            <w:tcW w:w="945" w:type="dxa"/>
            <w:vAlign w:val="center"/>
          </w:tcPr>
          <w:p w14:paraId="73F87031">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0m³</w:t>
            </w:r>
          </w:p>
        </w:tc>
        <w:tc>
          <w:tcPr>
            <w:tcW w:w="870" w:type="dxa"/>
            <w:vAlign w:val="center"/>
          </w:tcPr>
          <w:p w14:paraId="4EB73DD2">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1005" w:type="dxa"/>
            <w:vAlign w:val="center"/>
          </w:tcPr>
          <w:p w14:paraId="00B16126">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180m³/h</w:t>
            </w:r>
          </w:p>
        </w:tc>
        <w:tc>
          <w:tcPr>
            <w:tcW w:w="1725" w:type="dxa"/>
            <w:vAlign w:val="center"/>
          </w:tcPr>
          <w:p w14:paraId="26C2F6D1">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1台</w:t>
            </w:r>
            <w:r>
              <w:rPr>
                <w:rFonts w:hint="eastAsia" w:ascii="宋体" w:hAnsi="宋体" w:eastAsia="宋体" w:cs="宋体"/>
                <w:b w:val="0"/>
                <w:bCs w:val="0"/>
                <w:color w:val="auto"/>
                <w:sz w:val="21"/>
                <w:szCs w:val="21"/>
                <w:highlight w:val="none"/>
              </w:rPr>
              <w:t>500</w:t>
            </w:r>
            <w:r>
              <w:rPr>
                <w:rFonts w:hint="eastAsia" w:ascii="宋体" w:hAnsi="宋体" w:eastAsia="宋体" w:cs="宋体"/>
                <w:b w:val="0"/>
                <w:bCs w:val="0"/>
                <w:color w:val="auto"/>
                <w:sz w:val="21"/>
                <w:szCs w:val="21"/>
                <w:highlight w:val="none"/>
                <w:lang w:val="en-US" w:eastAsia="zh-CN"/>
              </w:rPr>
              <w:t>冷吨，1台</w:t>
            </w:r>
            <w:r>
              <w:rPr>
                <w:rFonts w:hint="eastAsia" w:ascii="宋体" w:hAnsi="宋体" w:eastAsia="宋体" w:cs="宋体"/>
                <w:b w:val="0"/>
                <w:bCs w:val="0"/>
                <w:color w:val="auto"/>
                <w:sz w:val="21"/>
                <w:szCs w:val="21"/>
                <w:highlight w:val="none"/>
              </w:rPr>
              <w:t>200冷吨</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配胶球在线清洗装置</w:t>
            </w:r>
          </w:p>
        </w:tc>
        <w:tc>
          <w:tcPr>
            <w:tcW w:w="1020" w:type="dxa"/>
            <w:vAlign w:val="center"/>
          </w:tcPr>
          <w:p w14:paraId="6B04084E">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斯频徳：KG-SDL301-D</w:t>
            </w:r>
          </w:p>
        </w:tc>
        <w:tc>
          <w:tcPr>
            <w:tcW w:w="1530" w:type="dxa"/>
            <w:vAlign w:val="center"/>
          </w:tcPr>
          <w:p w14:paraId="519ACF5E">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1套双桶（100L/桶）自动加药装置</w:t>
            </w:r>
          </w:p>
        </w:tc>
      </w:tr>
      <w:tr w14:paraId="6B25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Merge w:val="continue"/>
            <w:vAlign w:val="center"/>
          </w:tcPr>
          <w:p w14:paraId="610502C5">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1CFE14A9">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冷却塔数量</w:t>
            </w:r>
          </w:p>
        </w:tc>
        <w:tc>
          <w:tcPr>
            <w:tcW w:w="945" w:type="dxa"/>
            <w:vAlign w:val="center"/>
          </w:tcPr>
          <w:p w14:paraId="04675F86">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单台</w:t>
            </w:r>
            <w:r>
              <w:rPr>
                <w:rFonts w:hint="eastAsia" w:ascii="宋体" w:hAnsi="宋体" w:eastAsia="宋体" w:cs="宋体"/>
                <w:b w:val="0"/>
                <w:bCs w:val="0"/>
                <w:color w:val="auto"/>
                <w:sz w:val="21"/>
                <w:szCs w:val="21"/>
                <w:highlight w:val="none"/>
              </w:rPr>
              <w:t>冷却塔流量</w:t>
            </w:r>
          </w:p>
        </w:tc>
        <w:tc>
          <w:tcPr>
            <w:tcW w:w="870" w:type="dxa"/>
            <w:vAlign w:val="center"/>
          </w:tcPr>
          <w:p w14:paraId="0C6489CE">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冷却塔类型</w:t>
            </w:r>
          </w:p>
        </w:tc>
        <w:tc>
          <w:tcPr>
            <w:tcW w:w="1005" w:type="dxa"/>
            <w:vAlign w:val="center"/>
          </w:tcPr>
          <w:p w14:paraId="330766E3">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补水方式</w:t>
            </w:r>
          </w:p>
        </w:tc>
        <w:tc>
          <w:tcPr>
            <w:tcW w:w="1725" w:type="dxa"/>
            <w:vAlign w:val="center"/>
          </w:tcPr>
          <w:p w14:paraId="4CF31791">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补水水质</w:t>
            </w:r>
          </w:p>
        </w:tc>
        <w:tc>
          <w:tcPr>
            <w:tcW w:w="1020" w:type="dxa"/>
            <w:vAlign w:val="center"/>
          </w:tcPr>
          <w:p w14:paraId="7A51A048">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冷却塔安装位置</w:t>
            </w:r>
          </w:p>
        </w:tc>
        <w:tc>
          <w:tcPr>
            <w:tcW w:w="1530" w:type="dxa"/>
            <w:vAlign w:val="center"/>
          </w:tcPr>
          <w:p w14:paraId="2F12E251">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安装位置</w:t>
            </w:r>
          </w:p>
        </w:tc>
      </w:tr>
      <w:tr w14:paraId="574E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986" w:type="dxa"/>
            <w:vMerge w:val="continue"/>
            <w:vAlign w:val="center"/>
          </w:tcPr>
          <w:p w14:paraId="2762607D">
            <w:pPr>
              <w:pStyle w:val="11"/>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val="0"/>
                <w:bCs w:val="0"/>
                <w:color w:val="auto"/>
                <w:sz w:val="21"/>
                <w:szCs w:val="21"/>
                <w:highlight w:val="none"/>
              </w:rPr>
            </w:pPr>
          </w:p>
        </w:tc>
        <w:tc>
          <w:tcPr>
            <w:tcW w:w="890" w:type="dxa"/>
            <w:vAlign w:val="center"/>
          </w:tcPr>
          <w:p w14:paraId="0F54F42E">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p>
        </w:tc>
        <w:tc>
          <w:tcPr>
            <w:tcW w:w="945" w:type="dxa"/>
            <w:vAlign w:val="center"/>
          </w:tcPr>
          <w:p w14:paraId="27EA3DC5">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165 m³/h</w:t>
            </w:r>
          </w:p>
        </w:tc>
        <w:tc>
          <w:tcPr>
            <w:tcW w:w="870" w:type="dxa"/>
            <w:vAlign w:val="center"/>
          </w:tcPr>
          <w:p w14:paraId="1250D393">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玻璃钢</w:t>
            </w:r>
            <w:r>
              <w:rPr>
                <w:rFonts w:hint="eastAsia" w:ascii="宋体" w:hAnsi="宋体" w:eastAsia="宋体" w:cs="宋体"/>
                <w:b w:val="0"/>
                <w:bCs w:val="0"/>
                <w:color w:val="auto"/>
                <w:sz w:val="21"/>
                <w:szCs w:val="21"/>
                <w:highlight w:val="none"/>
              </w:rPr>
              <w:t>横流冷却塔</w:t>
            </w:r>
          </w:p>
        </w:tc>
        <w:tc>
          <w:tcPr>
            <w:tcW w:w="1005" w:type="dxa"/>
            <w:vAlign w:val="center"/>
          </w:tcPr>
          <w:p w14:paraId="44612FFA">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自动补水</w:t>
            </w:r>
          </w:p>
        </w:tc>
        <w:tc>
          <w:tcPr>
            <w:tcW w:w="1725" w:type="dxa"/>
            <w:vAlign w:val="center"/>
          </w:tcPr>
          <w:p w14:paraId="22DC4BDD">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浮球</w:t>
            </w:r>
            <w:r>
              <w:rPr>
                <w:rFonts w:hint="eastAsia" w:ascii="宋体" w:hAnsi="宋体" w:eastAsia="宋体" w:cs="宋体"/>
                <w:b w:val="0"/>
                <w:bCs w:val="0"/>
                <w:color w:val="auto"/>
                <w:sz w:val="21"/>
                <w:szCs w:val="21"/>
                <w:highlight w:val="none"/>
              </w:rPr>
              <w:t>自来水</w:t>
            </w:r>
          </w:p>
        </w:tc>
        <w:tc>
          <w:tcPr>
            <w:tcW w:w="1020" w:type="dxa"/>
            <w:vAlign w:val="center"/>
          </w:tcPr>
          <w:p w14:paraId="5DC85EED">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B栋19层天面</w:t>
            </w:r>
          </w:p>
        </w:tc>
        <w:tc>
          <w:tcPr>
            <w:tcW w:w="1530" w:type="dxa"/>
            <w:vAlign w:val="center"/>
          </w:tcPr>
          <w:p w14:paraId="33ACD04F">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主机、水泵、加药装置安装于负二机房</w:t>
            </w:r>
          </w:p>
        </w:tc>
      </w:tr>
    </w:tbl>
    <w:p w14:paraId="62D7EB2F">
      <w:pPr>
        <w:pStyle w:val="11"/>
        <w:numPr>
          <w:ilvl w:val="0"/>
          <w:numId w:val="2"/>
        </w:numPr>
        <w:spacing w:line="240" w:lineRule="auto"/>
        <w:ind w:firstLine="56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冷冻水系统采用一套闭式循环系统，主要供冷时间每年4-12月，主要供暖时间（仅酒店区域）每年12-3月，供暖时间冷冻水系统运行。</w:t>
      </w:r>
    </w:p>
    <w:tbl>
      <w:tblPr>
        <w:tblStyle w:val="23"/>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220"/>
        <w:gridCol w:w="1220"/>
        <w:gridCol w:w="1366"/>
        <w:gridCol w:w="1074"/>
        <w:gridCol w:w="1217"/>
        <w:gridCol w:w="1202"/>
      </w:tblGrid>
      <w:tr w14:paraId="44DF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restart"/>
            <w:vAlign w:val="center"/>
          </w:tcPr>
          <w:p w14:paraId="34789ADD">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冷冻水系统</w:t>
            </w:r>
          </w:p>
        </w:tc>
        <w:tc>
          <w:tcPr>
            <w:tcW w:w="1220" w:type="dxa"/>
            <w:vAlign w:val="center"/>
          </w:tcPr>
          <w:p w14:paraId="00B5096E">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循环方式</w:t>
            </w:r>
          </w:p>
        </w:tc>
        <w:tc>
          <w:tcPr>
            <w:tcW w:w="1220" w:type="dxa"/>
            <w:vAlign w:val="center"/>
          </w:tcPr>
          <w:p w14:paraId="21AB84C4">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运行方式</w:t>
            </w:r>
          </w:p>
        </w:tc>
        <w:tc>
          <w:tcPr>
            <w:tcW w:w="1366" w:type="dxa"/>
            <w:vAlign w:val="center"/>
          </w:tcPr>
          <w:p w14:paraId="20119BD1">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加药装置</w:t>
            </w:r>
          </w:p>
        </w:tc>
        <w:tc>
          <w:tcPr>
            <w:tcW w:w="1074" w:type="dxa"/>
            <w:vAlign w:val="center"/>
          </w:tcPr>
          <w:p w14:paraId="67085E6E">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运行方式</w:t>
            </w:r>
          </w:p>
        </w:tc>
        <w:tc>
          <w:tcPr>
            <w:tcW w:w="1217" w:type="dxa"/>
            <w:vAlign w:val="center"/>
          </w:tcPr>
          <w:p w14:paraId="62E3C335">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补水水源</w:t>
            </w:r>
          </w:p>
        </w:tc>
        <w:tc>
          <w:tcPr>
            <w:tcW w:w="1202" w:type="dxa"/>
            <w:vAlign w:val="center"/>
          </w:tcPr>
          <w:p w14:paraId="455827B1">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保有水量（预估）</w:t>
            </w:r>
          </w:p>
        </w:tc>
      </w:tr>
      <w:tr w14:paraId="3C64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0" w:type="dxa"/>
            <w:vMerge w:val="continue"/>
          </w:tcPr>
          <w:p w14:paraId="5890A809">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p>
        </w:tc>
        <w:tc>
          <w:tcPr>
            <w:tcW w:w="1220" w:type="dxa"/>
            <w:vAlign w:val="center"/>
          </w:tcPr>
          <w:p w14:paraId="77AAD0D4">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闭式循环</w:t>
            </w:r>
          </w:p>
        </w:tc>
        <w:tc>
          <w:tcPr>
            <w:tcW w:w="1220" w:type="dxa"/>
            <w:vAlign w:val="center"/>
          </w:tcPr>
          <w:p w14:paraId="4B38EE6D">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夏季供冷、冬季供暖</w:t>
            </w:r>
          </w:p>
        </w:tc>
        <w:tc>
          <w:tcPr>
            <w:tcW w:w="1366" w:type="dxa"/>
            <w:vAlign w:val="center"/>
          </w:tcPr>
          <w:p w14:paraId="4965874B">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2套单桶（200L/桶）自动加药装置</w:t>
            </w:r>
          </w:p>
        </w:tc>
        <w:tc>
          <w:tcPr>
            <w:tcW w:w="1074" w:type="dxa"/>
            <w:vAlign w:val="center"/>
          </w:tcPr>
          <w:p w14:paraId="130C73C5">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直供方式供冷</w:t>
            </w:r>
          </w:p>
        </w:tc>
        <w:tc>
          <w:tcPr>
            <w:tcW w:w="1217" w:type="dxa"/>
            <w:vAlign w:val="center"/>
          </w:tcPr>
          <w:p w14:paraId="16F4DD94">
            <w:pPr>
              <w:pStyle w:val="11"/>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自来水</w:t>
            </w:r>
          </w:p>
        </w:tc>
        <w:tc>
          <w:tcPr>
            <w:tcW w:w="1202" w:type="dxa"/>
            <w:vAlign w:val="center"/>
          </w:tcPr>
          <w:p w14:paraId="53A75B18">
            <w:pPr>
              <w:pStyle w:val="11"/>
              <w:keepNext w:val="0"/>
              <w:keepLines w:val="0"/>
              <w:suppressLineNumbers w:val="0"/>
              <w:spacing w:before="0" w:beforeAutospacing="0" w:after="0" w:afterAutospacing="0" w:line="240" w:lineRule="auto"/>
              <w:ind w:left="0" w:leftChars="0" w:right="0" w:rightChars="0" w:firstLine="0" w:firstLineChars="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80</w:t>
            </w:r>
          </w:p>
        </w:tc>
      </w:tr>
    </w:tbl>
    <w:p w14:paraId="2DD0BFFB">
      <w:pPr>
        <w:pStyle w:val="11"/>
        <w:numPr>
          <w:ilvl w:val="0"/>
          <w:numId w:val="27"/>
        </w:numPr>
        <w:spacing w:line="24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采购需求</w:t>
      </w:r>
    </w:p>
    <w:p w14:paraId="64C9A335">
      <w:pPr>
        <w:pStyle w:val="11"/>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供应商需为保盈项目中央空调系统的冷冻水系统、A冷却水系统、B冷却水系统提供全面的年度水质处理与维护服务，包括但不限于以下内容：</w:t>
      </w:r>
    </w:p>
    <w:p w14:paraId="150CDF13">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水质检测与分析：</w:t>
      </w:r>
    </w:p>
    <w:p w14:paraId="0EB1A045">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每月对冷冻水系统、A冷却水系统、B冷却水系统、补充水（自来水）进行现场采样。</w:t>
      </w:r>
    </w:p>
    <w:p w14:paraId="02CF909F">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对水样进行关键指标实验室分析，具体项目及频次详见表1。</w:t>
      </w:r>
    </w:p>
    <w:p w14:paraId="5491C7FC">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表</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1</w:t>
      </w:r>
      <w:r>
        <w:rPr>
          <w:rStyle w:val="25"/>
          <w:rFonts w:hint="eastAsia" w:ascii="宋体" w:hAnsi="宋体" w:eastAsia="宋体" w:cs="宋体"/>
          <w:b w:val="0"/>
          <w:bCs w:val="0"/>
          <w:i w:val="0"/>
          <w:caps w:val="0"/>
          <w:color w:val="auto"/>
          <w:spacing w:val="0"/>
          <w:sz w:val="21"/>
          <w:szCs w:val="21"/>
          <w:highlight w:val="none"/>
          <w:shd w:val="clear" w:fill="FFFFFF"/>
        </w:rPr>
        <w:t>：</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月度</w:t>
      </w:r>
      <w:r>
        <w:rPr>
          <w:rStyle w:val="25"/>
          <w:rFonts w:hint="eastAsia" w:ascii="宋体" w:hAnsi="宋体" w:eastAsia="宋体" w:cs="宋体"/>
          <w:b w:val="0"/>
          <w:bCs w:val="0"/>
          <w:i w:val="0"/>
          <w:caps w:val="0"/>
          <w:color w:val="auto"/>
          <w:spacing w:val="0"/>
          <w:sz w:val="21"/>
          <w:szCs w:val="21"/>
          <w:highlight w:val="none"/>
          <w:shd w:val="clear" w:fill="FFFFFF"/>
        </w:rPr>
        <w:t>水质测试项目</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指标</w:t>
      </w:r>
      <w:r>
        <w:rPr>
          <w:rStyle w:val="25"/>
          <w:rFonts w:hint="eastAsia" w:ascii="宋体" w:hAnsi="宋体" w:eastAsia="宋体" w:cs="宋体"/>
          <w:b w:val="0"/>
          <w:bCs w:val="0"/>
          <w:i w:val="0"/>
          <w:caps w:val="0"/>
          <w:color w:val="auto"/>
          <w:spacing w:val="0"/>
          <w:sz w:val="21"/>
          <w:szCs w:val="21"/>
          <w:highlight w:val="none"/>
          <w:shd w:val="clear" w:fill="FFFFFF"/>
        </w:rPr>
        <w:t>及频次要求</w:t>
      </w:r>
    </w:p>
    <w:tbl>
      <w:tblPr>
        <w:tblStyle w:val="23"/>
        <w:tblW w:w="6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674"/>
        <w:gridCol w:w="1961"/>
        <w:gridCol w:w="1405"/>
      </w:tblGrid>
      <w:tr w14:paraId="3980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2674" w:type="dxa"/>
            <w:shd w:val="clear" w:color="auto" w:fill="auto"/>
            <w:vAlign w:val="center"/>
          </w:tcPr>
          <w:p w14:paraId="2768764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冷却水分析项目</w:t>
            </w:r>
          </w:p>
        </w:tc>
        <w:tc>
          <w:tcPr>
            <w:tcW w:w="1961" w:type="dxa"/>
            <w:shd w:val="clear" w:color="auto" w:fill="auto"/>
            <w:vAlign w:val="center"/>
          </w:tcPr>
          <w:p w14:paraId="562E52D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1405" w:type="dxa"/>
            <w:shd w:val="clear" w:color="auto" w:fill="auto"/>
            <w:vAlign w:val="center"/>
          </w:tcPr>
          <w:p w14:paraId="14064EC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r>
      <w:tr w14:paraId="48F3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674" w:type="dxa"/>
            <w:shd w:val="clear" w:color="auto" w:fill="auto"/>
            <w:vAlign w:val="center"/>
          </w:tcPr>
          <w:p w14:paraId="5FF1AF5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pH值 (25℃)</w:t>
            </w:r>
          </w:p>
        </w:tc>
        <w:tc>
          <w:tcPr>
            <w:tcW w:w="1961" w:type="dxa"/>
            <w:shd w:val="clear" w:color="auto" w:fill="auto"/>
            <w:vAlign w:val="center"/>
          </w:tcPr>
          <w:p w14:paraId="1994859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7.5 - 9.5</w:t>
            </w:r>
          </w:p>
        </w:tc>
        <w:tc>
          <w:tcPr>
            <w:tcW w:w="1405" w:type="dxa"/>
            <w:shd w:val="clear" w:color="auto" w:fill="auto"/>
            <w:vAlign w:val="center"/>
          </w:tcPr>
          <w:p w14:paraId="4E9D326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3943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674" w:type="dxa"/>
            <w:shd w:val="clear" w:color="auto" w:fill="auto"/>
            <w:vAlign w:val="center"/>
          </w:tcPr>
          <w:p w14:paraId="5F4917B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浊度</w:t>
            </w:r>
          </w:p>
        </w:tc>
        <w:tc>
          <w:tcPr>
            <w:tcW w:w="1961" w:type="dxa"/>
            <w:shd w:val="clear" w:color="auto" w:fill="auto"/>
            <w:vAlign w:val="center"/>
          </w:tcPr>
          <w:p w14:paraId="6668218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20 NTU</w:t>
            </w:r>
          </w:p>
        </w:tc>
        <w:tc>
          <w:tcPr>
            <w:tcW w:w="1405" w:type="dxa"/>
            <w:shd w:val="clear" w:color="auto" w:fill="auto"/>
            <w:vAlign w:val="center"/>
          </w:tcPr>
          <w:p w14:paraId="72AF0B9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181FE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674" w:type="dxa"/>
            <w:shd w:val="clear" w:color="auto" w:fill="auto"/>
            <w:vAlign w:val="center"/>
          </w:tcPr>
          <w:p w14:paraId="0B2AB01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电导率</w:t>
            </w:r>
          </w:p>
        </w:tc>
        <w:tc>
          <w:tcPr>
            <w:tcW w:w="1961" w:type="dxa"/>
            <w:shd w:val="clear" w:color="auto" w:fill="auto"/>
            <w:vAlign w:val="center"/>
          </w:tcPr>
          <w:p w14:paraId="45872B6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2300 μS/cm</w:t>
            </w:r>
          </w:p>
        </w:tc>
        <w:tc>
          <w:tcPr>
            <w:tcW w:w="1405" w:type="dxa"/>
            <w:shd w:val="clear" w:color="auto" w:fill="auto"/>
            <w:vAlign w:val="center"/>
          </w:tcPr>
          <w:p w14:paraId="110C87B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7795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674" w:type="dxa"/>
            <w:shd w:val="clear" w:color="auto" w:fill="auto"/>
            <w:vAlign w:val="center"/>
          </w:tcPr>
          <w:p w14:paraId="0B4251A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总碱度 (以CaCO3计)</w:t>
            </w:r>
          </w:p>
        </w:tc>
        <w:tc>
          <w:tcPr>
            <w:tcW w:w="1961" w:type="dxa"/>
            <w:shd w:val="clear" w:color="auto" w:fill="auto"/>
            <w:vAlign w:val="center"/>
          </w:tcPr>
          <w:p w14:paraId="0CD6C49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600 mg/L</w:t>
            </w:r>
          </w:p>
        </w:tc>
        <w:tc>
          <w:tcPr>
            <w:tcW w:w="1405" w:type="dxa"/>
            <w:shd w:val="clear" w:color="auto" w:fill="auto"/>
            <w:vAlign w:val="center"/>
          </w:tcPr>
          <w:p w14:paraId="55E6B3D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1A31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674" w:type="dxa"/>
            <w:shd w:val="clear" w:color="auto" w:fill="auto"/>
            <w:vAlign w:val="center"/>
          </w:tcPr>
          <w:p w14:paraId="3A6070B9">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钙硬度+总碱度(以CaCO3计)</w:t>
            </w:r>
          </w:p>
        </w:tc>
        <w:tc>
          <w:tcPr>
            <w:tcW w:w="1961" w:type="dxa"/>
            <w:shd w:val="clear" w:color="auto" w:fill="auto"/>
            <w:vAlign w:val="center"/>
          </w:tcPr>
          <w:p w14:paraId="7E44EFDE">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1100 mg/L</w:t>
            </w:r>
          </w:p>
        </w:tc>
        <w:tc>
          <w:tcPr>
            <w:tcW w:w="1405" w:type="dxa"/>
            <w:shd w:val="clear" w:color="auto" w:fill="auto"/>
            <w:vAlign w:val="center"/>
          </w:tcPr>
          <w:p w14:paraId="2036DE94">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1次/月</w:t>
            </w:r>
          </w:p>
        </w:tc>
      </w:tr>
      <w:tr w14:paraId="0CE3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2674" w:type="dxa"/>
            <w:shd w:val="clear" w:color="auto" w:fill="auto"/>
            <w:vAlign w:val="center"/>
          </w:tcPr>
          <w:p w14:paraId="6DA6E9F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Cl-</w:t>
            </w:r>
          </w:p>
        </w:tc>
        <w:tc>
          <w:tcPr>
            <w:tcW w:w="1961" w:type="dxa"/>
            <w:shd w:val="clear" w:color="auto" w:fill="auto"/>
            <w:vAlign w:val="center"/>
          </w:tcPr>
          <w:p w14:paraId="6049A2D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500 mg/L</w:t>
            </w:r>
          </w:p>
        </w:tc>
        <w:tc>
          <w:tcPr>
            <w:tcW w:w="1405" w:type="dxa"/>
            <w:shd w:val="clear" w:color="auto" w:fill="auto"/>
            <w:vAlign w:val="center"/>
          </w:tcPr>
          <w:p w14:paraId="26B5470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5073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4" w:hRule="atLeast"/>
          <w:jc w:val="center"/>
        </w:trPr>
        <w:tc>
          <w:tcPr>
            <w:tcW w:w="2674" w:type="dxa"/>
            <w:shd w:val="clear" w:color="auto" w:fill="auto"/>
            <w:vAlign w:val="center"/>
          </w:tcPr>
          <w:p w14:paraId="44CE0DC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总铁</w:t>
            </w:r>
          </w:p>
        </w:tc>
        <w:tc>
          <w:tcPr>
            <w:tcW w:w="1961" w:type="dxa"/>
            <w:shd w:val="clear" w:color="auto" w:fill="auto"/>
            <w:vAlign w:val="center"/>
          </w:tcPr>
          <w:p w14:paraId="4BAF4E6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1405" w:type="dxa"/>
            <w:shd w:val="clear" w:color="auto" w:fill="auto"/>
            <w:vAlign w:val="center"/>
          </w:tcPr>
          <w:p w14:paraId="52E4904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6B19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674" w:type="dxa"/>
            <w:shd w:val="clear" w:color="auto" w:fill="auto"/>
            <w:vAlign w:val="center"/>
          </w:tcPr>
          <w:p w14:paraId="53D4133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NH3-Na</w:t>
            </w:r>
          </w:p>
        </w:tc>
        <w:tc>
          <w:tcPr>
            <w:tcW w:w="1961" w:type="dxa"/>
            <w:shd w:val="clear" w:color="auto" w:fill="auto"/>
            <w:vAlign w:val="center"/>
          </w:tcPr>
          <w:p w14:paraId="5329ED4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1405" w:type="dxa"/>
            <w:shd w:val="clear" w:color="auto" w:fill="auto"/>
            <w:vAlign w:val="center"/>
          </w:tcPr>
          <w:p w14:paraId="3401696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10CE4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91" w:hRule="atLeast"/>
          <w:tblHeader/>
          <w:jc w:val="center"/>
        </w:trPr>
        <w:tc>
          <w:tcPr>
            <w:tcW w:w="2674" w:type="dxa"/>
            <w:shd w:val="clear" w:color="auto" w:fill="auto"/>
            <w:vAlign w:val="center"/>
          </w:tcPr>
          <w:p w14:paraId="2EE031A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游离氯</w:t>
            </w:r>
          </w:p>
        </w:tc>
        <w:tc>
          <w:tcPr>
            <w:tcW w:w="1961" w:type="dxa"/>
            <w:shd w:val="clear" w:color="auto" w:fill="auto"/>
            <w:vAlign w:val="center"/>
          </w:tcPr>
          <w:p w14:paraId="42F0774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0.05-1.0 10 mg/L（循环水总管处）</w:t>
            </w:r>
          </w:p>
        </w:tc>
        <w:tc>
          <w:tcPr>
            <w:tcW w:w="1405" w:type="dxa"/>
            <w:shd w:val="clear" w:color="auto" w:fill="auto"/>
            <w:vAlign w:val="center"/>
          </w:tcPr>
          <w:p w14:paraId="0E62737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4C4F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2674" w:type="dxa"/>
            <w:shd w:val="clear" w:color="auto" w:fill="auto"/>
            <w:vAlign w:val="center"/>
          </w:tcPr>
          <w:p w14:paraId="30EFB37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CODcr</w:t>
            </w:r>
          </w:p>
        </w:tc>
        <w:tc>
          <w:tcPr>
            <w:tcW w:w="1961" w:type="dxa"/>
            <w:shd w:val="clear" w:color="auto" w:fill="auto"/>
            <w:vAlign w:val="center"/>
          </w:tcPr>
          <w:p w14:paraId="3F7AA54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100 mg/L</w:t>
            </w:r>
          </w:p>
        </w:tc>
        <w:tc>
          <w:tcPr>
            <w:tcW w:w="1405" w:type="dxa"/>
            <w:shd w:val="clear" w:color="auto" w:fill="auto"/>
            <w:vAlign w:val="center"/>
          </w:tcPr>
          <w:p w14:paraId="708141D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54D5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8" w:hRule="atLeast"/>
          <w:tblHeader/>
          <w:jc w:val="center"/>
        </w:trPr>
        <w:tc>
          <w:tcPr>
            <w:tcW w:w="2674" w:type="dxa"/>
            <w:shd w:val="clear" w:color="auto" w:fill="auto"/>
            <w:vAlign w:val="center"/>
          </w:tcPr>
          <w:p w14:paraId="6CF897F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异养菌总数</w:t>
            </w:r>
          </w:p>
        </w:tc>
        <w:tc>
          <w:tcPr>
            <w:tcW w:w="1961" w:type="dxa"/>
            <w:shd w:val="clear" w:color="auto" w:fill="auto"/>
            <w:vAlign w:val="center"/>
          </w:tcPr>
          <w:p w14:paraId="238DE24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1×10⁵ 个/mL</w:t>
            </w:r>
          </w:p>
        </w:tc>
        <w:tc>
          <w:tcPr>
            <w:tcW w:w="1405" w:type="dxa"/>
            <w:shd w:val="clear" w:color="auto" w:fill="auto"/>
            <w:vAlign w:val="center"/>
          </w:tcPr>
          <w:p w14:paraId="0C7FF72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r w14:paraId="0D7E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jc w:val="center"/>
        </w:trPr>
        <w:tc>
          <w:tcPr>
            <w:tcW w:w="2674" w:type="dxa"/>
            <w:shd w:val="clear" w:color="auto" w:fill="auto"/>
            <w:vAlign w:val="center"/>
          </w:tcPr>
          <w:p w14:paraId="0DE5B24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有机磷 (以P计)</w:t>
            </w:r>
          </w:p>
        </w:tc>
        <w:tc>
          <w:tcPr>
            <w:tcW w:w="1961" w:type="dxa"/>
            <w:shd w:val="clear" w:color="auto" w:fill="auto"/>
            <w:vAlign w:val="center"/>
          </w:tcPr>
          <w:p w14:paraId="2C89030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0.5 mg/L</w:t>
            </w:r>
          </w:p>
        </w:tc>
        <w:tc>
          <w:tcPr>
            <w:tcW w:w="1405" w:type="dxa"/>
            <w:shd w:val="clear" w:color="auto" w:fill="auto"/>
            <w:vAlign w:val="center"/>
          </w:tcPr>
          <w:p w14:paraId="1EF37F2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1次/月</w:t>
            </w:r>
          </w:p>
        </w:tc>
      </w:tr>
    </w:tbl>
    <w:p w14:paraId="18CE995E">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宋体" w:hAnsi="宋体" w:eastAsia="宋体" w:cs="宋体"/>
          <w:b w:val="0"/>
          <w:bCs w:val="0"/>
          <w:i w:val="0"/>
          <w:caps w:val="0"/>
          <w:color w:val="auto"/>
          <w:spacing w:val="0"/>
          <w:sz w:val="21"/>
          <w:szCs w:val="21"/>
          <w:highlight w:val="none"/>
          <w:shd w:val="clear" w:fill="FFFFFF"/>
        </w:rPr>
      </w:pPr>
    </w:p>
    <w:p w14:paraId="27259372">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每月提供详细的水质检测报告，包含实际检测数据、标准限值、趋势分析及初步建议。</w:t>
      </w:r>
    </w:p>
    <w:p w14:paraId="15CE7301">
      <w:pPr>
        <w:pStyle w:val="19"/>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lang w:val="en-US" w:eastAsia="zh-CN"/>
        </w:rPr>
        <w:t>冷却水系统每半年一次的铜及碳钢腐蚀率的检测，由甲、乙双方一起对挂片进行挂、取并记录挂片编号，最终腐蚀率结果由乙方出具报告。</w:t>
      </w:r>
    </w:p>
    <w:p w14:paraId="4D6B165A">
      <w:pPr>
        <w:pStyle w:val="1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200" w:right="0" w:rightChars="0"/>
        <w:textAlignment w:val="auto"/>
        <w:rPr>
          <w:rFonts w:hint="eastAsia" w:ascii="宋体" w:hAnsi="宋体" w:eastAsia="宋体" w:cs="宋体"/>
          <w:b w:val="0"/>
          <w:bCs w:val="0"/>
          <w:i w:val="0"/>
          <w:caps w:val="0"/>
          <w:color w:val="auto"/>
          <w:spacing w:val="0"/>
          <w:sz w:val="21"/>
          <w:szCs w:val="21"/>
          <w:highlight w:val="none"/>
          <w:shd w:val="clear" w:fill="FFFFFF"/>
          <w:lang w:val="en-US" w:eastAsia="zh-CN"/>
        </w:rPr>
      </w:pPr>
      <w:r>
        <w:rPr>
          <w:rFonts w:hint="eastAsia" w:ascii="宋体" w:hAnsi="宋体" w:eastAsia="宋体" w:cs="宋体"/>
          <w:b w:val="0"/>
          <w:bCs w:val="0"/>
          <w:i w:val="0"/>
          <w:caps w:val="0"/>
          <w:color w:val="auto"/>
          <w:spacing w:val="0"/>
          <w:sz w:val="21"/>
          <w:szCs w:val="21"/>
          <w:highlight w:val="none"/>
          <w:shd w:val="clear" w:fill="FFFFFF"/>
          <w:lang w:val="en-US" w:eastAsia="zh-CN"/>
        </w:rPr>
        <w:t>表2：挂片检测指标及频次</w:t>
      </w:r>
    </w:p>
    <w:tbl>
      <w:tblPr>
        <w:tblStyle w:val="23"/>
        <w:tblW w:w="5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25"/>
        <w:gridCol w:w="1794"/>
        <w:gridCol w:w="1321"/>
      </w:tblGrid>
      <w:tr w14:paraId="3F6C1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 w:hRule="atLeast"/>
          <w:tblHeader/>
          <w:jc w:val="center"/>
        </w:trPr>
        <w:tc>
          <w:tcPr>
            <w:tcW w:w="2425" w:type="dxa"/>
            <w:shd w:val="clear" w:color="auto" w:fill="auto"/>
            <w:vAlign w:val="center"/>
          </w:tcPr>
          <w:p w14:paraId="1A61B8C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项目</w:t>
            </w:r>
          </w:p>
        </w:tc>
        <w:tc>
          <w:tcPr>
            <w:tcW w:w="1794" w:type="dxa"/>
            <w:shd w:val="clear" w:color="auto" w:fill="auto"/>
            <w:vAlign w:val="center"/>
          </w:tcPr>
          <w:p w14:paraId="3C9A59A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1321" w:type="dxa"/>
            <w:shd w:val="clear" w:color="auto" w:fill="auto"/>
            <w:vAlign w:val="center"/>
          </w:tcPr>
          <w:p w14:paraId="282910A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r>
      <w:tr w14:paraId="73A1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1" w:hRule="atLeast"/>
          <w:tblHeader/>
          <w:jc w:val="center"/>
        </w:trPr>
        <w:tc>
          <w:tcPr>
            <w:tcW w:w="2425" w:type="dxa"/>
            <w:shd w:val="clear" w:color="auto" w:fill="auto"/>
            <w:vAlign w:val="center"/>
          </w:tcPr>
          <w:p w14:paraId="37556BAC">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铜腐蚀率</w:t>
            </w:r>
          </w:p>
        </w:tc>
        <w:tc>
          <w:tcPr>
            <w:tcW w:w="1794" w:type="dxa"/>
            <w:shd w:val="clear" w:color="auto" w:fill="auto"/>
            <w:vAlign w:val="center"/>
          </w:tcPr>
          <w:p w14:paraId="463E83E3">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&lt; 0.005 mm/a</w:t>
            </w:r>
          </w:p>
        </w:tc>
        <w:tc>
          <w:tcPr>
            <w:tcW w:w="1321" w:type="dxa"/>
            <w:shd w:val="clear" w:color="auto" w:fill="auto"/>
            <w:vAlign w:val="center"/>
          </w:tcPr>
          <w:p w14:paraId="559DF284">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1次/半年</w:t>
            </w:r>
          </w:p>
        </w:tc>
      </w:tr>
      <w:tr w14:paraId="5F7F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50" w:hRule="atLeast"/>
          <w:tblHeader/>
          <w:jc w:val="center"/>
        </w:trPr>
        <w:tc>
          <w:tcPr>
            <w:tcW w:w="2425" w:type="dxa"/>
            <w:shd w:val="clear" w:color="auto" w:fill="auto"/>
            <w:vAlign w:val="center"/>
          </w:tcPr>
          <w:p w14:paraId="20240F1A">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碳钢腐蚀率</w:t>
            </w:r>
          </w:p>
        </w:tc>
        <w:tc>
          <w:tcPr>
            <w:tcW w:w="1794" w:type="dxa"/>
            <w:shd w:val="clear" w:color="auto" w:fill="auto"/>
            <w:vAlign w:val="center"/>
          </w:tcPr>
          <w:p w14:paraId="6767EBF6">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&lt; 0.075 mm/a</w:t>
            </w:r>
          </w:p>
        </w:tc>
        <w:tc>
          <w:tcPr>
            <w:tcW w:w="1321" w:type="dxa"/>
            <w:shd w:val="clear" w:color="auto" w:fill="auto"/>
            <w:vAlign w:val="center"/>
          </w:tcPr>
          <w:p w14:paraId="5DE069DE">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1次/半年</w:t>
            </w:r>
          </w:p>
        </w:tc>
      </w:tr>
    </w:tbl>
    <w:p w14:paraId="6E09DD91">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化学药剂投加与维护：</w:t>
      </w:r>
    </w:p>
    <w:p w14:paraId="1538E50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根据水质分析结果和系统运行状况，科学计算并投加适量的水处理化学药剂（必须包括缓蚀剂、阻垢剂、杀菌剂等）。</w:t>
      </w:r>
    </w:p>
    <w:p w14:paraId="5E088732">
      <w:pPr>
        <w:pStyle w:val="19"/>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确保冷冻水、冷却水系统中的药剂浓度持续稳定在有效范围内，并根据季节变化、系统运行负荷、排污及补水情况动态调整加药策略。</w:t>
      </w:r>
    </w:p>
    <w:p w14:paraId="21F80314">
      <w:pPr>
        <w:pStyle w:val="19"/>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提供符合国家环保、安全标准及本需求书要求的优质药剂。</w:t>
      </w:r>
    </w:p>
    <w:p w14:paraId="45BBF9A6">
      <w:pPr>
        <w:pStyle w:val="19"/>
        <w:keepNext w:val="0"/>
        <w:keepLines w:val="0"/>
        <w:pageBreakBefore w:val="0"/>
        <w:widowControl/>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负责化学药剂的运输、储存（需符合安全规范）及投加设备的日常操作与维护。</w:t>
      </w:r>
    </w:p>
    <w:p w14:paraId="35C1FC49">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排污与补水管理指导：</w:t>
      </w:r>
    </w:p>
    <w:p w14:paraId="2E3AA7BC">
      <w:pPr>
        <w:pStyle w:val="19"/>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根据水质分析结果（特别是浓缩倍数、电导率、离子浓度等），指导或协助甲方进行系统科学排污和合理补水操作。</w:t>
      </w:r>
    </w:p>
    <w:p w14:paraId="601AD34E">
      <w:pPr>
        <w:pStyle w:val="19"/>
        <w:keepNext w:val="0"/>
        <w:keepLines w:val="0"/>
        <w:pageBreakBefore w:val="0"/>
        <w:widowControl/>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控制冷却水系统浓缩倍数在最佳范围（3-5倍）。</w:t>
      </w:r>
    </w:p>
    <w:p w14:paraId="29D806C2">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冷却塔年度清洗服务：</w:t>
      </w:r>
    </w:p>
    <w:p w14:paraId="590F180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每年在首次供冷季开始前（通常为3月），对</w:t>
      </w:r>
      <w:r>
        <w:rPr>
          <w:rStyle w:val="25"/>
          <w:rFonts w:hint="eastAsia" w:ascii="宋体" w:hAnsi="宋体" w:eastAsia="宋体" w:cs="宋体"/>
          <w:b w:val="0"/>
          <w:bCs w:val="0"/>
          <w:i w:val="0"/>
          <w:caps w:val="0"/>
          <w:color w:val="auto"/>
          <w:spacing w:val="0"/>
          <w:sz w:val="21"/>
          <w:szCs w:val="21"/>
          <w:highlight w:val="none"/>
          <w:shd w:val="clear" w:fill="FFFFFF"/>
        </w:rPr>
        <w:t>A、B系统所有冷却塔</w:t>
      </w:r>
      <w:r>
        <w:rPr>
          <w:rFonts w:hint="eastAsia" w:ascii="宋体" w:hAnsi="宋体" w:eastAsia="宋体" w:cs="宋体"/>
          <w:b w:val="0"/>
          <w:bCs w:val="0"/>
          <w:i w:val="0"/>
          <w:caps w:val="0"/>
          <w:color w:val="auto"/>
          <w:spacing w:val="0"/>
          <w:sz w:val="21"/>
          <w:szCs w:val="21"/>
          <w:highlight w:val="none"/>
          <w:shd w:val="clear" w:fill="FFFFFF"/>
        </w:rPr>
        <w:t>的布水器、填料、集水盘进行彻底清洗（物理清洗+化学清洗），确保无污垢、藻类、生物粘泥</w:t>
      </w:r>
      <w:r>
        <w:rPr>
          <w:rFonts w:hint="eastAsia" w:ascii="宋体" w:hAnsi="宋体" w:eastAsia="宋体" w:cs="宋体"/>
          <w:b w:val="0"/>
          <w:bCs w:val="0"/>
          <w:i w:val="0"/>
          <w:caps w:val="0"/>
          <w:color w:val="auto"/>
          <w:spacing w:val="0"/>
          <w:sz w:val="21"/>
          <w:szCs w:val="21"/>
          <w:highlight w:val="none"/>
          <w:shd w:val="clear" w:fill="FFFFFF"/>
          <w:lang w:eastAsia="zh-CN"/>
        </w:rPr>
        <w:t>，</w:t>
      </w:r>
      <w:r>
        <w:rPr>
          <w:rFonts w:hint="eastAsia" w:ascii="宋体" w:hAnsi="宋体" w:eastAsia="宋体" w:cs="宋体"/>
          <w:b w:val="0"/>
          <w:bCs w:val="0"/>
          <w:i w:val="0"/>
          <w:caps w:val="0"/>
          <w:color w:val="auto"/>
          <w:spacing w:val="0"/>
          <w:sz w:val="21"/>
          <w:szCs w:val="21"/>
          <w:highlight w:val="none"/>
          <w:shd w:val="clear" w:fill="FFFFFF"/>
        </w:rPr>
        <w:t>清洗方案需事先报甲方批准。</w:t>
      </w:r>
    </w:p>
    <w:p w14:paraId="1E463655">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第三方水质检测：</w:t>
      </w:r>
    </w:p>
    <w:p w14:paraId="256A39D2">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每年进行一次不定期第三方水质检测。</w:t>
      </w:r>
    </w:p>
    <w:p w14:paraId="66566732">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由甲、乙双方共同现场取样：A冷却水系统1份、B冷却水系统1份、冷冻水系统1份、补充水（自来水）1份。</w:t>
      </w:r>
    </w:p>
    <w:p w14:paraId="5B2B0703">
      <w:pPr>
        <w:pStyle w:val="19"/>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检测机构要求：通过中国计量认证（CMA）和/或中国合格评定国家认可委员会（CNAS）认可的第三方检测机构。</w:t>
      </w:r>
    </w:p>
    <w:p w14:paraId="032B68D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检测项目：</w:t>
      </w:r>
    </w:p>
    <w:p w14:paraId="130F224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冷却水：</w:t>
      </w:r>
      <w:r>
        <w:rPr>
          <w:rFonts w:hint="eastAsia" w:ascii="宋体" w:hAnsi="宋体" w:eastAsia="宋体" w:cs="宋体"/>
          <w:b w:val="0"/>
          <w:bCs w:val="0"/>
          <w:i w:val="0"/>
          <w:caps w:val="0"/>
          <w:color w:val="auto"/>
          <w:spacing w:val="0"/>
          <w:sz w:val="21"/>
          <w:szCs w:val="21"/>
          <w:highlight w:val="none"/>
          <w:shd w:val="clear" w:fill="FFFFFF"/>
        </w:rPr>
        <w:t>按表</w:t>
      </w:r>
      <w:r>
        <w:rPr>
          <w:rFonts w:hint="eastAsia" w:ascii="宋体" w:hAnsi="宋体" w:eastAsia="宋体" w:cs="宋体"/>
          <w:b w:val="0"/>
          <w:bCs w:val="0"/>
          <w:i w:val="0"/>
          <w:caps w:val="0"/>
          <w:color w:val="auto"/>
          <w:spacing w:val="0"/>
          <w:sz w:val="21"/>
          <w:szCs w:val="21"/>
          <w:highlight w:val="none"/>
          <w:shd w:val="clear" w:fill="FFFFFF"/>
          <w:lang w:val="en-US" w:eastAsia="zh-CN"/>
        </w:rPr>
        <w:t>3</w:t>
      </w:r>
      <w:r>
        <w:rPr>
          <w:rFonts w:hint="eastAsia" w:ascii="宋体" w:hAnsi="宋体" w:eastAsia="宋体" w:cs="宋体"/>
          <w:b w:val="0"/>
          <w:bCs w:val="0"/>
          <w:i w:val="0"/>
          <w:caps w:val="0"/>
          <w:color w:val="auto"/>
          <w:spacing w:val="0"/>
          <w:sz w:val="21"/>
          <w:szCs w:val="21"/>
          <w:highlight w:val="none"/>
          <w:shd w:val="clear" w:fill="FFFFFF"/>
        </w:rPr>
        <w:t>中“冷却水测试项目”全项检测（包括浓缩倍数、游离氯、铜及碳钢腐蚀率、军团菌）。</w:t>
      </w:r>
    </w:p>
    <w:p w14:paraId="0698EF7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冷冻水：</w:t>
      </w:r>
      <w:r>
        <w:rPr>
          <w:rFonts w:hint="eastAsia" w:ascii="宋体" w:hAnsi="宋体" w:eastAsia="宋体" w:cs="宋体"/>
          <w:b w:val="0"/>
          <w:bCs w:val="0"/>
          <w:i w:val="0"/>
          <w:caps w:val="0"/>
          <w:color w:val="auto"/>
          <w:spacing w:val="0"/>
          <w:sz w:val="21"/>
          <w:szCs w:val="21"/>
          <w:highlight w:val="none"/>
          <w:shd w:val="clear" w:fill="FFFFFF"/>
        </w:rPr>
        <w:t>按表</w:t>
      </w:r>
      <w:r>
        <w:rPr>
          <w:rFonts w:hint="eastAsia" w:ascii="宋体" w:hAnsi="宋体" w:eastAsia="宋体" w:cs="宋体"/>
          <w:b w:val="0"/>
          <w:bCs w:val="0"/>
          <w:i w:val="0"/>
          <w:caps w:val="0"/>
          <w:color w:val="auto"/>
          <w:spacing w:val="0"/>
          <w:sz w:val="21"/>
          <w:szCs w:val="21"/>
          <w:highlight w:val="none"/>
          <w:shd w:val="clear" w:fill="FFFFFF"/>
          <w:lang w:val="en-US" w:eastAsia="zh-CN"/>
        </w:rPr>
        <w:t>3</w:t>
      </w:r>
      <w:r>
        <w:rPr>
          <w:rFonts w:hint="eastAsia" w:ascii="宋体" w:hAnsi="宋体" w:eastAsia="宋体" w:cs="宋体"/>
          <w:b w:val="0"/>
          <w:bCs w:val="0"/>
          <w:i w:val="0"/>
          <w:caps w:val="0"/>
          <w:color w:val="auto"/>
          <w:spacing w:val="0"/>
          <w:sz w:val="21"/>
          <w:szCs w:val="21"/>
          <w:highlight w:val="none"/>
          <w:shd w:val="clear" w:fill="FFFFFF"/>
        </w:rPr>
        <w:t>中“冷冻水测试项目”全项检测（包括浓缩倍数、游离氯、硫酸根、异氧菌总数、铜及碳钢腐蚀率）。</w:t>
      </w:r>
    </w:p>
    <w:p w14:paraId="2A14563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所有第三方检测费用由投标人（供应商）承担。</w:t>
      </w:r>
    </w:p>
    <w:p w14:paraId="5A1ABA1F">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投标人需及时提交正式的第三方检测报告。</w:t>
      </w:r>
    </w:p>
    <w:p w14:paraId="3A76DB2F">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日常巡检与维护：</w:t>
      </w:r>
    </w:p>
    <w:p w14:paraId="2A60422D">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定期对加药装置（包括药桶液位、泵运行状态、管线阀门）、水质采样点、关键系统阀门等进行巡检，确保设备正常运行，无泄漏。</w:t>
      </w:r>
    </w:p>
    <w:p w14:paraId="62F65A78">
      <w:pPr>
        <w:pStyle w:val="19"/>
        <w:keepNext w:val="0"/>
        <w:keepLines w:val="0"/>
        <w:pageBreakBefore w:val="0"/>
        <w:widowControl/>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检查冷却塔运行状况（填料清洁度、布水均匀性、滤网状况等）。</w:t>
      </w:r>
    </w:p>
    <w:p w14:paraId="6DD34487">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技术报告：</w:t>
      </w:r>
    </w:p>
    <w:p w14:paraId="287EAB1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每半年提供一份详细的水质处理服务报告，内容包括：水质分析总结、药剂消耗统计、系统运行状况评估、存在问题、改进措施建议及水处理效果对系统能效的评估分析。</w:t>
      </w:r>
    </w:p>
    <w:p w14:paraId="1EF6DB0E">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应急响应：</w:t>
      </w:r>
    </w:p>
    <w:p w14:paraId="1618A08B">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提供7x24小时应急响应服务热线。</w:t>
      </w:r>
    </w:p>
    <w:p w14:paraId="678A2F37">
      <w:pPr>
        <w:pStyle w:val="19"/>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接到甲方关于突发水质问题（如军团菌检出、水质严重恶化、设备异常报警等）通知后，专业技术人员应在</w:t>
      </w:r>
      <w:r>
        <w:rPr>
          <w:rStyle w:val="25"/>
          <w:rFonts w:hint="eastAsia" w:ascii="宋体" w:hAnsi="宋体" w:eastAsia="宋体" w:cs="宋体"/>
          <w:b w:val="0"/>
          <w:bCs w:val="0"/>
          <w:i w:val="0"/>
          <w:caps w:val="0"/>
          <w:color w:val="auto"/>
          <w:spacing w:val="0"/>
          <w:sz w:val="21"/>
          <w:szCs w:val="21"/>
          <w:highlight w:val="none"/>
          <w:shd w:val="clear" w:fill="FFFFFF"/>
        </w:rPr>
        <w:t>4小时内给出明确响应，并在12小时内到达现场</w:t>
      </w:r>
      <w:r>
        <w:rPr>
          <w:rFonts w:hint="eastAsia" w:ascii="宋体" w:hAnsi="宋体" w:eastAsia="宋体" w:cs="宋体"/>
          <w:b w:val="0"/>
          <w:bCs w:val="0"/>
          <w:i w:val="0"/>
          <w:caps w:val="0"/>
          <w:color w:val="auto"/>
          <w:spacing w:val="0"/>
          <w:sz w:val="21"/>
          <w:szCs w:val="21"/>
          <w:highlight w:val="none"/>
          <w:shd w:val="clear" w:fill="FFFFFF"/>
        </w:rPr>
        <w:t>处理。</w:t>
      </w:r>
    </w:p>
    <w:p w14:paraId="5CA9948E">
      <w:pPr>
        <w:pStyle w:val="1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6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技术咨询与培训：</w:t>
      </w:r>
    </w:p>
    <w:p w14:paraId="006CE4A0">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为甲方提供日常水质管理相关的技术咨询服务。</w:t>
      </w:r>
    </w:p>
    <w:p w14:paraId="440AE269">
      <w:pPr>
        <w:pStyle w:val="19"/>
        <w:keepNext w:val="0"/>
        <w:keepLines w:val="0"/>
        <w:pageBreakBefore w:val="0"/>
        <w:widowControl/>
        <w:numPr>
          <w:ilvl w:val="0"/>
          <w:numId w:val="1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对甲方运维人员进行基础的水质管理知识、日常巡检要点及应急处理流程的培训，每年至少一次。</w:t>
      </w:r>
    </w:p>
    <w:p w14:paraId="4D1623AA">
      <w:pPr>
        <w:pStyle w:val="11"/>
        <w:numPr>
          <w:ilvl w:val="0"/>
          <w:numId w:val="27"/>
        </w:numPr>
        <w:spacing w:line="240" w:lineRule="auto"/>
        <w:ind w:firstLine="0" w:firstLineChars="0"/>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人员要求</w:t>
      </w:r>
    </w:p>
    <w:p w14:paraId="67E2E825">
      <w:pPr>
        <w:pStyle w:val="19"/>
        <w:keepNext w:val="0"/>
        <w:keepLines w:val="0"/>
        <w:pageBreakBefore w:val="0"/>
        <w:widowControl/>
        <w:numPr>
          <w:ilvl w:val="0"/>
          <w:numId w:val="28"/>
        </w:numPr>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投标人必须为本项目指定</w:t>
      </w:r>
      <w:r>
        <w:rPr>
          <w:rStyle w:val="25"/>
          <w:rFonts w:hint="eastAsia" w:ascii="宋体" w:hAnsi="宋体" w:eastAsia="宋体" w:cs="宋体"/>
          <w:b w:val="0"/>
          <w:bCs w:val="0"/>
          <w:i w:val="0"/>
          <w:caps w:val="0"/>
          <w:color w:val="auto"/>
          <w:spacing w:val="0"/>
          <w:sz w:val="21"/>
          <w:szCs w:val="21"/>
          <w:highlight w:val="none"/>
          <w:shd w:val="clear" w:fill="FFFFFF"/>
        </w:rPr>
        <w:t>1名专职现场服务技术人员</w:t>
      </w:r>
      <w:r>
        <w:rPr>
          <w:rFonts w:hint="eastAsia" w:ascii="宋体" w:hAnsi="宋体" w:eastAsia="宋体" w:cs="宋体"/>
          <w:b w:val="0"/>
          <w:bCs w:val="0"/>
          <w:i w:val="0"/>
          <w:caps w:val="0"/>
          <w:color w:val="auto"/>
          <w:spacing w:val="0"/>
          <w:sz w:val="21"/>
          <w:szCs w:val="21"/>
          <w:highlight w:val="none"/>
          <w:shd w:val="clear" w:fill="FFFFFF"/>
        </w:rPr>
        <w:t>。</w:t>
      </w:r>
    </w:p>
    <w:p w14:paraId="5F8DC101">
      <w:pPr>
        <w:pStyle w:val="19"/>
        <w:keepNext w:val="0"/>
        <w:keepLines w:val="0"/>
        <w:pageBreakBefore w:val="0"/>
        <w:widowControl/>
        <w:numPr>
          <w:ilvl w:val="0"/>
          <w:numId w:val="28"/>
        </w:numPr>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该人员需具备</w:t>
      </w:r>
      <w:r>
        <w:rPr>
          <w:rStyle w:val="25"/>
          <w:rFonts w:hint="eastAsia" w:ascii="宋体" w:hAnsi="宋体" w:eastAsia="宋体" w:cs="宋体"/>
          <w:b w:val="0"/>
          <w:bCs w:val="0"/>
          <w:i w:val="0"/>
          <w:caps w:val="0"/>
          <w:color w:val="auto"/>
          <w:spacing w:val="0"/>
          <w:sz w:val="21"/>
          <w:szCs w:val="21"/>
          <w:highlight w:val="none"/>
          <w:shd w:val="clear" w:fill="FFFFFF"/>
        </w:rPr>
        <w:t>三年以上中央空调水处理系统服务经验</w:t>
      </w:r>
      <w:r>
        <w:rPr>
          <w:rFonts w:hint="eastAsia" w:ascii="宋体" w:hAnsi="宋体" w:eastAsia="宋体" w:cs="宋体"/>
          <w:b w:val="0"/>
          <w:bCs w:val="0"/>
          <w:i w:val="0"/>
          <w:caps w:val="0"/>
          <w:color w:val="auto"/>
          <w:spacing w:val="0"/>
          <w:sz w:val="21"/>
          <w:szCs w:val="21"/>
          <w:highlight w:val="none"/>
          <w:shd w:val="clear" w:fill="FFFFFF"/>
        </w:rPr>
        <w:t>，熟悉相关设备操作及药剂性能。</w:t>
      </w:r>
    </w:p>
    <w:p w14:paraId="1AC71C89">
      <w:pPr>
        <w:pStyle w:val="19"/>
        <w:keepNext w:val="0"/>
        <w:keepLines w:val="0"/>
        <w:pageBreakBefore w:val="0"/>
        <w:widowControl/>
        <w:numPr>
          <w:ilvl w:val="0"/>
          <w:numId w:val="28"/>
        </w:numPr>
        <w:suppressLineNumbers w:val="0"/>
        <w:kinsoku/>
        <w:wordWrap/>
        <w:overflowPunct/>
        <w:topLinePunct w:val="0"/>
        <w:autoSpaceDE/>
        <w:autoSpaceDN/>
        <w:bidi w:val="0"/>
        <w:adjustRightInd/>
        <w:snapToGrid/>
        <w:spacing w:before="0" w:beforeAutospacing="0" w:after="0" w:afterAutospacing="0"/>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该人员须在合同签订后</w:t>
      </w:r>
      <w:r>
        <w:rPr>
          <w:rStyle w:val="25"/>
          <w:rFonts w:hint="eastAsia" w:ascii="宋体" w:hAnsi="宋体" w:eastAsia="宋体" w:cs="宋体"/>
          <w:b w:val="0"/>
          <w:bCs w:val="0"/>
          <w:i w:val="0"/>
          <w:caps w:val="0"/>
          <w:color w:val="auto"/>
          <w:spacing w:val="0"/>
          <w:sz w:val="21"/>
          <w:szCs w:val="21"/>
          <w:highlight w:val="none"/>
          <w:shd w:val="clear" w:fill="FFFFFF"/>
        </w:rPr>
        <w:t>一周内</w:t>
      </w:r>
      <w:r>
        <w:rPr>
          <w:rFonts w:hint="eastAsia" w:ascii="宋体" w:hAnsi="宋体" w:eastAsia="宋体" w:cs="宋体"/>
          <w:b w:val="0"/>
          <w:bCs w:val="0"/>
          <w:i w:val="0"/>
          <w:caps w:val="0"/>
          <w:color w:val="auto"/>
          <w:spacing w:val="0"/>
          <w:sz w:val="21"/>
          <w:szCs w:val="21"/>
          <w:highlight w:val="none"/>
          <w:shd w:val="clear" w:fill="FFFFFF"/>
        </w:rPr>
        <w:t>到位，并确保</w:t>
      </w:r>
      <w:r>
        <w:rPr>
          <w:rStyle w:val="25"/>
          <w:rFonts w:hint="eastAsia" w:ascii="宋体" w:hAnsi="宋体" w:eastAsia="宋体" w:cs="宋体"/>
          <w:b w:val="0"/>
          <w:bCs w:val="0"/>
          <w:i w:val="0"/>
          <w:caps w:val="0"/>
          <w:color w:val="auto"/>
          <w:spacing w:val="0"/>
          <w:sz w:val="21"/>
          <w:szCs w:val="21"/>
          <w:highlight w:val="none"/>
          <w:shd w:val="clear" w:fill="FFFFFF"/>
        </w:rPr>
        <w:t>至少每月一次</w:t>
      </w:r>
      <w:r>
        <w:rPr>
          <w:rFonts w:hint="eastAsia" w:ascii="宋体" w:hAnsi="宋体" w:eastAsia="宋体" w:cs="宋体"/>
          <w:b w:val="0"/>
          <w:bCs w:val="0"/>
          <w:i w:val="0"/>
          <w:caps w:val="0"/>
          <w:color w:val="auto"/>
          <w:spacing w:val="0"/>
          <w:sz w:val="21"/>
          <w:szCs w:val="21"/>
          <w:highlight w:val="none"/>
          <w:shd w:val="clear" w:fill="FFFFFF"/>
        </w:rPr>
        <w:t>到现场进行水质检测、设备巡检、加药维护、记录检查及必要的技术沟通等工作。每次现场服务需按甲方要求填写作业单</w:t>
      </w:r>
    </w:p>
    <w:p w14:paraId="4CCF87EE">
      <w:pPr>
        <w:pStyle w:val="11"/>
        <w:keepNext w:val="0"/>
        <w:keepLines w:val="0"/>
        <w:pageBreakBefore w:val="0"/>
        <w:numPr>
          <w:ilvl w:val="0"/>
          <w:numId w:val="27"/>
        </w:numPr>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技术要求</w:t>
      </w:r>
    </w:p>
    <w:p w14:paraId="1959F7E0">
      <w:pPr>
        <w:pStyle w:val="19"/>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采用标准及规范：</w:t>
      </w:r>
      <w:r>
        <w:rPr>
          <w:rFonts w:hint="eastAsia" w:ascii="宋体" w:hAnsi="宋体" w:eastAsia="宋体" w:cs="宋体"/>
          <w:b w:val="0"/>
          <w:bCs w:val="0"/>
          <w:i w:val="0"/>
          <w:caps w:val="0"/>
          <w:color w:val="auto"/>
          <w:spacing w:val="0"/>
          <w:sz w:val="21"/>
          <w:szCs w:val="21"/>
          <w:highlight w:val="none"/>
          <w:shd w:val="clear" w:fill="FFFFFF"/>
        </w:rPr>
        <w:t>(以最新有效版本为准)</w:t>
      </w:r>
    </w:p>
    <w:p w14:paraId="0F1BD84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《采暖空调系统水质》GB/T 29044</w:t>
      </w:r>
    </w:p>
    <w:p w14:paraId="20F1E5A3">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《工业循环冷却水处理设计规范》GB 50050</w:t>
      </w:r>
    </w:p>
    <w:p w14:paraId="19FF785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《水处理剂产品分类和代号命名》HG/T 2762</w:t>
      </w:r>
    </w:p>
    <w:p w14:paraId="4E5FDA52">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《污水排入城镇下水道水质标准》GB/T 31962</w:t>
      </w:r>
    </w:p>
    <w:p w14:paraId="594EB0F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《公共场所集中空调通风系统卫生规范》WS 394</w:t>
      </w:r>
    </w:p>
    <w:p w14:paraId="7521EDD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《中华人民共和国安全生产法》</w:t>
      </w:r>
    </w:p>
    <w:p w14:paraId="0F6D212D">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《危险化学品安全管理条例》</w:t>
      </w:r>
    </w:p>
    <w:p w14:paraId="31CB2BB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《使用有毒物品作业场所劳动保护条例》</w:t>
      </w:r>
    </w:p>
    <w:p w14:paraId="09A91A5B">
      <w:pPr>
        <w:pStyle w:val="19"/>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药剂要求：</w:t>
      </w:r>
    </w:p>
    <w:p w14:paraId="280F54C2">
      <w:pPr>
        <w:pStyle w:val="19"/>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投标人需在投标文件中详细列明拟用于本项目的冷却水及冷冻水系统所有化学药剂的</w:t>
      </w:r>
      <w:r>
        <w:rPr>
          <w:rStyle w:val="25"/>
          <w:rFonts w:hint="eastAsia" w:ascii="宋体" w:hAnsi="宋体" w:eastAsia="宋体" w:cs="宋体"/>
          <w:b w:val="0"/>
          <w:bCs w:val="0"/>
          <w:i w:val="0"/>
          <w:caps w:val="0"/>
          <w:color w:val="auto"/>
          <w:spacing w:val="0"/>
          <w:sz w:val="21"/>
          <w:szCs w:val="21"/>
          <w:highlight w:val="none"/>
          <w:shd w:val="clear" w:fill="FFFFFF"/>
        </w:rPr>
        <w:t>完整清单（商品名、主要成分、功能类别）</w:t>
      </w:r>
      <w:r>
        <w:rPr>
          <w:rFonts w:hint="eastAsia" w:ascii="宋体" w:hAnsi="宋体" w:eastAsia="宋体" w:cs="宋体"/>
          <w:b w:val="0"/>
          <w:bCs w:val="0"/>
          <w:i w:val="0"/>
          <w:caps w:val="0"/>
          <w:color w:val="auto"/>
          <w:spacing w:val="0"/>
          <w:sz w:val="21"/>
          <w:szCs w:val="21"/>
          <w:highlight w:val="none"/>
          <w:shd w:val="clear" w:fill="FFFFFF"/>
        </w:rPr>
        <w:t>。</w:t>
      </w:r>
    </w:p>
    <w:p w14:paraId="206404C4">
      <w:pPr>
        <w:pStyle w:val="19"/>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提供所有药剂的</w:t>
      </w:r>
      <w:r>
        <w:rPr>
          <w:rStyle w:val="25"/>
          <w:rFonts w:hint="eastAsia" w:ascii="宋体" w:hAnsi="宋体" w:eastAsia="宋体" w:cs="宋体"/>
          <w:b w:val="0"/>
          <w:bCs w:val="0"/>
          <w:i w:val="0"/>
          <w:caps w:val="0"/>
          <w:color w:val="auto"/>
          <w:spacing w:val="0"/>
          <w:sz w:val="21"/>
          <w:szCs w:val="21"/>
          <w:highlight w:val="none"/>
          <w:shd w:val="clear" w:fill="FFFFFF"/>
        </w:rPr>
        <w:t>最新版安全技术说明书（MSDS）</w:t>
      </w:r>
      <w:r>
        <w:rPr>
          <w:rFonts w:hint="eastAsia" w:ascii="宋体" w:hAnsi="宋体" w:eastAsia="宋体" w:cs="宋体"/>
          <w:b w:val="0"/>
          <w:bCs w:val="0"/>
          <w:i w:val="0"/>
          <w:caps w:val="0"/>
          <w:color w:val="auto"/>
          <w:spacing w:val="0"/>
          <w:sz w:val="21"/>
          <w:szCs w:val="21"/>
          <w:highlight w:val="none"/>
          <w:shd w:val="clear" w:fill="FFFFFF"/>
        </w:rPr>
        <w:t>。</w:t>
      </w:r>
    </w:p>
    <w:p w14:paraId="25B3C2C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提供缓蚀剂、阻垢剂、杀菌剂的</w:t>
      </w:r>
      <w:r>
        <w:rPr>
          <w:rStyle w:val="25"/>
          <w:rFonts w:hint="eastAsia" w:ascii="宋体" w:hAnsi="宋体" w:eastAsia="宋体" w:cs="宋体"/>
          <w:b w:val="0"/>
          <w:bCs w:val="0"/>
          <w:i w:val="0"/>
          <w:caps w:val="0"/>
          <w:color w:val="auto"/>
          <w:spacing w:val="0"/>
          <w:sz w:val="21"/>
          <w:szCs w:val="21"/>
          <w:highlight w:val="none"/>
          <w:shd w:val="clear" w:fill="FFFFFF"/>
        </w:rPr>
        <w:t>初始加药量及日常维持加药量的计算依据和方法说明</w:t>
      </w:r>
      <w:r>
        <w:rPr>
          <w:rFonts w:hint="eastAsia" w:ascii="宋体" w:hAnsi="宋体" w:eastAsia="宋体" w:cs="宋体"/>
          <w:b w:val="0"/>
          <w:bCs w:val="0"/>
          <w:i w:val="0"/>
          <w:caps w:val="0"/>
          <w:color w:val="auto"/>
          <w:spacing w:val="0"/>
          <w:sz w:val="21"/>
          <w:szCs w:val="21"/>
          <w:highlight w:val="none"/>
          <w:shd w:val="clear" w:fill="FFFFFF"/>
        </w:rPr>
        <w:t>。氧化性杀菌剂的投加必须符合GB 50050的相关要求。</w:t>
      </w:r>
    </w:p>
    <w:p w14:paraId="3845A510">
      <w:pPr>
        <w:pStyle w:val="19"/>
        <w:keepNext w:val="0"/>
        <w:keepLines w:val="0"/>
        <w:pageBreakBefore w:val="0"/>
        <w:widowControl/>
        <w:numPr>
          <w:ilvl w:val="0"/>
          <w:numId w:val="1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所有药剂必须符合国家环保及安全标准，高效、低毒、低磷（或无磷），优先选择环境友好型产品。</w:t>
      </w:r>
    </w:p>
    <w:p w14:paraId="0359F1C6">
      <w:pPr>
        <w:pStyle w:val="19"/>
        <w:keepNext w:val="0"/>
        <w:keepLines w:val="0"/>
        <w:pageBreakBefore w:val="0"/>
        <w:widowControl/>
        <w:numPr>
          <w:ilvl w:val="0"/>
          <w:numId w:val="29"/>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质量控制指标与要求：</w:t>
      </w:r>
      <w:r>
        <w:rPr>
          <w:rFonts w:hint="eastAsia" w:ascii="宋体" w:hAnsi="宋体" w:eastAsia="宋体" w:cs="宋体"/>
          <w:b w:val="0"/>
          <w:bCs w:val="0"/>
          <w:i w:val="0"/>
          <w:caps w:val="0"/>
          <w:color w:val="auto"/>
          <w:spacing w:val="0"/>
          <w:sz w:val="21"/>
          <w:szCs w:val="21"/>
          <w:highlight w:val="none"/>
          <w:shd w:val="clear" w:fill="FFFFFF"/>
        </w:rPr>
        <w:t>供应商的服务必须确保系统水质达到以下标准：</w:t>
      </w:r>
    </w:p>
    <w:p w14:paraId="2FD52DBB">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水质控制限值：</w:t>
      </w:r>
      <w:r>
        <w:rPr>
          <w:rFonts w:hint="eastAsia" w:ascii="宋体" w:hAnsi="宋体" w:eastAsia="宋体" w:cs="宋体"/>
          <w:b w:val="0"/>
          <w:bCs w:val="0"/>
          <w:i w:val="0"/>
          <w:caps w:val="0"/>
          <w:color w:val="auto"/>
          <w:spacing w:val="0"/>
          <w:sz w:val="21"/>
          <w:szCs w:val="21"/>
          <w:highlight w:val="none"/>
          <w:shd w:val="clear" w:fill="FFFFFF"/>
        </w:rPr>
        <w:t>满足下表要求（依据GB/T 29044, GB 50050等制定）</w:t>
      </w:r>
    </w:p>
    <w:p w14:paraId="36AA8F1F">
      <w:pPr>
        <w:pStyle w:val="19"/>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表</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3</w:t>
      </w:r>
      <w:r>
        <w:rPr>
          <w:rStyle w:val="25"/>
          <w:rFonts w:hint="eastAsia" w:ascii="宋体" w:hAnsi="宋体" w:eastAsia="宋体" w:cs="宋体"/>
          <w:b w:val="0"/>
          <w:bCs w:val="0"/>
          <w:i w:val="0"/>
          <w:caps w:val="0"/>
          <w:color w:val="auto"/>
          <w:spacing w:val="0"/>
          <w:sz w:val="21"/>
          <w:szCs w:val="21"/>
          <w:highlight w:val="none"/>
          <w:shd w:val="clear" w:fill="FFFFFF"/>
        </w:rPr>
        <w:t>：</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年度</w:t>
      </w:r>
      <w:r>
        <w:rPr>
          <w:rStyle w:val="25"/>
          <w:rFonts w:hint="eastAsia" w:ascii="宋体" w:hAnsi="宋体" w:eastAsia="宋体" w:cs="宋体"/>
          <w:b w:val="0"/>
          <w:bCs w:val="0"/>
          <w:i w:val="0"/>
          <w:caps w:val="0"/>
          <w:color w:val="auto"/>
          <w:spacing w:val="0"/>
          <w:sz w:val="21"/>
          <w:szCs w:val="21"/>
          <w:highlight w:val="none"/>
          <w:shd w:val="clear" w:fill="FFFFFF"/>
        </w:rPr>
        <w:t>水质测试项目</w:t>
      </w:r>
      <w:r>
        <w:rPr>
          <w:rStyle w:val="25"/>
          <w:rFonts w:hint="eastAsia" w:ascii="宋体" w:hAnsi="宋体" w:eastAsia="宋体" w:cs="宋体"/>
          <w:b w:val="0"/>
          <w:bCs w:val="0"/>
          <w:i w:val="0"/>
          <w:caps w:val="0"/>
          <w:color w:val="auto"/>
          <w:spacing w:val="0"/>
          <w:sz w:val="21"/>
          <w:szCs w:val="21"/>
          <w:highlight w:val="none"/>
          <w:shd w:val="clear" w:fill="FFFFFF"/>
          <w:lang w:val="en-US" w:eastAsia="zh-CN"/>
        </w:rPr>
        <w:t>指标</w:t>
      </w:r>
      <w:r>
        <w:rPr>
          <w:rStyle w:val="25"/>
          <w:rFonts w:hint="eastAsia" w:ascii="宋体" w:hAnsi="宋体" w:eastAsia="宋体" w:cs="宋体"/>
          <w:b w:val="0"/>
          <w:bCs w:val="0"/>
          <w:i w:val="0"/>
          <w:caps w:val="0"/>
          <w:color w:val="auto"/>
          <w:spacing w:val="0"/>
          <w:sz w:val="21"/>
          <w:szCs w:val="21"/>
          <w:highlight w:val="none"/>
          <w:shd w:val="clear" w:fill="FFFFFF"/>
        </w:rPr>
        <w:t>及频次要求</w:t>
      </w:r>
    </w:p>
    <w:tbl>
      <w:tblPr>
        <w:tblStyle w:val="23"/>
        <w:tblW w:w="7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51"/>
        <w:gridCol w:w="1284"/>
        <w:gridCol w:w="920"/>
        <w:gridCol w:w="1666"/>
        <w:gridCol w:w="1232"/>
        <w:gridCol w:w="907"/>
      </w:tblGrid>
      <w:tr w14:paraId="61CE9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1751" w:type="dxa"/>
            <w:shd w:val="clear" w:color="auto" w:fill="auto"/>
            <w:vAlign w:val="center"/>
          </w:tcPr>
          <w:p w14:paraId="4570AAD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冷却水分析项目</w:t>
            </w:r>
          </w:p>
        </w:tc>
        <w:tc>
          <w:tcPr>
            <w:tcW w:w="1284" w:type="dxa"/>
            <w:shd w:val="clear" w:color="auto" w:fill="auto"/>
            <w:vAlign w:val="center"/>
          </w:tcPr>
          <w:p w14:paraId="4966926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920" w:type="dxa"/>
            <w:shd w:val="clear" w:color="auto" w:fill="auto"/>
            <w:vAlign w:val="center"/>
          </w:tcPr>
          <w:p w14:paraId="7BE5C1D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c>
          <w:tcPr>
            <w:tcW w:w="1666" w:type="dxa"/>
            <w:shd w:val="clear" w:color="auto" w:fill="auto"/>
            <w:vAlign w:val="center"/>
          </w:tcPr>
          <w:p w14:paraId="00EA32C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冷冻水分析项目</w:t>
            </w:r>
          </w:p>
        </w:tc>
        <w:tc>
          <w:tcPr>
            <w:tcW w:w="1232" w:type="dxa"/>
            <w:shd w:val="clear" w:color="auto" w:fill="auto"/>
            <w:vAlign w:val="center"/>
          </w:tcPr>
          <w:p w14:paraId="281CDB3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控制指标</w:t>
            </w:r>
          </w:p>
        </w:tc>
        <w:tc>
          <w:tcPr>
            <w:tcW w:w="907" w:type="dxa"/>
            <w:shd w:val="clear" w:color="auto" w:fill="auto"/>
            <w:vAlign w:val="center"/>
          </w:tcPr>
          <w:p w14:paraId="50E76FD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频次</w:t>
            </w:r>
          </w:p>
        </w:tc>
      </w:tr>
      <w:tr w14:paraId="687E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1E1A77B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pH值 (25℃)</w:t>
            </w:r>
          </w:p>
        </w:tc>
        <w:tc>
          <w:tcPr>
            <w:tcW w:w="1284" w:type="dxa"/>
            <w:shd w:val="clear" w:color="auto" w:fill="auto"/>
            <w:vAlign w:val="center"/>
          </w:tcPr>
          <w:p w14:paraId="23F8F01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7.5 - 9.5</w:t>
            </w:r>
          </w:p>
        </w:tc>
        <w:tc>
          <w:tcPr>
            <w:tcW w:w="920" w:type="dxa"/>
            <w:shd w:val="clear" w:color="auto" w:fill="auto"/>
            <w:vAlign w:val="center"/>
          </w:tcPr>
          <w:p w14:paraId="1466BE1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0B8F147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pH值 (25℃)</w:t>
            </w:r>
          </w:p>
        </w:tc>
        <w:tc>
          <w:tcPr>
            <w:tcW w:w="1232" w:type="dxa"/>
            <w:shd w:val="clear" w:color="auto" w:fill="auto"/>
            <w:vAlign w:val="center"/>
          </w:tcPr>
          <w:p w14:paraId="1307155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7.5 - 10.0</w:t>
            </w:r>
          </w:p>
        </w:tc>
        <w:tc>
          <w:tcPr>
            <w:tcW w:w="907" w:type="dxa"/>
            <w:shd w:val="clear" w:color="auto" w:fill="auto"/>
            <w:vAlign w:val="center"/>
          </w:tcPr>
          <w:p w14:paraId="6258132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12C7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59F850D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浊度</w:t>
            </w:r>
          </w:p>
        </w:tc>
        <w:tc>
          <w:tcPr>
            <w:tcW w:w="1284" w:type="dxa"/>
            <w:shd w:val="clear" w:color="auto" w:fill="auto"/>
            <w:vAlign w:val="center"/>
          </w:tcPr>
          <w:p w14:paraId="3A895562">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20 NTU</w:t>
            </w:r>
          </w:p>
        </w:tc>
        <w:tc>
          <w:tcPr>
            <w:tcW w:w="920" w:type="dxa"/>
            <w:shd w:val="clear" w:color="auto" w:fill="auto"/>
            <w:vAlign w:val="center"/>
          </w:tcPr>
          <w:p w14:paraId="1B63790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4CFB8F8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浊度</w:t>
            </w:r>
          </w:p>
        </w:tc>
        <w:tc>
          <w:tcPr>
            <w:tcW w:w="1232" w:type="dxa"/>
            <w:shd w:val="clear" w:color="auto" w:fill="auto"/>
            <w:vAlign w:val="center"/>
          </w:tcPr>
          <w:p w14:paraId="7161E8D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NTU</w:t>
            </w:r>
          </w:p>
        </w:tc>
        <w:tc>
          <w:tcPr>
            <w:tcW w:w="907" w:type="dxa"/>
            <w:shd w:val="clear" w:color="auto" w:fill="auto"/>
            <w:vAlign w:val="center"/>
          </w:tcPr>
          <w:p w14:paraId="5829FFFA">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72E9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425CE01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电导率</w:t>
            </w:r>
          </w:p>
        </w:tc>
        <w:tc>
          <w:tcPr>
            <w:tcW w:w="1284" w:type="dxa"/>
            <w:shd w:val="clear" w:color="auto" w:fill="auto"/>
            <w:vAlign w:val="center"/>
          </w:tcPr>
          <w:p w14:paraId="6677B73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2300 μS/cm</w:t>
            </w:r>
          </w:p>
        </w:tc>
        <w:tc>
          <w:tcPr>
            <w:tcW w:w="920" w:type="dxa"/>
            <w:shd w:val="clear" w:color="auto" w:fill="auto"/>
            <w:vAlign w:val="center"/>
          </w:tcPr>
          <w:p w14:paraId="6591CAA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01D6883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电导率</w:t>
            </w:r>
          </w:p>
        </w:tc>
        <w:tc>
          <w:tcPr>
            <w:tcW w:w="1232" w:type="dxa"/>
            <w:shd w:val="clear" w:color="auto" w:fill="auto"/>
            <w:vAlign w:val="center"/>
          </w:tcPr>
          <w:p w14:paraId="0AD9415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2000 μS/cm</w:t>
            </w:r>
          </w:p>
        </w:tc>
        <w:tc>
          <w:tcPr>
            <w:tcW w:w="907" w:type="dxa"/>
            <w:shd w:val="clear" w:color="auto" w:fill="auto"/>
            <w:vAlign w:val="center"/>
          </w:tcPr>
          <w:p w14:paraId="1E3106A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1860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322BCA2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总碱度 (以CaCO3计)</w:t>
            </w:r>
          </w:p>
        </w:tc>
        <w:tc>
          <w:tcPr>
            <w:tcW w:w="1284" w:type="dxa"/>
            <w:shd w:val="clear" w:color="auto" w:fill="auto"/>
            <w:vAlign w:val="center"/>
          </w:tcPr>
          <w:p w14:paraId="4638804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600 mg/L</w:t>
            </w:r>
          </w:p>
        </w:tc>
        <w:tc>
          <w:tcPr>
            <w:tcW w:w="920" w:type="dxa"/>
            <w:shd w:val="clear" w:color="auto" w:fill="auto"/>
            <w:vAlign w:val="center"/>
          </w:tcPr>
          <w:p w14:paraId="5706645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4586AA1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Cl-</w:t>
            </w:r>
          </w:p>
        </w:tc>
        <w:tc>
          <w:tcPr>
            <w:tcW w:w="1232" w:type="dxa"/>
            <w:shd w:val="clear" w:color="auto" w:fill="auto"/>
            <w:vAlign w:val="center"/>
          </w:tcPr>
          <w:p w14:paraId="182ECE0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250 mg/L</w:t>
            </w:r>
          </w:p>
        </w:tc>
        <w:tc>
          <w:tcPr>
            <w:tcW w:w="907" w:type="dxa"/>
            <w:shd w:val="clear" w:color="auto" w:fill="auto"/>
            <w:vAlign w:val="center"/>
          </w:tcPr>
          <w:p w14:paraId="1743280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56408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3A87EE7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钙硬度(以CaCO3计)</w:t>
            </w:r>
          </w:p>
        </w:tc>
        <w:tc>
          <w:tcPr>
            <w:tcW w:w="1284" w:type="dxa"/>
            <w:shd w:val="clear" w:color="auto" w:fill="auto"/>
            <w:vAlign w:val="center"/>
          </w:tcPr>
          <w:p w14:paraId="29B6AE0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w:t>
            </w:r>
          </w:p>
        </w:tc>
        <w:tc>
          <w:tcPr>
            <w:tcW w:w="920" w:type="dxa"/>
            <w:shd w:val="clear" w:color="auto" w:fill="auto"/>
            <w:vAlign w:val="center"/>
          </w:tcPr>
          <w:p w14:paraId="680B613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w:t>
            </w:r>
          </w:p>
        </w:tc>
        <w:tc>
          <w:tcPr>
            <w:tcW w:w="1666" w:type="dxa"/>
            <w:shd w:val="clear" w:color="auto" w:fill="auto"/>
            <w:vAlign w:val="center"/>
          </w:tcPr>
          <w:p w14:paraId="0BA47AC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总铁</w:t>
            </w:r>
          </w:p>
        </w:tc>
        <w:tc>
          <w:tcPr>
            <w:tcW w:w="1232" w:type="dxa"/>
            <w:shd w:val="clear" w:color="auto" w:fill="auto"/>
            <w:vAlign w:val="center"/>
          </w:tcPr>
          <w:p w14:paraId="7092329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907" w:type="dxa"/>
            <w:shd w:val="clear" w:color="auto" w:fill="auto"/>
            <w:vAlign w:val="center"/>
          </w:tcPr>
          <w:p w14:paraId="30715A7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3726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4F0846FB">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总碱度+钙硬度(以CaCO3计)</w:t>
            </w:r>
          </w:p>
        </w:tc>
        <w:tc>
          <w:tcPr>
            <w:tcW w:w="1284" w:type="dxa"/>
            <w:shd w:val="clear" w:color="auto" w:fill="auto"/>
            <w:vAlign w:val="center"/>
          </w:tcPr>
          <w:p w14:paraId="461BE9E6">
            <w:pPr>
              <w:keepNext w:val="0"/>
              <w:keepLines w:val="0"/>
              <w:suppressLineNumbers w:val="0"/>
              <w:spacing w:before="0" w:beforeAutospacing="0" w:after="0" w:afterAutospacing="0"/>
              <w:ind w:left="0" w:right="0"/>
              <w:jc w:val="center"/>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≤1100</w:t>
            </w:r>
          </w:p>
        </w:tc>
        <w:tc>
          <w:tcPr>
            <w:tcW w:w="920" w:type="dxa"/>
            <w:shd w:val="clear" w:color="auto" w:fill="auto"/>
            <w:vAlign w:val="center"/>
          </w:tcPr>
          <w:p w14:paraId="58876CA6">
            <w:pPr>
              <w:keepNext w:val="0"/>
              <w:keepLines w:val="0"/>
              <w:suppressLineNumbers w:val="0"/>
              <w:spacing w:before="0" w:beforeAutospacing="0" w:after="0" w:afterAutospacing="0"/>
              <w:ind w:left="0" w:right="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6A1E2532">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钙硬度 (以CaCO3计)</w:t>
            </w:r>
          </w:p>
        </w:tc>
        <w:tc>
          <w:tcPr>
            <w:tcW w:w="1232" w:type="dxa"/>
            <w:shd w:val="clear" w:color="auto" w:fill="auto"/>
            <w:vAlign w:val="center"/>
          </w:tcPr>
          <w:p w14:paraId="45050B16">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 300 mg/L</w:t>
            </w:r>
          </w:p>
        </w:tc>
        <w:tc>
          <w:tcPr>
            <w:tcW w:w="907" w:type="dxa"/>
            <w:shd w:val="clear" w:color="auto" w:fill="auto"/>
            <w:vAlign w:val="center"/>
          </w:tcPr>
          <w:p w14:paraId="48D21B53">
            <w:pPr>
              <w:keepNext w:val="0"/>
              <w:keepLines w:val="0"/>
              <w:suppressLineNumbers w:val="0"/>
              <w:spacing w:before="0" w:beforeAutospacing="0" w:after="0" w:afterAutospacing="0"/>
              <w:ind w:left="0" w:leftChars="0" w:right="0" w:rightChars="0"/>
              <w:jc w:val="cente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1次/年</w:t>
            </w:r>
          </w:p>
        </w:tc>
      </w:tr>
      <w:tr w14:paraId="3A6F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7C161C8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Cl-</w:t>
            </w:r>
          </w:p>
        </w:tc>
        <w:tc>
          <w:tcPr>
            <w:tcW w:w="1284" w:type="dxa"/>
            <w:shd w:val="clear" w:color="auto" w:fill="auto"/>
            <w:vAlign w:val="center"/>
          </w:tcPr>
          <w:p w14:paraId="2151C11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500 mg/L</w:t>
            </w:r>
          </w:p>
        </w:tc>
        <w:tc>
          <w:tcPr>
            <w:tcW w:w="920" w:type="dxa"/>
            <w:shd w:val="clear" w:color="auto" w:fill="auto"/>
            <w:vAlign w:val="center"/>
          </w:tcPr>
          <w:p w14:paraId="18A8B3B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63AB40DC">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总碱度 (以CaCO3计)</w:t>
            </w:r>
          </w:p>
        </w:tc>
        <w:tc>
          <w:tcPr>
            <w:tcW w:w="1232" w:type="dxa"/>
            <w:shd w:val="clear" w:color="auto" w:fill="auto"/>
            <w:vAlign w:val="center"/>
          </w:tcPr>
          <w:p w14:paraId="08A61D3C">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500 mg/L</w:t>
            </w:r>
          </w:p>
        </w:tc>
        <w:tc>
          <w:tcPr>
            <w:tcW w:w="907" w:type="dxa"/>
            <w:shd w:val="clear" w:color="auto" w:fill="auto"/>
            <w:vAlign w:val="center"/>
          </w:tcPr>
          <w:p w14:paraId="53BECF96">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016B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321E111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总铁</w:t>
            </w:r>
          </w:p>
        </w:tc>
        <w:tc>
          <w:tcPr>
            <w:tcW w:w="1284" w:type="dxa"/>
            <w:shd w:val="clear" w:color="auto" w:fill="auto"/>
            <w:vAlign w:val="center"/>
          </w:tcPr>
          <w:p w14:paraId="2E2B716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920" w:type="dxa"/>
            <w:shd w:val="clear" w:color="auto" w:fill="auto"/>
            <w:vAlign w:val="center"/>
          </w:tcPr>
          <w:p w14:paraId="637B356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4649A347">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溶解氧</w:t>
            </w:r>
          </w:p>
        </w:tc>
        <w:tc>
          <w:tcPr>
            <w:tcW w:w="1232" w:type="dxa"/>
            <w:shd w:val="clear" w:color="auto" w:fill="auto"/>
            <w:vAlign w:val="center"/>
          </w:tcPr>
          <w:p w14:paraId="4EB78F24">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0.1 mg/L</w:t>
            </w:r>
          </w:p>
        </w:tc>
        <w:tc>
          <w:tcPr>
            <w:tcW w:w="907" w:type="dxa"/>
            <w:shd w:val="clear" w:color="auto" w:fill="auto"/>
            <w:vAlign w:val="center"/>
          </w:tcPr>
          <w:p w14:paraId="7599792D">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0603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3BA68D7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NH3-Na</w:t>
            </w:r>
          </w:p>
        </w:tc>
        <w:tc>
          <w:tcPr>
            <w:tcW w:w="1284" w:type="dxa"/>
            <w:shd w:val="clear" w:color="auto" w:fill="auto"/>
            <w:vAlign w:val="center"/>
          </w:tcPr>
          <w:p w14:paraId="4EA4191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 mg/L</w:t>
            </w:r>
          </w:p>
        </w:tc>
        <w:tc>
          <w:tcPr>
            <w:tcW w:w="920" w:type="dxa"/>
            <w:shd w:val="clear" w:color="auto" w:fill="auto"/>
            <w:vAlign w:val="center"/>
          </w:tcPr>
          <w:p w14:paraId="12535D8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5C894E25">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有机磷 (以P计)</w:t>
            </w:r>
          </w:p>
        </w:tc>
        <w:tc>
          <w:tcPr>
            <w:tcW w:w="1232" w:type="dxa"/>
            <w:shd w:val="clear" w:color="auto" w:fill="auto"/>
            <w:vAlign w:val="center"/>
          </w:tcPr>
          <w:p w14:paraId="6BBCA9F0">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0.5 mg/L</w:t>
            </w:r>
          </w:p>
        </w:tc>
        <w:tc>
          <w:tcPr>
            <w:tcW w:w="907" w:type="dxa"/>
            <w:shd w:val="clear" w:color="auto" w:fill="auto"/>
            <w:vAlign w:val="center"/>
          </w:tcPr>
          <w:p w14:paraId="38937F46">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r>
      <w:tr w14:paraId="3AD8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1751" w:type="dxa"/>
            <w:shd w:val="clear" w:color="auto" w:fill="auto"/>
            <w:vAlign w:val="center"/>
          </w:tcPr>
          <w:p w14:paraId="0B81294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游离氯</w:t>
            </w:r>
          </w:p>
        </w:tc>
        <w:tc>
          <w:tcPr>
            <w:tcW w:w="1284" w:type="dxa"/>
            <w:shd w:val="clear" w:color="auto" w:fill="auto"/>
            <w:vAlign w:val="center"/>
          </w:tcPr>
          <w:p w14:paraId="01C39AF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0.05-1.0 10 mg/L（循环水总管处）</w:t>
            </w:r>
          </w:p>
        </w:tc>
        <w:tc>
          <w:tcPr>
            <w:tcW w:w="920" w:type="dxa"/>
            <w:shd w:val="clear" w:color="auto" w:fill="auto"/>
            <w:vAlign w:val="center"/>
          </w:tcPr>
          <w:p w14:paraId="6140546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495EAB5A">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p>
        </w:tc>
        <w:tc>
          <w:tcPr>
            <w:tcW w:w="1232" w:type="dxa"/>
            <w:shd w:val="clear" w:color="auto" w:fill="auto"/>
            <w:vAlign w:val="center"/>
          </w:tcPr>
          <w:p w14:paraId="5ACC5508">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p>
        </w:tc>
        <w:tc>
          <w:tcPr>
            <w:tcW w:w="907" w:type="dxa"/>
            <w:shd w:val="clear" w:color="auto" w:fill="auto"/>
            <w:vAlign w:val="center"/>
          </w:tcPr>
          <w:p w14:paraId="6ED44BED">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p>
        </w:tc>
      </w:tr>
      <w:tr w14:paraId="79A24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1751" w:type="dxa"/>
            <w:shd w:val="clear" w:color="auto" w:fill="auto"/>
            <w:vAlign w:val="center"/>
          </w:tcPr>
          <w:p w14:paraId="21F65FE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CODcr</w:t>
            </w:r>
          </w:p>
        </w:tc>
        <w:tc>
          <w:tcPr>
            <w:tcW w:w="1284" w:type="dxa"/>
            <w:shd w:val="clear" w:color="auto" w:fill="auto"/>
            <w:vAlign w:val="center"/>
          </w:tcPr>
          <w:p w14:paraId="52EFC01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100 mg/L</w:t>
            </w:r>
          </w:p>
        </w:tc>
        <w:tc>
          <w:tcPr>
            <w:tcW w:w="920" w:type="dxa"/>
            <w:shd w:val="clear" w:color="auto" w:fill="auto"/>
            <w:vAlign w:val="center"/>
          </w:tcPr>
          <w:p w14:paraId="51E5941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3C24E181">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p>
        </w:tc>
        <w:tc>
          <w:tcPr>
            <w:tcW w:w="1232" w:type="dxa"/>
            <w:shd w:val="clear" w:color="auto" w:fill="auto"/>
            <w:vAlign w:val="center"/>
          </w:tcPr>
          <w:p w14:paraId="117B5EFB">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p>
        </w:tc>
        <w:tc>
          <w:tcPr>
            <w:tcW w:w="907" w:type="dxa"/>
            <w:shd w:val="clear" w:color="auto" w:fill="auto"/>
            <w:vAlign w:val="center"/>
          </w:tcPr>
          <w:p w14:paraId="742F917A">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Cs w:val="21"/>
                <w:highlight w:val="none"/>
              </w:rPr>
            </w:pPr>
          </w:p>
        </w:tc>
      </w:tr>
      <w:tr w14:paraId="4C1F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blHeader/>
          <w:jc w:val="center"/>
        </w:trPr>
        <w:tc>
          <w:tcPr>
            <w:tcW w:w="1751" w:type="dxa"/>
            <w:shd w:val="clear" w:color="auto" w:fill="auto"/>
            <w:vAlign w:val="center"/>
          </w:tcPr>
          <w:p w14:paraId="7490906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异养菌总数</w:t>
            </w:r>
          </w:p>
        </w:tc>
        <w:tc>
          <w:tcPr>
            <w:tcW w:w="1284" w:type="dxa"/>
            <w:shd w:val="clear" w:color="auto" w:fill="auto"/>
            <w:vAlign w:val="center"/>
          </w:tcPr>
          <w:p w14:paraId="0FE4CE0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1×10⁵ 个/mL</w:t>
            </w:r>
          </w:p>
        </w:tc>
        <w:tc>
          <w:tcPr>
            <w:tcW w:w="920" w:type="dxa"/>
            <w:shd w:val="clear" w:color="auto" w:fill="auto"/>
            <w:vAlign w:val="center"/>
          </w:tcPr>
          <w:p w14:paraId="60EB6D4D">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64E85F8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32" w:type="dxa"/>
            <w:shd w:val="clear" w:color="auto" w:fill="auto"/>
            <w:vAlign w:val="center"/>
          </w:tcPr>
          <w:p w14:paraId="3600E807">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907" w:type="dxa"/>
            <w:shd w:val="clear" w:color="auto" w:fill="auto"/>
            <w:vAlign w:val="center"/>
          </w:tcPr>
          <w:p w14:paraId="41ECA82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5D88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477EA39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有机磷 (以P计)</w:t>
            </w:r>
          </w:p>
        </w:tc>
        <w:tc>
          <w:tcPr>
            <w:tcW w:w="1284" w:type="dxa"/>
            <w:shd w:val="clear" w:color="auto" w:fill="auto"/>
            <w:vAlign w:val="center"/>
          </w:tcPr>
          <w:p w14:paraId="3FA29BD3">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 0.5 mg/L</w:t>
            </w:r>
          </w:p>
        </w:tc>
        <w:tc>
          <w:tcPr>
            <w:tcW w:w="920" w:type="dxa"/>
            <w:shd w:val="clear" w:color="auto" w:fill="auto"/>
            <w:vAlign w:val="center"/>
          </w:tcPr>
          <w:p w14:paraId="3E04C92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787FF58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32" w:type="dxa"/>
            <w:shd w:val="clear" w:color="auto" w:fill="auto"/>
            <w:vAlign w:val="center"/>
          </w:tcPr>
          <w:p w14:paraId="734D0EFE">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907" w:type="dxa"/>
            <w:shd w:val="clear" w:color="auto" w:fill="auto"/>
            <w:vAlign w:val="center"/>
          </w:tcPr>
          <w:p w14:paraId="16EF652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7D6A8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73F2BF7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浓缩倍数</w:t>
            </w:r>
          </w:p>
        </w:tc>
        <w:tc>
          <w:tcPr>
            <w:tcW w:w="1284" w:type="dxa"/>
            <w:shd w:val="clear" w:color="auto" w:fill="auto"/>
            <w:vAlign w:val="center"/>
          </w:tcPr>
          <w:p w14:paraId="296F0B2C">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3.0 - 5.0</w:t>
            </w:r>
          </w:p>
        </w:tc>
        <w:tc>
          <w:tcPr>
            <w:tcW w:w="920" w:type="dxa"/>
            <w:shd w:val="clear" w:color="auto" w:fill="auto"/>
            <w:vAlign w:val="center"/>
          </w:tcPr>
          <w:p w14:paraId="2EFDD38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733D0086">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32" w:type="dxa"/>
            <w:shd w:val="clear" w:color="auto" w:fill="auto"/>
            <w:vAlign w:val="center"/>
          </w:tcPr>
          <w:p w14:paraId="238D76C4">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907" w:type="dxa"/>
            <w:shd w:val="clear" w:color="auto" w:fill="auto"/>
            <w:vAlign w:val="center"/>
          </w:tcPr>
          <w:p w14:paraId="60307FA5">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r w14:paraId="547E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jc w:val="center"/>
        </w:trPr>
        <w:tc>
          <w:tcPr>
            <w:tcW w:w="1751" w:type="dxa"/>
            <w:shd w:val="clear" w:color="auto" w:fill="auto"/>
            <w:vAlign w:val="center"/>
          </w:tcPr>
          <w:p w14:paraId="0D1CF32B">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军团菌</w:t>
            </w:r>
          </w:p>
        </w:tc>
        <w:tc>
          <w:tcPr>
            <w:tcW w:w="1284" w:type="dxa"/>
            <w:shd w:val="clear" w:color="auto" w:fill="auto"/>
            <w:vAlign w:val="center"/>
          </w:tcPr>
          <w:p w14:paraId="75041DA9">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不得检出</w:t>
            </w:r>
          </w:p>
        </w:tc>
        <w:tc>
          <w:tcPr>
            <w:tcW w:w="920" w:type="dxa"/>
            <w:shd w:val="clear" w:color="auto" w:fill="auto"/>
            <w:vAlign w:val="center"/>
          </w:tcPr>
          <w:p w14:paraId="6F89F120">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r>
              <w:rPr>
                <w:rFonts w:hint="eastAsia" w:ascii="宋体" w:hAnsi="宋体" w:eastAsia="宋体" w:cs="宋体"/>
                <w:b w:val="0"/>
                <w:bCs w:val="0"/>
                <w:color w:val="auto"/>
                <w:sz w:val="21"/>
                <w:szCs w:val="21"/>
                <w:highlight w:val="none"/>
                <w:lang w:val="en-US" w:eastAsia="zh-CN"/>
              </w:rPr>
              <w:t>1次/年</w:t>
            </w:r>
          </w:p>
        </w:tc>
        <w:tc>
          <w:tcPr>
            <w:tcW w:w="1666" w:type="dxa"/>
            <w:shd w:val="clear" w:color="auto" w:fill="auto"/>
            <w:vAlign w:val="center"/>
          </w:tcPr>
          <w:p w14:paraId="5E30501F">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1232" w:type="dxa"/>
            <w:shd w:val="clear" w:color="auto" w:fill="auto"/>
            <w:vAlign w:val="center"/>
          </w:tcPr>
          <w:p w14:paraId="10770A71">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c>
          <w:tcPr>
            <w:tcW w:w="907" w:type="dxa"/>
            <w:shd w:val="clear" w:color="auto" w:fill="auto"/>
            <w:vAlign w:val="center"/>
          </w:tcPr>
          <w:p w14:paraId="04334568">
            <w:pPr>
              <w:keepNext w:val="0"/>
              <w:keepLines w:val="0"/>
              <w:suppressLineNumbers w:val="0"/>
              <w:spacing w:before="0" w:beforeAutospacing="0" w:after="0" w:afterAutospacing="0"/>
              <w:ind w:left="0" w:right="0"/>
              <w:jc w:val="center"/>
              <w:rPr>
                <w:rFonts w:hint="eastAsia" w:ascii="宋体" w:hAnsi="宋体" w:eastAsia="宋体" w:cs="宋体"/>
                <w:color w:val="auto"/>
                <w:szCs w:val="21"/>
                <w:highlight w:val="none"/>
              </w:rPr>
            </w:pPr>
          </w:p>
        </w:tc>
      </w:tr>
    </w:tbl>
    <w:p w14:paraId="38CA0CF7">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军团菌控制：</w:t>
      </w:r>
    </w:p>
    <w:p w14:paraId="738755FE">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年度第三方检测报告中，</w:t>
      </w:r>
      <w:r>
        <w:rPr>
          <w:rStyle w:val="25"/>
          <w:rFonts w:hint="eastAsia" w:ascii="宋体" w:hAnsi="宋体" w:eastAsia="宋体" w:cs="宋体"/>
          <w:b w:val="0"/>
          <w:bCs w:val="0"/>
          <w:i w:val="0"/>
          <w:caps w:val="0"/>
          <w:color w:val="auto"/>
          <w:spacing w:val="0"/>
          <w:sz w:val="21"/>
          <w:szCs w:val="21"/>
          <w:highlight w:val="none"/>
          <w:shd w:val="clear" w:fill="FFFFFF"/>
        </w:rPr>
        <w:t>冷冻水和冷却水的军团菌指标必须均为“未检出”</w:t>
      </w:r>
      <w:r>
        <w:rPr>
          <w:rFonts w:hint="eastAsia" w:ascii="宋体" w:hAnsi="宋体" w:eastAsia="宋体" w:cs="宋体"/>
          <w:b w:val="0"/>
          <w:bCs w:val="0"/>
          <w:i w:val="0"/>
          <w:caps w:val="0"/>
          <w:color w:val="auto"/>
          <w:spacing w:val="0"/>
          <w:sz w:val="21"/>
          <w:szCs w:val="21"/>
          <w:highlight w:val="none"/>
          <w:shd w:val="clear" w:fill="FFFFFF"/>
        </w:rPr>
        <w:t>。若在任何检测（包括甲方委托或政府抽查）中发现军团菌阳性，供应商必须在接到通知后立即启动应急处理预案（需在投标文件中提供预案），并在</w:t>
      </w:r>
      <w:r>
        <w:rPr>
          <w:rStyle w:val="25"/>
          <w:rFonts w:hint="eastAsia" w:ascii="宋体" w:hAnsi="宋体" w:eastAsia="宋体" w:cs="宋体"/>
          <w:b w:val="0"/>
          <w:bCs w:val="0"/>
          <w:i w:val="0"/>
          <w:caps w:val="0"/>
          <w:color w:val="auto"/>
          <w:spacing w:val="0"/>
          <w:sz w:val="21"/>
          <w:szCs w:val="21"/>
          <w:highlight w:val="none"/>
          <w:shd w:val="clear" w:fill="FFFFFF"/>
        </w:rPr>
        <w:t>48小时内</w:t>
      </w:r>
      <w:r>
        <w:rPr>
          <w:rFonts w:hint="eastAsia" w:ascii="宋体" w:hAnsi="宋体" w:eastAsia="宋体" w:cs="宋体"/>
          <w:b w:val="0"/>
          <w:bCs w:val="0"/>
          <w:i w:val="0"/>
          <w:caps w:val="0"/>
          <w:color w:val="auto"/>
          <w:spacing w:val="0"/>
          <w:sz w:val="21"/>
          <w:szCs w:val="21"/>
          <w:highlight w:val="none"/>
          <w:shd w:val="clear" w:fill="FFFFFF"/>
        </w:rPr>
        <w:t>进行强化处理直至复检合格，相关费用由供应商承担。</w:t>
      </w:r>
    </w:p>
    <w:p w14:paraId="67AADDD5">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设备状况：</w:t>
      </w:r>
    </w:p>
    <w:p w14:paraId="2AEB6E3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冷凝器/蒸发器小温差：</w:t>
      </w:r>
      <w:r>
        <w:rPr>
          <w:rFonts w:hint="eastAsia" w:ascii="宋体" w:hAnsi="宋体" w:eastAsia="宋体" w:cs="宋体"/>
          <w:b w:val="0"/>
          <w:bCs w:val="0"/>
          <w:i w:val="0"/>
          <w:caps w:val="0"/>
          <w:color w:val="auto"/>
          <w:spacing w:val="0"/>
          <w:sz w:val="21"/>
          <w:szCs w:val="21"/>
          <w:highlight w:val="none"/>
          <w:shd w:val="clear" w:fill="FFFFFF"/>
        </w:rPr>
        <w:t>制冷主机经水处理后，合同期内冷凝器小温差（制冷剂冷凝温度与冷却水出水温度之差）升幅不超过1℃，且小温差不能超过3.0℃。若小温差超过3.0℃，经甲方确认确因结垢导致，供应商需</w:t>
      </w:r>
      <w:r>
        <w:rPr>
          <w:rStyle w:val="25"/>
          <w:rFonts w:hint="eastAsia" w:ascii="宋体" w:hAnsi="宋体" w:eastAsia="宋体" w:cs="宋体"/>
          <w:b w:val="0"/>
          <w:bCs w:val="0"/>
          <w:i w:val="0"/>
          <w:caps w:val="0"/>
          <w:color w:val="auto"/>
          <w:spacing w:val="0"/>
          <w:sz w:val="21"/>
          <w:szCs w:val="21"/>
          <w:highlight w:val="none"/>
          <w:shd w:val="clear" w:fill="FFFFFF"/>
        </w:rPr>
        <w:t>免费进行通炮清洗</w:t>
      </w:r>
      <w:r>
        <w:rPr>
          <w:rFonts w:hint="eastAsia" w:ascii="宋体" w:hAnsi="宋体" w:eastAsia="宋体" w:cs="宋体"/>
          <w:b w:val="0"/>
          <w:bCs w:val="0"/>
          <w:i w:val="0"/>
          <w:caps w:val="0"/>
          <w:color w:val="auto"/>
          <w:spacing w:val="0"/>
          <w:sz w:val="21"/>
          <w:szCs w:val="21"/>
          <w:highlight w:val="none"/>
          <w:shd w:val="clear" w:fill="FFFFFF"/>
        </w:rPr>
        <w:t>。</w:t>
      </w:r>
    </w:p>
    <w:p w14:paraId="6F9C387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冷却塔清洁度：</w:t>
      </w:r>
      <w:r>
        <w:rPr>
          <w:rFonts w:hint="eastAsia" w:ascii="宋体" w:hAnsi="宋体" w:eastAsia="宋体" w:cs="宋体"/>
          <w:b w:val="0"/>
          <w:bCs w:val="0"/>
          <w:i w:val="0"/>
          <w:caps w:val="0"/>
          <w:color w:val="auto"/>
          <w:spacing w:val="0"/>
          <w:sz w:val="21"/>
          <w:szCs w:val="21"/>
          <w:highlight w:val="none"/>
          <w:shd w:val="clear" w:fill="FFFFFF"/>
        </w:rPr>
        <w:t>冷却塔内（布水器、填料、集水盘）及填料表面</w:t>
      </w:r>
      <w:r>
        <w:rPr>
          <w:rStyle w:val="25"/>
          <w:rFonts w:hint="eastAsia" w:ascii="宋体" w:hAnsi="宋体" w:eastAsia="宋体" w:cs="宋体"/>
          <w:b w:val="0"/>
          <w:bCs w:val="0"/>
          <w:i w:val="0"/>
          <w:caps w:val="0"/>
          <w:color w:val="auto"/>
          <w:spacing w:val="0"/>
          <w:sz w:val="21"/>
          <w:szCs w:val="21"/>
          <w:highlight w:val="none"/>
          <w:shd w:val="clear" w:fill="FFFFFF"/>
        </w:rPr>
        <w:t>不能出现肉眼可见的明显青苔、藻类及污垢堆积</w:t>
      </w:r>
      <w:r>
        <w:rPr>
          <w:rFonts w:hint="eastAsia" w:ascii="宋体" w:hAnsi="宋体" w:eastAsia="宋体" w:cs="宋体"/>
          <w:b w:val="0"/>
          <w:bCs w:val="0"/>
          <w:i w:val="0"/>
          <w:caps w:val="0"/>
          <w:color w:val="auto"/>
          <w:spacing w:val="0"/>
          <w:sz w:val="21"/>
          <w:szCs w:val="21"/>
          <w:highlight w:val="none"/>
          <w:shd w:val="clear" w:fill="FFFFFF"/>
        </w:rPr>
        <w:t>。供应商应根据监测情况及时通过加药或建议清洗（年度清洗外）进行控制，相关费用已包含在年度服务费中。</w:t>
      </w:r>
    </w:p>
    <w:p w14:paraId="7BD43CE6">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冷却塔滤网：</w:t>
      </w:r>
      <w:r>
        <w:rPr>
          <w:rFonts w:hint="eastAsia" w:ascii="宋体" w:hAnsi="宋体" w:eastAsia="宋体" w:cs="宋体"/>
          <w:b w:val="0"/>
          <w:bCs w:val="0"/>
          <w:i w:val="0"/>
          <w:caps w:val="0"/>
          <w:color w:val="auto"/>
          <w:spacing w:val="0"/>
          <w:sz w:val="21"/>
          <w:szCs w:val="21"/>
          <w:highlight w:val="none"/>
          <w:shd w:val="clear" w:fill="FFFFFF"/>
        </w:rPr>
        <w:t>确保冷却塔滤网</w:t>
      </w:r>
      <w:r>
        <w:rPr>
          <w:rStyle w:val="25"/>
          <w:rFonts w:hint="eastAsia" w:ascii="宋体" w:hAnsi="宋体" w:eastAsia="宋体" w:cs="宋体"/>
          <w:b w:val="0"/>
          <w:bCs w:val="0"/>
          <w:i w:val="0"/>
          <w:caps w:val="0"/>
          <w:color w:val="auto"/>
          <w:spacing w:val="0"/>
          <w:sz w:val="21"/>
          <w:szCs w:val="21"/>
          <w:highlight w:val="none"/>
          <w:shd w:val="clear" w:fill="FFFFFF"/>
        </w:rPr>
        <w:t>通畅无堵塞</w:t>
      </w:r>
      <w:r>
        <w:rPr>
          <w:rFonts w:hint="eastAsia" w:ascii="宋体" w:hAnsi="宋体" w:eastAsia="宋体" w:cs="宋体"/>
          <w:b w:val="0"/>
          <w:bCs w:val="0"/>
          <w:i w:val="0"/>
          <w:caps w:val="0"/>
          <w:color w:val="auto"/>
          <w:spacing w:val="0"/>
          <w:sz w:val="21"/>
          <w:szCs w:val="21"/>
          <w:highlight w:val="none"/>
          <w:shd w:val="clear" w:fill="FFFFFF"/>
        </w:rPr>
        <w:t>。供应商应通过药物控制及必要时的人工清洗防止堵塞，若出现堵塞必须</w:t>
      </w:r>
      <w:r>
        <w:rPr>
          <w:rStyle w:val="25"/>
          <w:rFonts w:hint="eastAsia" w:ascii="宋体" w:hAnsi="宋体" w:eastAsia="宋体" w:cs="宋体"/>
          <w:b w:val="0"/>
          <w:bCs w:val="0"/>
          <w:i w:val="0"/>
          <w:caps w:val="0"/>
          <w:color w:val="auto"/>
          <w:spacing w:val="0"/>
          <w:sz w:val="21"/>
          <w:szCs w:val="21"/>
          <w:highlight w:val="none"/>
          <w:shd w:val="clear" w:fill="FFFFFF"/>
        </w:rPr>
        <w:t>立即响应并免费清洗</w:t>
      </w:r>
      <w:r>
        <w:rPr>
          <w:rFonts w:hint="eastAsia" w:ascii="宋体" w:hAnsi="宋体" w:eastAsia="宋体" w:cs="宋体"/>
          <w:b w:val="0"/>
          <w:bCs w:val="0"/>
          <w:i w:val="0"/>
          <w:caps w:val="0"/>
          <w:color w:val="auto"/>
          <w:spacing w:val="0"/>
          <w:sz w:val="21"/>
          <w:szCs w:val="21"/>
          <w:highlight w:val="none"/>
          <w:shd w:val="clear" w:fill="FFFFFF"/>
        </w:rPr>
        <w:t>。</w:t>
      </w:r>
    </w:p>
    <w:p w14:paraId="2373951C">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排放要求：</w:t>
      </w:r>
      <w:r>
        <w:rPr>
          <w:rFonts w:hint="eastAsia" w:ascii="宋体" w:hAnsi="宋体" w:eastAsia="宋体" w:cs="宋体"/>
          <w:b w:val="0"/>
          <w:bCs w:val="0"/>
          <w:i w:val="0"/>
          <w:caps w:val="0"/>
          <w:color w:val="auto"/>
          <w:spacing w:val="0"/>
          <w:sz w:val="21"/>
          <w:szCs w:val="21"/>
          <w:highlight w:val="none"/>
          <w:shd w:val="clear" w:fill="FFFFFF"/>
        </w:rPr>
        <w:t>冷却水系统的排污水质需满足《水污染物排放限值》DB44/26-2001（或项目所在地最新有效排放标准）的要求。供应商有责任确保其水处理方案及运行管理使排污水达标。若因供应商处理不当导致排放超标，供应商需承担处理至达标的费用及可能产生的罚款。</w:t>
      </w:r>
    </w:p>
    <w:p w14:paraId="6BC23A7C">
      <w:pPr>
        <w:pStyle w:val="19"/>
        <w:keepNext w:val="0"/>
        <w:keepLines w:val="0"/>
        <w:pageBreakBefore w:val="0"/>
        <w:widowControl/>
        <w:numPr>
          <w:ilvl w:val="0"/>
          <w:numId w:val="1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加药装置：</w:t>
      </w:r>
    </w:p>
    <w:p w14:paraId="320EAC8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甲方现场现有加药装置（A冷却：1套双桶100L/桶；B冷却：1套双桶100L/桶；冷冻水：2套单桶200L/桶）。</w:t>
      </w:r>
    </w:p>
    <w:p w14:paraId="68C2204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供应商应负责现有加药装置的</w:t>
      </w:r>
      <w:r>
        <w:rPr>
          <w:rStyle w:val="25"/>
          <w:rFonts w:hint="eastAsia" w:ascii="宋体" w:hAnsi="宋体" w:eastAsia="宋体" w:cs="宋体"/>
          <w:b w:val="0"/>
          <w:bCs w:val="0"/>
          <w:i w:val="0"/>
          <w:caps w:val="0"/>
          <w:color w:val="auto"/>
          <w:spacing w:val="0"/>
          <w:sz w:val="21"/>
          <w:szCs w:val="21"/>
          <w:highlight w:val="none"/>
          <w:shd w:val="clear" w:fill="FFFFFF"/>
        </w:rPr>
        <w:t>日常操作、维护保养</w:t>
      </w:r>
      <w:r>
        <w:rPr>
          <w:rFonts w:hint="eastAsia" w:ascii="宋体" w:hAnsi="宋体" w:eastAsia="宋体" w:cs="宋体"/>
          <w:b w:val="0"/>
          <w:bCs w:val="0"/>
          <w:i w:val="0"/>
          <w:caps w:val="0"/>
          <w:color w:val="auto"/>
          <w:spacing w:val="0"/>
          <w:sz w:val="21"/>
          <w:szCs w:val="21"/>
          <w:highlight w:val="none"/>
          <w:shd w:val="clear" w:fill="FFFFFF"/>
        </w:rPr>
        <w:t>，确保其正常运行。</w:t>
      </w:r>
    </w:p>
    <w:p w14:paraId="2205575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若供应商认为现有加药装置</w:t>
      </w:r>
      <w:r>
        <w:rPr>
          <w:rStyle w:val="25"/>
          <w:rFonts w:hint="eastAsia" w:ascii="宋体" w:hAnsi="宋体" w:eastAsia="宋体" w:cs="宋体"/>
          <w:b w:val="0"/>
          <w:bCs w:val="0"/>
          <w:i w:val="0"/>
          <w:caps w:val="0"/>
          <w:color w:val="auto"/>
          <w:spacing w:val="0"/>
          <w:sz w:val="21"/>
          <w:szCs w:val="21"/>
          <w:highlight w:val="none"/>
          <w:shd w:val="clear" w:fill="FFFFFF"/>
        </w:rPr>
        <w:t>无法满足有效加药需求</w:t>
      </w:r>
      <w:r>
        <w:rPr>
          <w:rFonts w:hint="eastAsia" w:ascii="宋体" w:hAnsi="宋体" w:eastAsia="宋体" w:cs="宋体"/>
          <w:b w:val="0"/>
          <w:bCs w:val="0"/>
          <w:i w:val="0"/>
          <w:caps w:val="0"/>
          <w:color w:val="auto"/>
          <w:spacing w:val="0"/>
          <w:sz w:val="21"/>
          <w:szCs w:val="21"/>
          <w:highlight w:val="none"/>
          <w:shd w:val="clear" w:fill="FFFFFF"/>
        </w:rPr>
        <w:t>，可在投标时提出改造方案（含详细说明和预算）。</w:t>
      </w:r>
      <w:r>
        <w:rPr>
          <w:rStyle w:val="25"/>
          <w:rFonts w:hint="eastAsia" w:ascii="宋体" w:hAnsi="宋体" w:eastAsia="宋体" w:cs="宋体"/>
          <w:b w:val="0"/>
          <w:bCs w:val="0"/>
          <w:i w:val="0"/>
          <w:caps w:val="0"/>
          <w:color w:val="auto"/>
          <w:spacing w:val="0"/>
          <w:sz w:val="21"/>
          <w:szCs w:val="21"/>
          <w:highlight w:val="none"/>
          <w:shd w:val="clear" w:fill="FFFFFF"/>
        </w:rPr>
        <w:t>任何改造必须事先获得甲方书面批准</w:t>
      </w:r>
      <w:r>
        <w:rPr>
          <w:rFonts w:hint="eastAsia" w:ascii="宋体" w:hAnsi="宋体" w:eastAsia="宋体" w:cs="宋体"/>
          <w:b w:val="0"/>
          <w:bCs w:val="0"/>
          <w:i w:val="0"/>
          <w:caps w:val="0"/>
          <w:color w:val="auto"/>
          <w:spacing w:val="0"/>
          <w:sz w:val="21"/>
          <w:szCs w:val="21"/>
          <w:highlight w:val="none"/>
          <w:shd w:val="clear" w:fill="FFFFFF"/>
        </w:rPr>
        <w:t>，改造费用是否包含在年度服务费中需在投标时明确说明。未经批准的改造费用由供应商自行承担。</w:t>
      </w:r>
    </w:p>
    <w:p w14:paraId="2D705BB5">
      <w:pPr>
        <w:pStyle w:val="11"/>
        <w:keepNext w:val="0"/>
        <w:keepLines w:val="0"/>
        <w:pageBreakBefore w:val="0"/>
        <w:numPr>
          <w:ilvl w:val="0"/>
          <w:numId w:val="27"/>
        </w:numPr>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工作要求</w:t>
      </w:r>
    </w:p>
    <w:p w14:paraId="265B3218">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现场服务记录：</w:t>
      </w:r>
      <w:r>
        <w:rPr>
          <w:rFonts w:hint="eastAsia" w:ascii="宋体" w:hAnsi="宋体" w:eastAsia="宋体" w:cs="宋体"/>
          <w:b w:val="0"/>
          <w:bCs w:val="0"/>
          <w:i w:val="0"/>
          <w:caps w:val="0"/>
          <w:color w:val="auto"/>
          <w:spacing w:val="0"/>
          <w:sz w:val="21"/>
          <w:szCs w:val="21"/>
          <w:highlight w:val="none"/>
          <w:shd w:val="clear" w:fill="FFFFFF"/>
        </w:rPr>
        <w:t>供应商每次进行现场服务（包括但不限于巡检、水质检测、加药、清洗、故障处理、培训）后，必须</w:t>
      </w:r>
      <w:r>
        <w:rPr>
          <w:rStyle w:val="25"/>
          <w:rFonts w:hint="eastAsia" w:ascii="宋体" w:hAnsi="宋体" w:eastAsia="宋体" w:cs="宋体"/>
          <w:b w:val="0"/>
          <w:bCs w:val="0"/>
          <w:i w:val="0"/>
          <w:caps w:val="0"/>
          <w:color w:val="auto"/>
          <w:spacing w:val="0"/>
          <w:sz w:val="21"/>
          <w:szCs w:val="21"/>
          <w:highlight w:val="none"/>
          <w:shd w:val="clear" w:fill="FFFFFF"/>
        </w:rPr>
        <w:t>当天</w:t>
      </w:r>
      <w:r>
        <w:rPr>
          <w:rFonts w:hint="eastAsia" w:ascii="宋体" w:hAnsi="宋体" w:eastAsia="宋体" w:cs="宋体"/>
          <w:b w:val="0"/>
          <w:bCs w:val="0"/>
          <w:i w:val="0"/>
          <w:caps w:val="0"/>
          <w:color w:val="auto"/>
          <w:spacing w:val="0"/>
          <w:sz w:val="21"/>
          <w:szCs w:val="21"/>
          <w:highlight w:val="none"/>
          <w:shd w:val="clear" w:fill="FFFFFF"/>
        </w:rPr>
        <w:t>向甲方指定的现场配合人员提交《水质处理服务作业单》。作业单应至少包含：作业名称、地点、起止时间、完成工作内容、添加药剂名称及重量（或浓度）、双方现场人员签字确认。作业单一式两份，甲乙双方各执一份。</w:t>
      </w:r>
    </w:p>
    <w:p w14:paraId="7C8709A3">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药剂管理与证明：</w:t>
      </w:r>
      <w:r>
        <w:rPr>
          <w:rFonts w:hint="eastAsia" w:ascii="宋体" w:hAnsi="宋体" w:eastAsia="宋体" w:cs="宋体"/>
          <w:b w:val="0"/>
          <w:bCs w:val="0"/>
          <w:i w:val="0"/>
          <w:caps w:val="0"/>
          <w:color w:val="auto"/>
          <w:spacing w:val="0"/>
          <w:sz w:val="21"/>
          <w:szCs w:val="21"/>
          <w:highlight w:val="none"/>
          <w:shd w:val="clear" w:fill="FFFFFF"/>
        </w:rPr>
        <w:t>所有现场使用的化学药剂，供应商必须按照HG/T 2762要求提供清晰的</w:t>
      </w:r>
      <w:r>
        <w:rPr>
          <w:rStyle w:val="25"/>
          <w:rFonts w:hint="eastAsia" w:ascii="宋体" w:hAnsi="宋体" w:eastAsia="宋体" w:cs="宋体"/>
          <w:b w:val="0"/>
          <w:bCs w:val="0"/>
          <w:i w:val="0"/>
          <w:caps w:val="0"/>
          <w:color w:val="auto"/>
          <w:spacing w:val="0"/>
          <w:sz w:val="21"/>
          <w:szCs w:val="21"/>
          <w:highlight w:val="none"/>
          <w:shd w:val="clear" w:fill="FFFFFF"/>
        </w:rPr>
        <w:t>产品名称、代号、功能说明</w:t>
      </w:r>
      <w:r>
        <w:rPr>
          <w:rFonts w:hint="eastAsia" w:ascii="宋体" w:hAnsi="宋体" w:eastAsia="宋体" w:cs="宋体"/>
          <w:b w:val="0"/>
          <w:bCs w:val="0"/>
          <w:i w:val="0"/>
          <w:caps w:val="0"/>
          <w:color w:val="auto"/>
          <w:spacing w:val="0"/>
          <w:sz w:val="21"/>
          <w:szCs w:val="21"/>
          <w:highlight w:val="none"/>
          <w:shd w:val="clear" w:fill="FFFFFF"/>
        </w:rPr>
        <w:t>，并随货提供</w:t>
      </w:r>
      <w:r>
        <w:rPr>
          <w:rStyle w:val="25"/>
          <w:rFonts w:hint="eastAsia" w:ascii="宋体" w:hAnsi="宋体" w:eastAsia="宋体" w:cs="宋体"/>
          <w:b w:val="0"/>
          <w:bCs w:val="0"/>
          <w:i w:val="0"/>
          <w:caps w:val="0"/>
          <w:color w:val="auto"/>
          <w:spacing w:val="0"/>
          <w:sz w:val="21"/>
          <w:szCs w:val="21"/>
          <w:highlight w:val="none"/>
          <w:shd w:val="clear" w:fill="FFFFFF"/>
        </w:rPr>
        <w:t>检验合格证</w:t>
      </w:r>
      <w:r>
        <w:rPr>
          <w:rFonts w:hint="eastAsia" w:ascii="宋体" w:hAnsi="宋体" w:eastAsia="宋体" w:cs="宋体"/>
          <w:b w:val="0"/>
          <w:bCs w:val="0"/>
          <w:i w:val="0"/>
          <w:caps w:val="0"/>
          <w:color w:val="auto"/>
          <w:spacing w:val="0"/>
          <w:sz w:val="21"/>
          <w:szCs w:val="21"/>
          <w:highlight w:val="none"/>
          <w:shd w:val="clear" w:fill="FFFFFF"/>
        </w:rPr>
        <w:t>。需明确药剂的</w:t>
      </w:r>
      <w:r>
        <w:rPr>
          <w:rStyle w:val="25"/>
          <w:rFonts w:hint="eastAsia" w:ascii="宋体" w:hAnsi="宋体" w:eastAsia="宋体" w:cs="宋体"/>
          <w:b w:val="0"/>
          <w:bCs w:val="0"/>
          <w:i w:val="0"/>
          <w:caps w:val="0"/>
          <w:color w:val="auto"/>
          <w:spacing w:val="0"/>
          <w:sz w:val="21"/>
          <w:szCs w:val="21"/>
          <w:highlight w:val="none"/>
          <w:shd w:val="clear" w:fill="FFFFFF"/>
        </w:rPr>
        <w:t>储存要求</w:t>
      </w:r>
      <w:r>
        <w:rPr>
          <w:rFonts w:hint="eastAsia" w:ascii="宋体" w:hAnsi="宋体" w:eastAsia="宋体" w:cs="宋体"/>
          <w:b w:val="0"/>
          <w:bCs w:val="0"/>
          <w:i w:val="0"/>
          <w:caps w:val="0"/>
          <w:color w:val="auto"/>
          <w:spacing w:val="0"/>
          <w:sz w:val="21"/>
          <w:szCs w:val="21"/>
          <w:highlight w:val="none"/>
          <w:shd w:val="clear" w:fill="FFFFFF"/>
        </w:rPr>
        <w:t>和</w:t>
      </w:r>
      <w:r>
        <w:rPr>
          <w:rStyle w:val="25"/>
          <w:rFonts w:hint="eastAsia" w:ascii="宋体" w:hAnsi="宋体" w:eastAsia="宋体" w:cs="宋体"/>
          <w:b w:val="0"/>
          <w:bCs w:val="0"/>
          <w:i w:val="0"/>
          <w:caps w:val="0"/>
          <w:color w:val="auto"/>
          <w:spacing w:val="0"/>
          <w:sz w:val="21"/>
          <w:szCs w:val="21"/>
          <w:highlight w:val="none"/>
          <w:shd w:val="clear" w:fill="FFFFFF"/>
        </w:rPr>
        <w:t>安全防护措施</w:t>
      </w:r>
      <w:r>
        <w:rPr>
          <w:rFonts w:hint="eastAsia" w:ascii="宋体" w:hAnsi="宋体" w:eastAsia="宋体" w:cs="宋体"/>
          <w:b w:val="0"/>
          <w:bCs w:val="0"/>
          <w:i w:val="0"/>
          <w:caps w:val="0"/>
          <w:color w:val="auto"/>
          <w:spacing w:val="0"/>
          <w:sz w:val="21"/>
          <w:szCs w:val="21"/>
          <w:highlight w:val="none"/>
          <w:shd w:val="clear" w:fill="FFFFFF"/>
        </w:rPr>
        <w:t>。</w:t>
      </w:r>
    </w:p>
    <w:p w14:paraId="64855157">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劳保与安全：</w:t>
      </w:r>
      <w:r>
        <w:rPr>
          <w:rFonts w:hint="eastAsia" w:ascii="宋体" w:hAnsi="宋体" w:eastAsia="宋体" w:cs="宋体"/>
          <w:b w:val="0"/>
          <w:bCs w:val="0"/>
          <w:i w:val="0"/>
          <w:caps w:val="0"/>
          <w:color w:val="auto"/>
          <w:spacing w:val="0"/>
          <w:sz w:val="21"/>
          <w:szCs w:val="21"/>
          <w:highlight w:val="none"/>
          <w:shd w:val="clear" w:fill="FFFFFF"/>
        </w:rPr>
        <w:t>供应商现场服务人员必须配备并正确使用符合要求的个人防护用品，包括但不限于：耐腐蚀手套、防护眼镜、口罩、安全鞋、安全帽、工作服。进行高空（冷却塔），必须配备并使用安全带等相应防护装备。供应商须对其人员的安全负全责。</w:t>
      </w:r>
    </w:p>
    <w:p w14:paraId="26536D10">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技术方案报批：</w:t>
      </w:r>
      <w:r>
        <w:rPr>
          <w:rFonts w:hint="eastAsia" w:ascii="宋体" w:hAnsi="宋体" w:eastAsia="宋体" w:cs="宋体"/>
          <w:b w:val="0"/>
          <w:bCs w:val="0"/>
          <w:i w:val="0"/>
          <w:caps w:val="0"/>
          <w:color w:val="auto"/>
          <w:spacing w:val="0"/>
          <w:sz w:val="21"/>
          <w:szCs w:val="21"/>
          <w:highlight w:val="none"/>
          <w:shd w:val="clear" w:fill="FFFFFF"/>
        </w:rPr>
        <w:t>合同签订后，供应商需在</w:t>
      </w:r>
      <w:r>
        <w:rPr>
          <w:rStyle w:val="25"/>
          <w:rFonts w:hint="eastAsia" w:ascii="宋体" w:hAnsi="宋体" w:eastAsia="宋体" w:cs="宋体"/>
          <w:b w:val="0"/>
          <w:bCs w:val="0"/>
          <w:i w:val="0"/>
          <w:caps w:val="0"/>
          <w:color w:val="auto"/>
          <w:spacing w:val="0"/>
          <w:sz w:val="21"/>
          <w:szCs w:val="21"/>
          <w:highlight w:val="none"/>
          <w:shd w:val="clear" w:fill="FFFFFF"/>
        </w:rPr>
        <w:t>15日内</w:t>
      </w:r>
      <w:r>
        <w:rPr>
          <w:rFonts w:hint="eastAsia" w:ascii="宋体" w:hAnsi="宋体" w:eastAsia="宋体" w:cs="宋体"/>
          <w:b w:val="0"/>
          <w:bCs w:val="0"/>
          <w:i w:val="0"/>
          <w:caps w:val="0"/>
          <w:color w:val="auto"/>
          <w:spacing w:val="0"/>
          <w:sz w:val="21"/>
          <w:szCs w:val="21"/>
          <w:highlight w:val="none"/>
          <w:shd w:val="clear" w:fill="FFFFFF"/>
        </w:rPr>
        <w:t>提交详细的年度水处理技术方案（含初始加药方案、监测计划、杀菌方案、军团菌控制策略等）供甲方审核批准。</w:t>
      </w:r>
      <w:r>
        <w:rPr>
          <w:rStyle w:val="25"/>
          <w:rFonts w:hint="eastAsia" w:ascii="宋体" w:hAnsi="宋体" w:eastAsia="宋体" w:cs="宋体"/>
          <w:b w:val="0"/>
          <w:bCs w:val="0"/>
          <w:i w:val="0"/>
          <w:caps w:val="0"/>
          <w:color w:val="auto"/>
          <w:spacing w:val="0"/>
          <w:sz w:val="21"/>
          <w:szCs w:val="21"/>
          <w:highlight w:val="none"/>
          <w:shd w:val="clear" w:fill="FFFFFF"/>
        </w:rPr>
        <w:t>在线水质监测及自动加药装置投入运行后第15天起</w:t>
      </w:r>
      <w:r>
        <w:rPr>
          <w:rFonts w:hint="eastAsia" w:ascii="宋体" w:hAnsi="宋体" w:eastAsia="宋体" w:cs="宋体"/>
          <w:b w:val="0"/>
          <w:bCs w:val="0"/>
          <w:i w:val="0"/>
          <w:caps w:val="0"/>
          <w:color w:val="auto"/>
          <w:spacing w:val="0"/>
          <w:sz w:val="21"/>
          <w:szCs w:val="21"/>
          <w:highlight w:val="none"/>
          <w:shd w:val="clear" w:fill="FFFFFF"/>
        </w:rPr>
        <w:t>，冷却水水质应达到本需求书约定的质量标准。</w:t>
      </w:r>
    </w:p>
    <w:p w14:paraId="006A4B34">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设备故障响应：</w:t>
      </w:r>
    </w:p>
    <w:p w14:paraId="1CF25A9A">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若在线监测及自动加药装置出现故障，供应商在接到甲方通知后，必须：在</w:t>
      </w:r>
      <w:r>
        <w:rPr>
          <w:rStyle w:val="25"/>
          <w:rFonts w:hint="eastAsia" w:ascii="宋体" w:hAnsi="宋体" w:eastAsia="宋体" w:cs="宋体"/>
          <w:b w:val="0"/>
          <w:bCs w:val="0"/>
          <w:i w:val="0"/>
          <w:caps w:val="0"/>
          <w:color w:val="auto"/>
          <w:spacing w:val="0"/>
          <w:sz w:val="21"/>
          <w:szCs w:val="21"/>
          <w:highlight w:val="none"/>
          <w:shd w:val="clear" w:fill="FFFFFF"/>
        </w:rPr>
        <w:t>4小时内</w:t>
      </w:r>
      <w:r>
        <w:rPr>
          <w:rFonts w:hint="eastAsia" w:ascii="宋体" w:hAnsi="宋体" w:eastAsia="宋体" w:cs="宋体"/>
          <w:b w:val="0"/>
          <w:bCs w:val="0"/>
          <w:i w:val="0"/>
          <w:caps w:val="0"/>
          <w:color w:val="auto"/>
          <w:spacing w:val="0"/>
          <w:sz w:val="21"/>
          <w:szCs w:val="21"/>
          <w:highlight w:val="none"/>
          <w:shd w:val="clear" w:fill="FFFFFF"/>
        </w:rPr>
        <w:t>给出明确响应。安排专业维修人员在</w:t>
      </w:r>
      <w:r>
        <w:rPr>
          <w:rStyle w:val="25"/>
          <w:rFonts w:hint="eastAsia" w:ascii="宋体" w:hAnsi="宋体" w:eastAsia="宋体" w:cs="宋体"/>
          <w:b w:val="0"/>
          <w:bCs w:val="0"/>
          <w:i w:val="0"/>
          <w:caps w:val="0"/>
          <w:color w:val="auto"/>
          <w:spacing w:val="0"/>
          <w:sz w:val="21"/>
          <w:szCs w:val="21"/>
          <w:highlight w:val="none"/>
          <w:shd w:val="clear" w:fill="FFFFFF"/>
        </w:rPr>
        <w:t>12小时内</w:t>
      </w:r>
      <w:r>
        <w:rPr>
          <w:rFonts w:hint="eastAsia" w:ascii="宋体" w:hAnsi="宋体" w:eastAsia="宋体" w:cs="宋体"/>
          <w:b w:val="0"/>
          <w:bCs w:val="0"/>
          <w:i w:val="0"/>
          <w:caps w:val="0"/>
          <w:color w:val="auto"/>
          <w:spacing w:val="0"/>
          <w:sz w:val="21"/>
          <w:szCs w:val="21"/>
          <w:highlight w:val="none"/>
          <w:shd w:val="clear" w:fill="FFFFFF"/>
        </w:rPr>
        <w:t>到达现场进行故障排除。在设备故障期间，供应商必须立即启动</w:t>
      </w:r>
      <w:r>
        <w:rPr>
          <w:rStyle w:val="25"/>
          <w:rFonts w:hint="eastAsia" w:ascii="宋体" w:hAnsi="宋体" w:eastAsia="宋体" w:cs="宋体"/>
          <w:b w:val="0"/>
          <w:bCs w:val="0"/>
          <w:i w:val="0"/>
          <w:caps w:val="0"/>
          <w:color w:val="auto"/>
          <w:spacing w:val="0"/>
          <w:sz w:val="21"/>
          <w:szCs w:val="21"/>
          <w:highlight w:val="none"/>
          <w:shd w:val="clear" w:fill="FFFFFF"/>
        </w:rPr>
        <w:t>手动监测和手动加药程序</w:t>
      </w:r>
      <w:r>
        <w:rPr>
          <w:rFonts w:hint="eastAsia" w:ascii="宋体" w:hAnsi="宋体" w:eastAsia="宋体" w:cs="宋体"/>
          <w:b w:val="0"/>
          <w:bCs w:val="0"/>
          <w:i w:val="0"/>
          <w:caps w:val="0"/>
          <w:color w:val="auto"/>
          <w:spacing w:val="0"/>
          <w:sz w:val="21"/>
          <w:szCs w:val="21"/>
          <w:highlight w:val="none"/>
          <w:shd w:val="clear" w:fill="FFFFFF"/>
        </w:rPr>
        <w:t>，确保系统水质符合合同要求，并每日向甲方报告水质状况及处理措施，直至设备修复。</w:t>
      </w:r>
    </w:p>
    <w:p w14:paraId="782EB5ED">
      <w:pPr>
        <w:pStyle w:val="19"/>
        <w:keepNext w:val="0"/>
        <w:keepLines w:val="0"/>
        <w:pageBreakBefore w:val="0"/>
        <w:widowControl/>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文件提交：</w:t>
      </w:r>
      <w:r>
        <w:rPr>
          <w:rFonts w:hint="eastAsia" w:ascii="宋体" w:hAnsi="宋体" w:eastAsia="宋体" w:cs="宋体"/>
          <w:b w:val="0"/>
          <w:bCs w:val="0"/>
          <w:i w:val="0"/>
          <w:caps w:val="0"/>
          <w:color w:val="auto"/>
          <w:spacing w:val="0"/>
          <w:sz w:val="21"/>
          <w:szCs w:val="21"/>
          <w:highlight w:val="none"/>
          <w:shd w:val="clear" w:fill="FFFFFF"/>
        </w:rPr>
        <w:t>按时提交月度水质检测报告、半年服务报告、年度第三方检测报告、服务作业单副本等所有约定的文件。</w:t>
      </w:r>
    </w:p>
    <w:p w14:paraId="44A60C10">
      <w:pPr>
        <w:pStyle w:val="11"/>
        <w:keepNext w:val="0"/>
        <w:keepLines w:val="0"/>
        <w:pageBreakBefore w:val="0"/>
        <w:numPr>
          <w:ilvl w:val="0"/>
          <w:numId w:val="27"/>
        </w:numPr>
        <w:kinsoku/>
        <w:wordWrap/>
        <w:overflowPunct/>
        <w:topLinePunct w:val="0"/>
        <w:autoSpaceDE/>
        <w:autoSpaceDN/>
        <w:bidi w:val="0"/>
        <w:adjustRightInd/>
        <w:snapToGrid/>
        <w:spacing w:beforeAutospacing="0" w:afterAutospacing="0" w:line="360" w:lineRule="auto"/>
        <w:ind w:lef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考核与责任</w:t>
      </w:r>
    </w:p>
    <w:p w14:paraId="3EEACBD1">
      <w:pPr>
        <w:pStyle w:val="19"/>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考核指标：</w:t>
      </w:r>
      <w:r>
        <w:rPr>
          <w:rFonts w:hint="eastAsia" w:ascii="宋体" w:hAnsi="宋体" w:eastAsia="宋体" w:cs="宋体"/>
          <w:b w:val="0"/>
          <w:bCs w:val="0"/>
          <w:i w:val="0"/>
          <w:caps w:val="0"/>
          <w:color w:val="auto"/>
          <w:spacing w:val="0"/>
          <w:sz w:val="21"/>
          <w:szCs w:val="21"/>
          <w:highlight w:val="none"/>
          <w:shd w:val="clear" w:fill="FFFFFF"/>
        </w:rPr>
        <w:t>以下关键指标将纳入服务考核：</w:t>
      </w:r>
    </w:p>
    <w:p w14:paraId="6C600E75">
      <w:pPr>
        <w:pStyle w:val="19"/>
        <w:keepNext w:val="0"/>
        <w:keepLines w:val="0"/>
        <w:pageBreakBefore w:val="0"/>
        <w:widowControl/>
        <w:numPr>
          <w:ilvl w:val="0"/>
          <w:numId w:val="31"/>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月度及第三方水质检测报告的及时性与准确性。</w:t>
      </w:r>
    </w:p>
    <w:p w14:paraId="250BFC31">
      <w:pPr>
        <w:pStyle w:val="19"/>
        <w:keepNext w:val="0"/>
        <w:keepLines w:val="0"/>
        <w:pageBreakBefore w:val="0"/>
        <w:widowControl/>
        <w:numPr>
          <w:ilvl w:val="0"/>
          <w:numId w:val="31"/>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水质指标达标率（特别是军团菌“未检出”、腐蚀率、结垢倾向指标、浓缩倍数、浊度等）。</w:t>
      </w:r>
    </w:p>
    <w:p w14:paraId="08657CBF">
      <w:pPr>
        <w:pStyle w:val="19"/>
        <w:keepNext w:val="0"/>
        <w:keepLines w:val="0"/>
        <w:pageBreakBefore w:val="0"/>
        <w:widowControl/>
        <w:numPr>
          <w:ilvl w:val="0"/>
          <w:numId w:val="31"/>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主机冷凝器小温差控制情况。</w:t>
      </w:r>
    </w:p>
    <w:p w14:paraId="6B7CC978">
      <w:pPr>
        <w:pStyle w:val="19"/>
        <w:keepNext w:val="0"/>
        <w:keepLines w:val="0"/>
        <w:pageBreakBefore w:val="0"/>
        <w:widowControl/>
        <w:numPr>
          <w:ilvl w:val="0"/>
          <w:numId w:val="31"/>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冷却塔清洁度（青苔、污垢）及滤网堵塞情况。</w:t>
      </w:r>
    </w:p>
    <w:p w14:paraId="3C3A2E7F">
      <w:pPr>
        <w:pStyle w:val="19"/>
        <w:keepNext w:val="0"/>
        <w:keepLines w:val="0"/>
        <w:pageBreakBefore w:val="0"/>
        <w:widowControl/>
        <w:numPr>
          <w:ilvl w:val="0"/>
          <w:numId w:val="31"/>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应急响应及时性与问题解决效果。</w:t>
      </w:r>
    </w:p>
    <w:p w14:paraId="2FA40BB4">
      <w:pPr>
        <w:pStyle w:val="19"/>
        <w:keepNext w:val="0"/>
        <w:keepLines w:val="0"/>
        <w:pageBreakBefore w:val="0"/>
        <w:widowControl/>
        <w:numPr>
          <w:ilvl w:val="0"/>
          <w:numId w:val="31"/>
        </w:numPr>
        <w:suppressLineNumbers w:val="0"/>
        <w:kinsoku/>
        <w:wordWrap/>
        <w:overflowPunct/>
        <w:topLinePunct w:val="0"/>
        <w:autoSpaceDE/>
        <w:autoSpaceDN/>
        <w:bidi w:val="0"/>
        <w:adjustRightInd/>
        <w:snapToGrid/>
        <w:spacing w:before="0" w:beforeAutospacing="0" w:after="0" w:afterAutospacing="0" w:line="360" w:lineRule="auto"/>
        <w:ind w:right="0" w:rightChars="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服务报告质量。</w:t>
      </w:r>
    </w:p>
    <w:p w14:paraId="01A77B2B">
      <w:pPr>
        <w:pStyle w:val="19"/>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军团菌及设备损坏责任：</w:t>
      </w:r>
    </w:p>
    <w:p w14:paraId="56B6D53B">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因供应商水处理方案不当、执行不力、监测失职或应急处理不及时等原因，导致：</w:t>
      </w:r>
    </w:p>
    <w:p w14:paraId="590CCBB3">
      <w:pPr>
        <w:pStyle w:val="19"/>
        <w:keepNext w:val="0"/>
        <w:keepLines w:val="0"/>
        <w:pageBreakBefore w:val="0"/>
        <w:widowControl/>
        <w:numPr>
          <w:ilvl w:val="0"/>
          <w:numId w:val="3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冷却水或冷冻水系统检出军团菌阳性；</w:t>
      </w:r>
    </w:p>
    <w:p w14:paraId="3B5A6F3F">
      <w:pPr>
        <w:pStyle w:val="19"/>
        <w:keepNext w:val="0"/>
        <w:keepLines w:val="0"/>
        <w:pageBreakBefore w:val="0"/>
        <w:widowControl/>
        <w:numPr>
          <w:ilvl w:val="0"/>
          <w:numId w:val="3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系统设备（主机换热器、管道、阀门、水泵叶轮、冷却塔填料等）因严重腐蚀或结垢导致穿孔、泄漏、堵塞、效率严重下降或损坏；</w:t>
      </w:r>
    </w:p>
    <w:p w14:paraId="0AAA4014">
      <w:pPr>
        <w:pStyle w:val="19"/>
        <w:keepNext w:val="0"/>
        <w:keepLines w:val="0"/>
        <w:pageBreakBefore w:val="0"/>
        <w:widowControl/>
        <w:numPr>
          <w:ilvl w:val="0"/>
          <w:numId w:val="3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冷却塔滋生大量青苔藻类或滤网严重堵塞影响运行；</w:t>
      </w:r>
    </w:p>
    <w:p w14:paraId="1055B08F">
      <w:pPr>
        <w:pStyle w:val="19"/>
        <w:keepNext w:val="0"/>
        <w:keepLines w:val="0"/>
        <w:pageBreakBefore w:val="0"/>
        <w:widowControl/>
        <w:numPr>
          <w:ilvl w:val="0"/>
          <w:numId w:val="3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冷凝器小温差持续超标且确因结垢导致；</w:t>
      </w:r>
    </w:p>
    <w:p w14:paraId="58706F5B">
      <w:pPr>
        <w:pStyle w:val="19"/>
        <w:keepNext w:val="0"/>
        <w:keepLines w:val="0"/>
        <w:pageBreakBefore w:val="0"/>
        <w:widowControl/>
        <w:numPr>
          <w:ilvl w:val="0"/>
          <w:numId w:val="32"/>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排污水质超标；</w:t>
      </w:r>
    </w:p>
    <w:p w14:paraId="094C7947">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供应商须承担由此产生的一切后果和责任，包括但不限于：</w:t>
      </w:r>
    </w:p>
    <w:p w14:paraId="30A4906F">
      <w:pPr>
        <w:pStyle w:val="19"/>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免费进行强化处理、清洗、修复直至问题解决并达标。</w:t>
      </w:r>
    </w:p>
    <w:p w14:paraId="340277AA">
      <w:pPr>
        <w:pStyle w:val="19"/>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赔偿甲方因此造成的直接经济损失（如设备维修费、增加的能耗费用、供冷中断损失等）。</w:t>
      </w:r>
    </w:p>
    <w:p w14:paraId="4A496363">
      <w:pPr>
        <w:pStyle w:val="19"/>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若因军团菌问题导致公共卫生事件或甲方受到政府处罚、第三方索赔，供应商须承担相应的法律责任及全部赔偿/罚款。</w:t>
      </w:r>
    </w:p>
    <w:p w14:paraId="543881EE">
      <w:pPr>
        <w:pStyle w:val="19"/>
        <w:keepNext w:val="0"/>
        <w:keepLines w:val="0"/>
        <w:pageBreakBefore w:val="0"/>
        <w:widowControl/>
        <w:numPr>
          <w:ilvl w:val="0"/>
          <w:numId w:val="30"/>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rPr>
      </w:pPr>
      <w:r>
        <w:rPr>
          <w:rStyle w:val="25"/>
          <w:rFonts w:hint="eastAsia" w:ascii="宋体" w:hAnsi="宋体" w:eastAsia="宋体" w:cs="宋体"/>
          <w:b w:val="0"/>
          <w:bCs w:val="0"/>
          <w:i w:val="0"/>
          <w:caps w:val="0"/>
          <w:color w:val="auto"/>
          <w:spacing w:val="0"/>
          <w:sz w:val="21"/>
          <w:szCs w:val="21"/>
          <w:highlight w:val="none"/>
          <w:shd w:val="clear" w:fill="FFFFFF"/>
        </w:rPr>
        <w:t>检测报告不符责任：</w:t>
      </w:r>
    </w:p>
    <w:p w14:paraId="303DCF05">
      <w:pPr>
        <w:pStyle w:val="19"/>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i w:val="0"/>
          <w:caps w:val="0"/>
          <w:color w:val="auto"/>
          <w:spacing w:val="0"/>
          <w:sz w:val="21"/>
          <w:szCs w:val="21"/>
          <w:highlight w:val="none"/>
          <w:shd w:val="clear" w:fill="FFFFFF"/>
        </w:rPr>
      </w:pPr>
      <w:r>
        <w:rPr>
          <w:rFonts w:hint="eastAsia" w:ascii="宋体" w:hAnsi="宋体" w:eastAsia="宋体" w:cs="宋体"/>
          <w:b w:val="0"/>
          <w:bCs w:val="0"/>
          <w:i w:val="0"/>
          <w:caps w:val="0"/>
          <w:color w:val="auto"/>
          <w:spacing w:val="0"/>
          <w:sz w:val="21"/>
          <w:szCs w:val="21"/>
          <w:highlight w:val="none"/>
          <w:shd w:val="clear" w:fill="FFFFFF"/>
        </w:rPr>
        <w:t>甲方接受国家、地方卫生监督部门（如疾控中心）或其他权威机构的监督检测。</w:t>
      </w:r>
    </w:p>
    <w:p w14:paraId="1D0FB494">
      <w:pPr>
        <w:pStyle w:val="19"/>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若甲方委托或政府抽查的</w:t>
      </w:r>
      <w:r>
        <w:rPr>
          <w:rStyle w:val="25"/>
          <w:rFonts w:hint="eastAsia" w:ascii="宋体" w:hAnsi="宋体" w:eastAsia="宋体" w:cs="宋体"/>
          <w:b w:val="0"/>
          <w:bCs w:val="0"/>
          <w:i w:val="0"/>
          <w:caps w:val="0"/>
          <w:color w:val="auto"/>
          <w:spacing w:val="0"/>
          <w:sz w:val="21"/>
          <w:szCs w:val="21"/>
          <w:highlight w:val="none"/>
          <w:shd w:val="clear" w:fill="FFFFFF"/>
        </w:rPr>
        <w:t>第三方权威检测报告</w:t>
      </w:r>
      <w:r>
        <w:rPr>
          <w:rFonts w:hint="eastAsia" w:ascii="宋体" w:hAnsi="宋体" w:eastAsia="宋体" w:cs="宋体"/>
          <w:b w:val="0"/>
          <w:bCs w:val="0"/>
          <w:i w:val="0"/>
          <w:caps w:val="0"/>
          <w:color w:val="auto"/>
          <w:spacing w:val="0"/>
          <w:sz w:val="21"/>
          <w:szCs w:val="21"/>
          <w:highlight w:val="none"/>
          <w:shd w:val="clear" w:fill="FFFFFF"/>
        </w:rPr>
        <w:t>结果与供应商提供的</w:t>
      </w:r>
      <w:r>
        <w:rPr>
          <w:rStyle w:val="25"/>
          <w:rFonts w:hint="eastAsia" w:ascii="宋体" w:hAnsi="宋体" w:eastAsia="宋体" w:cs="宋体"/>
          <w:b w:val="0"/>
          <w:bCs w:val="0"/>
          <w:i w:val="0"/>
          <w:caps w:val="0"/>
          <w:color w:val="auto"/>
          <w:spacing w:val="0"/>
          <w:sz w:val="21"/>
          <w:szCs w:val="21"/>
          <w:highlight w:val="none"/>
          <w:shd w:val="clear" w:fill="FFFFFF"/>
        </w:rPr>
        <w:t>月度检测报告</w:t>
      </w:r>
      <w:r>
        <w:rPr>
          <w:rFonts w:hint="eastAsia" w:ascii="宋体" w:hAnsi="宋体" w:eastAsia="宋体" w:cs="宋体"/>
          <w:b w:val="0"/>
          <w:bCs w:val="0"/>
          <w:i w:val="0"/>
          <w:caps w:val="0"/>
          <w:color w:val="auto"/>
          <w:spacing w:val="0"/>
          <w:sz w:val="21"/>
          <w:szCs w:val="21"/>
          <w:highlight w:val="none"/>
          <w:shd w:val="clear" w:fill="FFFFFF"/>
        </w:rPr>
        <w:t>在</w:t>
      </w:r>
      <w:r>
        <w:rPr>
          <w:rStyle w:val="25"/>
          <w:rFonts w:hint="eastAsia" w:ascii="宋体" w:hAnsi="宋体" w:eastAsia="宋体" w:cs="宋体"/>
          <w:b w:val="0"/>
          <w:bCs w:val="0"/>
          <w:i w:val="0"/>
          <w:caps w:val="0"/>
          <w:color w:val="auto"/>
          <w:spacing w:val="0"/>
          <w:sz w:val="21"/>
          <w:szCs w:val="21"/>
          <w:highlight w:val="none"/>
          <w:shd w:val="clear" w:fill="FFFFFF"/>
        </w:rPr>
        <w:t>关键指标（尤其是军团菌、腐蚀率、主要离子浓度等）</w:t>
      </w:r>
      <w:r>
        <w:rPr>
          <w:rFonts w:hint="eastAsia" w:ascii="宋体" w:hAnsi="宋体" w:eastAsia="宋体" w:cs="宋体"/>
          <w:b w:val="0"/>
          <w:bCs w:val="0"/>
          <w:i w:val="0"/>
          <w:caps w:val="0"/>
          <w:color w:val="auto"/>
          <w:spacing w:val="0"/>
          <w:sz w:val="21"/>
          <w:szCs w:val="21"/>
          <w:highlight w:val="none"/>
          <w:shd w:val="clear" w:fill="FFFFFF"/>
        </w:rPr>
        <w:t>上存在</w:t>
      </w:r>
      <w:r>
        <w:rPr>
          <w:rStyle w:val="25"/>
          <w:rFonts w:hint="eastAsia" w:ascii="宋体" w:hAnsi="宋体" w:eastAsia="宋体" w:cs="宋体"/>
          <w:b w:val="0"/>
          <w:bCs w:val="0"/>
          <w:i w:val="0"/>
          <w:caps w:val="0"/>
          <w:color w:val="auto"/>
          <w:spacing w:val="0"/>
          <w:sz w:val="21"/>
          <w:szCs w:val="21"/>
          <w:highlight w:val="none"/>
          <w:shd w:val="clear" w:fill="FFFFFF"/>
        </w:rPr>
        <w:t>重大偏差且证明供应商报告错误或失实</w:t>
      </w:r>
      <w:r>
        <w:rPr>
          <w:rFonts w:hint="eastAsia" w:ascii="宋体" w:hAnsi="宋体" w:eastAsia="宋体" w:cs="宋体"/>
          <w:b w:val="0"/>
          <w:bCs w:val="0"/>
          <w:i w:val="0"/>
          <w:caps w:val="0"/>
          <w:color w:val="auto"/>
          <w:spacing w:val="0"/>
          <w:sz w:val="21"/>
          <w:szCs w:val="21"/>
          <w:highlight w:val="none"/>
          <w:shd w:val="clear" w:fill="FFFFFF"/>
        </w:rPr>
        <w:t>，则该次供应商报告视为“不合格”。</w:t>
      </w:r>
    </w:p>
    <w:p w14:paraId="4B80353A">
      <w:pPr>
        <w:pStyle w:val="19"/>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若因此导致甲方被第三方（如卫生监管部门）罚款，该罚款金额由供应商承担。</w:t>
      </w:r>
    </w:p>
    <w:p w14:paraId="2AFABE41">
      <w:pPr>
        <w:pStyle w:val="19"/>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供应商需对自身检测数据的准确性负责。</w:t>
      </w:r>
    </w:p>
    <w:p w14:paraId="3313A23C">
      <w:pPr>
        <w:pStyle w:val="19"/>
        <w:keepNext w:val="0"/>
        <w:keepLines w:val="0"/>
        <w:pageBreakBefore w:val="0"/>
        <w:widowControl/>
        <w:numPr>
          <w:ilvl w:val="0"/>
          <w:numId w:val="27"/>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lang w:val="en-US" w:eastAsia="zh-CN"/>
        </w:rPr>
      </w:pPr>
      <w:r>
        <w:rPr>
          <w:rStyle w:val="25"/>
          <w:rFonts w:hint="eastAsia" w:ascii="宋体" w:hAnsi="宋体" w:eastAsia="宋体" w:cs="宋体"/>
          <w:b w:val="0"/>
          <w:bCs w:val="0"/>
          <w:i w:val="0"/>
          <w:caps w:val="0"/>
          <w:color w:val="auto"/>
          <w:spacing w:val="0"/>
          <w:sz w:val="21"/>
          <w:szCs w:val="21"/>
          <w:highlight w:val="none"/>
          <w:shd w:val="clear" w:fill="FFFFFF"/>
        </w:rPr>
        <w:t>服务期限</w:t>
      </w:r>
    </w:p>
    <w:p w14:paraId="2D195989">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Style w:val="25"/>
          <w:rFonts w:hint="eastAsia" w:ascii="宋体" w:hAnsi="宋体" w:eastAsia="宋体" w:cs="宋体"/>
          <w:b w:val="0"/>
          <w:bCs w:val="0"/>
          <w:i w:val="0"/>
          <w:caps w:val="0"/>
          <w:color w:val="auto"/>
          <w:spacing w:val="0"/>
          <w:sz w:val="21"/>
          <w:szCs w:val="21"/>
          <w:highlight w:val="none"/>
          <w:shd w:val="clear" w:fill="FFFFFF"/>
          <w:lang w:val="en-US" w:eastAsia="zh-CN"/>
        </w:rPr>
      </w:pPr>
      <w:r>
        <w:rPr>
          <w:rFonts w:hint="eastAsia" w:ascii="宋体" w:hAnsi="宋体" w:eastAsia="宋体" w:cs="宋体"/>
          <w:b w:val="0"/>
          <w:bCs w:val="0"/>
          <w:i w:val="0"/>
          <w:caps w:val="0"/>
          <w:color w:val="auto"/>
          <w:spacing w:val="0"/>
          <w:sz w:val="21"/>
          <w:szCs w:val="21"/>
          <w:highlight w:val="none"/>
          <w:shd w:val="clear" w:fill="FFFFFF"/>
        </w:rPr>
        <w:t>本合同服务期限：服务期2年，采用1+1模式签订</w:t>
      </w:r>
      <w:r>
        <w:rPr>
          <w:rFonts w:hint="eastAsia" w:ascii="宋体" w:hAnsi="宋体" w:eastAsia="宋体" w:cs="宋体"/>
          <w:b w:val="0"/>
          <w:bCs w:val="0"/>
          <w:i w:val="0"/>
          <w:caps w:val="0"/>
          <w:color w:val="auto"/>
          <w:spacing w:val="0"/>
          <w:sz w:val="21"/>
          <w:szCs w:val="21"/>
          <w:highlight w:val="none"/>
          <w:shd w:val="clear" w:fill="FFFFFF"/>
          <w:lang w:eastAsia="zh-CN"/>
        </w:rPr>
        <w:t>。</w:t>
      </w:r>
    </w:p>
    <w:p w14:paraId="37EB1221">
      <w:pPr>
        <w:pStyle w:val="19"/>
        <w:keepNext w:val="0"/>
        <w:keepLines w:val="0"/>
        <w:pageBreakBefore w:val="0"/>
        <w:widowControl/>
        <w:numPr>
          <w:ilvl w:val="0"/>
          <w:numId w:val="27"/>
        </w:numPr>
        <w:suppressLineNumbers w:val="0"/>
        <w:shd w:val="clear" w:fill="FFFFFF"/>
        <w:kinsoku/>
        <w:wordWrap/>
        <w:overflowPunct/>
        <w:topLinePunct w:val="0"/>
        <w:autoSpaceDE/>
        <w:autoSpaceDN/>
        <w:bidi w:val="0"/>
        <w:adjustRightInd/>
        <w:snapToGrid/>
        <w:spacing w:before="0" w:beforeAutospacing="0" w:after="0" w:afterAutospacing="0" w:line="360" w:lineRule="auto"/>
        <w:ind w:left="0" w:leftChars="0" w:right="0" w:firstLine="420" w:firstLineChars="200"/>
        <w:textAlignment w:val="auto"/>
        <w:rPr>
          <w:rFonts w:hint="eastAsia" w:ascii="宋体" w:hAnsi="宋体" w:eastAsia="宋体" w:cs="宋体"/>
          <w:b w:val="0"/>
          <w:bCs w:val="0"/>
          <w:i w:val="0"/>
          <w:caps w:val="0"/>
          <w:color w:val="auto"/>
          <w:spacing w:val="0"/>
          <w:sz w:val="21"/>
          <w:szCs w:val="21"/>
          <w:highlight w:val="none"/>
        </w:rPr>
      </w:pPr>
      <w:r>
        <w:rPr>
          <w:rStyle w:val="25"/>
          <w:rFonts w:hint="eastAsia" w:ascii="宋体" w:hAnsi="宋体" w:eastAsia="宋体" w:cs="宋体"/>
          <w:b w:val="0"/>
          <w:bCs w:val="0"/>
          <w:i w:val="0"/>
          <w:caps w:val="0"/>
          <w:color w:val="auto"/>
          <w:spacing w:val="0"/>
          <w:sz w:val="21"/>
          <w:szCs w:val="21"/>
          <w:highlight w:val="none"/>
          <w:shd w:val="clear" w:fill="FFFFFF"/>
        </w:rPr>
        <w:t>附件</w:t>
      </w:r>
    </w:p>
    <w:p w14:paraId="7818D1CC">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i w:val="0"/>
          <w:caps w:val="0"/>
          <w:color w:val="auto"/>
          <w:spacing w:val="0"/>
          <w:sz w:val="21"/>
          <w:szCs w:val="21"/>
          <w:highlight w:val="none"/>
          <w:shd w:val="clear" w:fill="FFFFFF"/>
        </w:rPr>
        <w:t>冷冻水、冷却水系统图（由甲方提供，投标人可现场勘查核对）。</w:t>
      </w:r>
    </w:p>
    <w:p w14:paraId="5E3E259A">
      <w:pPr>
        <w:pStyle w:val="6"/>
        <w:rPr>
          <w:rFonts w:hint="default" w:asciiTheme="minorEastAsia" w:hAnsiTheme="minorEastAsia" w:eastAsiaTheme="minorEastAsia" w:cstheme="minorEastAsia"/>
          <w:b w:val="0"/>
          <w:bCs w:val="0"/>
          <w:sz w:val="32"/>
          <w:szCs w:val="32"/>
          <w:lang w:val="en-US" w:eastAsia="zh-CN"/>
        </w:rPr>
      </w:pPr>
    </w:p>
    <w:p w14:paraId="5838CF59">
      <w:pPr>
        <w:pStyle w:val="6"/>
        <w:rPr>
          <w:rFonts w:hint="eastAsia" w:asciiTheme="minorEastAsia" w:hAnsiTheme="minorEastAsia" w:eastAsiaTheme="minorEastAsia" w:cstheme="minorEastAsia"/>
          <w:b/>
          <w:bCs/>
          <w:sz w:val="32"/>
          <w:szCs w:val="32"/>
          <w:lang w:val="en-US" w:eastAsia="zh-CN"/>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BC05E"/>
    <w:multiLevelType w:val="singleLevel"/>
    <w:tmpl w:val="89FBC05E"/>
    <w:lvl w:ilvl="0" w:tentative="0">
      <w:start w:val="1"/>
      <w:numFmt w:val="decimal"/>
      <w:suff w:val="nothing"/>
      <w:lvlText w:val="（%1）"/>
      <w:lvlJc w:val="left"/>
    </w:lvl>
  </w:abstractNum>
  <w:abstractNum w:abstractNumId="1">
    <w:nsid w:val="9DB7249B"/>
    <w:multiLevelType w:val="singleLevel"/>
    <w:tmpl w:val="9DB7249B"/>
    <w:lvl w:ilvl="0" w:tentative="0">
      <w:start w:val="1"/>
      <w:numFmt w:val="decimal"/>
      <w:suff w:val="nothing"/>
      <w:lvlText w:val="%1、"/>
      <w:lvlJc w:val="left"/>
    </w:lvl>
  </w:abstractNum>
  <w:abstractNum w:abstractNumId="2">
    <w:nsid w:val="A0895D3C"/>
    <w:multiLevelType w:val="singleLevel"/>
    <w:tmpl w:val="A0895D3C"/>
    <w:lvl w:ilvl="0" w:tentative="0">
      <w:start w:val="1"/>
      <w:numFmt w:val="decimal"/>
      <w:suff w:val="nothing"/>
      <w:lvlText w:val="（%1）"/>
      <w:lvlJc w:val="left"/>
    </w:lvl>
  </w:abstractNum>
  <w:abstractNum w:abstractNumId="3">
    <w:nsid w:val="B1B0E9B8"/>
    <w:multiLevelType w:val="singleLevel"/>
    <w:tmpl w:val="B1B0E9B8"/>
    <w:lvl w:ilvl="0" w:tentative="0">
      <w:start w:val="1"/>
      <w:numFmt w:val="decimal"/>
      <w:suff w:val="nothing"/>
      <w:lvlText w:val="（%1）"/>
      <w:lvlJc w:val="left"/>
    </w:lvl>
  </w:abstractNum>
  <w:abstractNum w:abstractNumId="4">
    <w:nsid w:val="B1B7EDB2"/>
    <w:multiLevelType w:val="singleLevel"/>
    <w:tmpl w:val="B1B7EDB2"/>
    <w:lvl w:ilvl="0" w:tentative="0">
      <w:start w:val="1"/>
      <w:numFmt w:val="decimal"/>
      <w:suff w:val="nothing"/>
      <w:lvlText w:val="（%1）"/>
      <w:lvlJc w:val="left"/>
    </w:lvl>
  </w:abstractNum>
  <w:abstractNum w:abstractNumId="5">
    <w:nsid w:val="B6606CFA"/>
    <w:multiLevelType w:val="singleLevel"/>
    <w:tmpl w:val="B6606CFA"/>
    <w:lvl w:ilvl="0" w:tentative="0">
      <w:start w:val="1"/>
      <w:numFmt w:val="decimal"/>
      <w:suff w:val="nothing"/>
      <w:lvlText w:val="（%1）"/>
      <w:lvlJc w:val="left"/>
    </w:lvl>
  </w:abstractNum>
  <w:abstractNum w:abstractNumId="6">
    <w:nsid w:val="BB589143"/>
    <w:multiLevelType w:val="singleLevel"/>
    <w:tmpl w:val="BB589143"/>
    <w:lvl w:ilvl="0" w:tentative="0">
      <w:start w:val="1"/>
      <w:numFmt w:val="decimal"/>
      <w:suff w:val="nothing"/>
      <w:lvlText w:val="（%1）"/>
      <w:lvlJc w:val="left"/>
    </w:lvl>
  </w:abstractNum>
  <w:abstractNum w:abstractNumId="7">
    <w:nsid w:val="CBE82200"/>
    <w:multiLevelType w:val="singleLevel"/>
    <w:tmpl w:val="CBE82200"/>
    <w:lvl w:ilvl="0" w:tentative="0">
      <w:start w:val="1"/>
      <w:numFmt w:val="decimalEnclosedCircleChinese"/>
      <w:suff w:val="nothing"/>
      <w:lvlText w:val="%1　"/>
      <w:lvlJc w:val="left"/>
      <w:pPr>
        <w:ind w:left="0" w:firstLine="400"/>
      </w:pPr>
      <w:rPr>
        <w:rFonts w:hint="eastAsia"/>
      </w:rPr>
    </w:lvl>
  </w:abstractNum>
  <w:abstractNum w:abstractNumId="8">
    <w:nsid w:val="D23E40BE"/>
    <w:multiLevelType w:val="singleLevel"/>
    <w:tmpl w:val="D23E40BE"/>
    <w:lvl w:ilvl="0" w:tentative="0">
      <w:start w:val="1"/>
      <w:numFmt w:val="decimal"/>
      <w:suff w:val="nothing"/>
      <w:lvlText w:val="（%1）"/>
      <w:lvlJc w:val="left"/>
    </w:lvl>
  </w:abstractNum>
  <w:abstractNum w:abstractNumId="9">
    <w:nsid w:val="DDD4D5E4"/>
    <w:multiLevelType w:val="singleLevel"/>
    <w:tmpl w:val="DDD4D5E4"/>
    <w:lvl w:ilvl="0" w:tentative="0">
      <w:start w:val="1"/>
      <w:numFmt w:val="decimalEnclosedCircleChinese"/>
      <w:suff w:val="nothing"/>
      <w:lvlText w:val="%1　"/>
      <w:lvlJc w:val="left"/>
      <w:pPr>
        <w:ind w:left="0" w:firstLine="400"/>
      </w:pPr>
      <w:rPr>
        <w:rFonts w:hint="eastAsia"/>
      </w:rPr>
    </w:lvl>
  </w:abstractNum>
  <w:abstractNum w:abstractNumId="10">
    <w:nsid w:val="ECFB175A"/>
    <w:multiLevelType w:val="singleLevel"/>
    <w:tmpl w:val="ECFB175A"/>
    <w:lvl w:ilvl="0" w:tentative="0">
      <w:start w:val="1"/>
      <w:numFmt w:val="decimal"/>
      <w:suff w:val="nothing"/>
      <w:lvlText w:val="（%1）"/>
      <w:lvlJc w:val="left"/>
    </w:lvl>
  </w:abstractNum>
  <w:abstractNum w:abstractNumId="11">
    <w:nsid w:val="F216D292"/>
    <w:multiLevelType w:val="singleLevel"/>
    <w:tmpl w:val="F216D292"/>
    <w:lvl w:ilvl="0" w:tentative="0">
      <w:start w:val="1"/>
      <w:numFmt w:val="decimal"/>
      <w:suff w:val="nothing"/>
      <w:lvlText w:val="（%1）"/>
      <w:lvlJc w:val="left"/>
    </w:lvl>
  </w:abstractNum>
  <w:abstractNum w:abstractNumId="12">
    <w:nsid w:val="F314BFCB"/>
    <w:multiLevelType w:val="singleLevel"/>
    <w:tmpl w:val="F314BFCB"/>
    <w:lvl w:ilvl="0" w:tentative="0">
      <w:start w:val="1"/>
      <w:numFmt w:val="decimal"/>
      <w:suff w:val="nothing"/>
      <w:lvlText w:val="（%1）"/>
      <w:lvlJc w:val="left"/>
    </w:lvl>
  </w:abstractNum>
  <w:abstractNum w:abstractNumId="13">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4">
    <w:nsid w:val="10B4762A"/>
    <w:multiLevelType w:val="singleLevel"/>
    <w:tmpl w:val="10B4762A"/>
    <w:lvl w:ilvl="0" w:tentative="0">
      <w:start w:val="1"/>
      <w:numFmt w:val="decimalEnclosedCircleChinese"/>
      <w:suff w:val="nothing"/>
      <w:lvlText w:val="%1　"/>
      <w:lvlJc w:val="left"/>
      <w:pPr>
        <w:ind w:left="0" w:firstLine="400"/>
      </w:pPr>
      <w:rPr>
        <w:rFonts w:hint="eastAsia"/>
      </w:rPr>
    </w:lvl>
  </w:abstractNum>
  <w:abstractNum w:abstractNumId="15">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6">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7">
    <w:nsid w:val="1C51EFFC"/>
    <w:multiLevelType w:val="singleLevel"/>
    <w:tmpl w:val="1C51EFFC"/>
    <w:lvl w:ilvl="0" w:tentative="0">
      <w:start w:val="1"/>
      <w:numFmt w:val="decimal"/>
      <w:suff w:val="nothing"/>
      <w:lvlText w:val="%1、"/>
      <w:lvlJc w:val="left"/>
    </w:lvl>
  </w:abstractNum>
  <w:abstractNum w:abstractNumId="18">
    <w:nsid w:val="1CB2C11B"/>
    <w:multiLevelType w:val="singleLevel"/>
    <w:tmpl w:val="1CB2C11B"/>
    <w:lvl w:ilvl="0" w:tentative="0">
      <w:start w:val="1"/>
      <w:numFmt w:val="decimal"/>
      <w:suff w:val="nothing"/>
      <w:lvlText w:val="（%1）"/>
      <w:lvlJc w:val="left"/>
    </w:lvl>
  </w:abstractNum>
  <w:abstractNum w:abstractNumId="19">
    <w:nsid w:val="1F52E97E"/>
    <w:multiLevelType w:val="singleLevel"/>
    <w:tmpl w:val="1F52E97E"/>
    <w:lvl w:ilvl="0" w:tentative="0">
      <w:start w:val="1"/>
      <w:numFmt w:val="chineseCounting"/>
      <w:suff w:val="nothing"/>
      <w:lvlText w:val="%1、"/>
      <w:lvlJc w:val="left"/>
      <w:rPr>
        <w:rFonts w:hint="eastAsia"/>
      </w:rPr>
    </w:lvl>
  </w:abstractNum>
  <w:abstractNum w:abstractNumId="20">
    <w:nsid w:val="241E4078"/>
    <w:multiLevelType w:val="singleLevel"/>
    <w:tmpl w:val="241E4078"/>
    <w:lvl w:ilvl="0" w:tentative="0">
      <w:start w:val="1"/>
      <w:numFmt w:val="decimal"/>
      <w:suff w:val="nothing"/>
      <w:lvlText w:val="（%1）"/>
      <w:lvlJc w:val="left"/>
    </w:lvl>
  </w:abstractNum>
  <w:abstractNum w:abstractNumId="21">
    <w:nsid w:val="35C09EFA"/>
    <w:multiLevelType w:val="singleLevel"/>
    <w:tmpl w:val="35C09EFA"/>
    <w:lvl w:ilvl="0" w:tentative="0">
      <w:start w:val="1"/>
      <w:numFmt w:val="decimal"/>
      <w:suff w:val="nothing"/>
      <w:lvlText w:val="%1、"/>
      <w:lvlJc w:val="left"/>
    </w:lvl>
  </w:abstractNum>
  <w:abstractNum w:abstractNumId="22">
    <w:nsid w:val="3B8163C0"/>
    <w:multiLevelType w:val="singleLevel"/>
    <w:tmpl w:val="3B8163C0"/>
    <w:lvl w:ilvl="0" w:tentative="0">
      <w:start w:val="1"/>
      <w:numFmt w:val="decimal"/>
      <w:suff w:val="nothing"/>
      <w:lvlText w:val="（%1）"/>
      <w:lvlJc w:val="left"/>
    </w:lvl>
  </w:abstractNum>
  <w:abstractNum w:abstractNumId="23">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6">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4F63F0D8"/>
    <w:multiLevelType w:val="singleLevel"/>
    <w:tmpl w:val="4F63F0D8"/>
    <w:lvl w:ilvl="0" w:tentative="0">
      <w:start w:val="1"/>
      <w:numFmt w:val="decimal"/>
      <w:suff w:val="nothing"/>
      <w:lvlText w:val="（%1）"/>
      <w:lvlJc w:val="left"/>
    </w:lvl>
  </w:abstractNum>
  <w:abstractNum w:abstractNumId="28">
    <w:nsid w:val="55D18D9C"/>
    <w:multiLevelType w:val="singleLevel"/>
    <w:tmpl w:val="55D18D9C"/>
    <w:lvl w:ilvl="0" w:tentative="0">
      <w:start w:val="1"/>
      <w:numFmt w:val="decimalEnclosedCircleChinese"/>
      <w:suff w:val="nothing"/>
      <w:lvlText w:val="%1　"/>
      <w:lvlJc w:val="left"/>
      <w:pPr>
        <w:ind w:left="0" w:firstLine="400"/>
      </w:pPr>
      <w:rPr>
        <w:rFonts w:hint="eastAsia"/>
      </w:rPr>
    </w:lvl>
  </w:abstractNum>
  <w:abstractNum w:abstractNumId="29">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572DE5B4"/>
    <w:multiLevelType w:val="singleLevel"/>
    <w:tmpl w:val="572DE5B4"/>
    <w:lvl w:ilvl="0" w:tentative="0">
      <w:start w:val="1"/>
      <w:numFmt w:val="decimal"/>
      <w:suff w:val="nothing"/>
      <w:lvlText w:val="%1."/>
      <w:lvlJc w:val="left"/>
    </w:lvl>
  </w:abstractNum>
  <w:abstractNum w:abstractNumId="31">
    <w:nsid w:val="5834DCB1"/>
    <w:multiLevelType w:val="singleLevel"/>
    <w:tmpl w:val="5834DCB1"/>
    <w:lvl w:ilvl="0" w:tentative="0">
      <w:start w:val="1"/>
      <w:numFmt w:val="decimal"/>
      <w:suff w:val="nothing"/>
      <w:lvlText w:val="（%1）"/>
      <w:lvlJc w:val="left"/>
    </w:lvl>
  </w:abstractNum>
  <w:abstractNum w:abstractNumId="32">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6D970009"/>
    <w:multiLevelType w:val="multilevel"/>
    <w:tmpl w:val="6D970009"/>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2"/>
  </w:num>
  <w:num w:numId="2">
    <w:abstractNumId w:val="33"/>
  </w:num>
  <w:num w:numId="3">
    <w:abstractNumId w:val="21"/>
  </w:num>
  <w:num w:numId="4">
    <w:abstractNumId w:val="27"/>
  </w:num>
  <w:num w:numId="5">
    <w:abstractNumId w:val="2"/>
  </w:num>
  <w:num w:numId="6">
    <w:abstractNumId w:val="12"/>
  </w:num>
  <w:num w:numId="7">
    <w:abstractNumId w:val="6"/>
  </w:num>
  <w:num w:numId="8">
    <w:abstractNumId w:val="18"/>
  </w:num>
  <w:num w:numId="9">
    <w:abstractNumId w:val="5"/>
  </w:num>
  <w:num w:numId="10">
    <w:abstractNumId w:val="8"/>
  </w:num>
  <w:num w:numId="11">
    <w:abstractNumId w:val="0"/>
  </w:num>
  <w:num w:numId="12">
    <w:abstractNumId w:val="3"/>
  </w:num>
  <w:num w:numId="13">
    <w:abstractNumId w:val="11"/>
  </w:num>
  <w:num w:numId="14">
    <w:abstractNumId w:val="14"/>
  </w:num>
  <w:num w:numId="15">
    <w:abstractNumId w:val="7"/>
  </w:num>
  <w:num w:numId="16">
    <w:abstractNumId w:val="9"/>
  </w:num>
  <w:num w:numId="17">
    <w:abstractNumId w:val="28"/>
  </w:num>
  <w:num w:numId="18">
    <w:abstractNumId w:val="26"/>
  </w:num>
  <w:num w:numId="19">
    <w:abstractNumId w:val="15"/>
  </w:num>
  <w:num w:numId="20">
    <w:abstractNumId w:val="29"/>
  </w:num>
  <w:num w:numId="21">
    <w:abstractNumId w:val="24"/>
  </w:num>
  <w:num w:numId="22">
    <w:abstractNumId w:val="13"/>
  </w:num>
  <w:num w:numId="23">
    <w:abstractNumId w:val="25"/>
  </w:num>
  <w:num w:numId="24">
    <w:abstractNumId w:val="23"/>
  </w:num>
  <w:num w:numId="25">
    <w:abstractNumId w:val="16"/>
  </w:num>
  <w:num w:numId="26">
    <w:abstractNumId w:val="30"/>
  </w:num>
  <w:num w:numId="27">
    <w:abstractNumId w:val="19"/>
  </w:num>
  <w:num w:numId="28">
    <w:abstractNumId w:val="31"/>
  </w:num>
  <w:num w:numId="29">
    <w:abstractNumId w:val="1"/>
  </w:num>
  <w:num w:numId="30">
    <w:abstractNumId w:val="17"/>
  </w:num>
  <w:num w:numId="31">
    <w:abstractNumId w:val="20"/>
  </w:num>
  <w:num w:numId="32">
    <w:abstractNumId w:val="22"/>
  </w:num>
  <w:num w:numId="33">
    <w:abstractNumId w:val="4"/>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trackRevisions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B841E6"/>
    <w:rsid w:val="02426F88"/>
    <w:rsid w:val="02924B96"/>
    <w:rsid w:val="038832FE"/>
    <w:rsid w:val="042B4404"/>
    <w:rsid w:val="049C609A"/>
    <w:rsid w:val="049D203B"/>
    <w:rsid w:val="05170E2A"/>
    <w:rsid w:val="05F33E19"/>
    <w:rsid w:val="065220FA"/>
    <w:rsid w:val="07D3084D"/>
    <w:rsid w:val="08A607DC"/>
    <w:rsid w:val="0BB772E4"/>
    <w:rsid w:val="0C5359EF"/>
    <w:rsid w:val="0CA3463F"/>
    <w:rsid w:val="0E2B21BD"/>
    <w:rsid w:val="0ED3587A"/>
    <w:rsid w:val="0FF11DF9"/>
    <w:rsid w:val="0FFF5BD0"/>
    <w:rsid w:val="101A2CF7"/>
    <w:rsid w:val="109255ED"/>
    <w:rsid w:val="12342DAB"/>
    <w:rsid w:val="126025B5"/>
    <w:rsid w:val="12AD7924"/>
    <w:rsid w:val="13033C28"/>
    <w:rsid w:val="13B94E90"/>
    <w:rsid w:val="13BF1349"/>
    <w:rsid w:val="14DD2439"/>
    <w:rsid w:val="16FA62BC"/>
    <w:rsid w:val="19367B17"/>
    <w:rsid w:val="1B85573B"/>
    <w:rsid w:val="1B934F55"/>
    <w:rsid w:val="1F8751EC"/>
    <w:rsid w:val="20674731"/>
    <w:rsid w:val="214926E0"/>
    <w:rsid w:val="21841F76"/>
    <w:rsid w:val="222C3F22"/>
    <w:rsid w:val="22BC712C"/>
    <w:rsid w:val="22CB6B74"/>
    <w:rsid w:val="242A1E4E"/>
    <w:rsid w:val="24874F28"/>
    <w:rsid w:val="24ED39A1"/>
    <w:rsid w:val="26176E88"/>
    <w:rsid w:val="29BA1761"/>
    <w:rsid w:val="29C013EA"/>
    <w:rsid w:val="2C78316F"/>
    <w:rsid w:val="2CD102A0"/>
    <w:rsid w:val="2D670935"/>
    <w:rsid w:val="2FDD7C63"/>
    <w:rsid w:val="30646834"/>
    <w:rsid w:val="35097DCD"/>
    <w:rsid w:val="37DA1FFD"/>
    <w:rsid w:val="3C823756"/>
    <w:rsid w:val="3C9B5EFD"/>
    <w:rsid w:val="3E036E1E"/>
    <w:rsid w:val="3E13186C"/>
    <w:rsid w:val="3F6D3A90"/>
    <w:rsid w:val="42310B31"/>
    <w:rsid w:val="466E4B9F"/>
    <w:rsid w:val="4AA93177"/>
    <w:rsid w:val="4BC8116F"/>
    <w:rsid w:val="4F0E00F7"/>
    <w:rsid w:val="50055DC9"/>
    <w:rsid w:val="50BD7AD0"/>
    <w:rsid w:val="524B628E"/>
    <w:rsid w:val="52FF2E2E"/>
    <w:rsid w:val="55463EB7"/>
    <w:rsid w:val="5547629B"/>
    <w:rsid w:val="55857A4F"/>
    <w:rsid w:val="5598176B"/>
    <w:rsid w:val="575B2039"/>
    <w:rsid w:val="5890674E"/>
    <w:rsid w:val="5D2C2D96"/>
    <w:rsid w:val="5D607805"/>
    <w:rsid w:val="5DB907FE"/>
    <w:rsid w:val="5FA63A90"/>
    <w:rsid w:val="622009AD"/>
    <w:rsid w:val="638C0B98"/>
    <w:rsid w:val="63D660C6"/>
    <w:rsid w:val="656F3231"/>
    <w:rsid w:val="65C636CA"/>
    <w:rsid w:val="682D569C"/>
    <w:rsid w:val="691A5ECD"/>
    <w:rsid w:val="691B6ACA"/>
    <w:rsid w:val="691F79C3"/>
    <w:rsid w:val="697F115B"/>
    <w:rsid w:val="6AB5708C"/>
    <w:rsid w:val="6CAD71C1"/>
    <w:rsid w:val="6D0B5CE5"/>
    <w:rsid w:val="72D62E05"/>
    <w:rsid w:val="74762C5D"/>
    <w:rsid w:val="782F28F7"/>
    <w:rsid w:val="796C3466"/>
    <w:rsid w:val="7B2D3227"/>
    <w:rsid w:val="7D5D521C"/>
    <w:rsid w:val="7EBB2477"/>
    <w:rsid w:val="7F9430D8"/>
    <w:rsid w:val="7FF3289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annotation text"/>
    <w:basedOn w:val="1"/>
    <w:link w:val="38"/>
    <w:semiHidden/>
    <w:unhideWhenUsed/>
    <w:qFormat/>
    <w:uiPriority w:val="99"/>
    <w:pPr>
      <w:jc w:val="left"/>
    </w:pPr>
  </w:style>
  <w:style w:type="paragraph" w:styleId="8">
    <w:name w:val="Closing"/>
    <w:basedOn w:val="1"/>
    <w:qFormat/>
    <w:uiPriority w:val="0"/>
    <w:pPr>
      <w:ind w:left="100" w:leftChars="2100"/>
    </w:pPr>
    <w:rPr>
      <w:rFonts w:ascii="宋体"/>
      <w:sz w:val="24"/>
    </w:rPr>
  </w:style>
  <w:style w:type="paragraph" w:styleId="9">
    <w:name w:val="Body Text"/>
    <w:basedOn w:val="1"/>
    <w:link w:val="43"/>
    <w:semiHidden/>
    <w:unhideWhenUsed/>
    <w:qFormat/>
    <w:uiPriority w:val="99"/>
    <w:pPr>
      <w:spacing w:after="120"/>
    </w:pPr>
  </w:style>
  <w:style w:type="paragraph" w:styleId="10">
    <w:name w:val="Body Text Indent"/>
    <w:basedOn w:val="1"/>
    <w:link w:val="41"/>
    <w:qFormat/>
    <w:uiPriority w:val="0"/>
    <w:pPr>
      <w:spacing w:after="120"/>
      <w:ind w:left="420" w:leftChars="200"/>
    </w:pPr>
    <w:rPr>
      <w:rFonts w:ascii="Calibri" w:hAnsi="Calibri"/>
      <w:szCs w:val="22"/>
    </w:rPr>
  </w:style>
  <w:style w:type="paragraph" w:styleId="11">
    <w:name w:val="Block Text"/>
    <w:basedOn w:val="1"/>
    <w:qFormat/>
    <w:uiPriority w:val="0"/>
    <w:pPr>
      <w:spacing w:line="300" w:lineRule="auto"/>
      <w:ind w:firstLine="200" w:firstLineChars="200"/>
    </w:pPr>
    <w:rPr>
      <w:sz w:val="24"/>
    </w:rPr>
  </w:style>
  <w:style w:type="paragraph" w:styleId="12">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3">
    <w:name w:val="endnote text"/>
    <w:basedOn w:val="1"/>
    <w:link w:val="52"/>
    <w:semiHidden/>
    <w:unhideWhenUsed/>
    <w:qFormat/>
    <w:uiPriority w:val="99"/>
    <w:pPr>
      <w:snapToGrid w:val="0"/>
      <w:jc w:val="left"/>
    </w:pPr>
  </w:style>
  <w:style w:type="paragraph" w:styleId="14">
    <w:name w:val="Balloon Text"/>
    <w:basedOn w:val="1"/>
    <w:link w:val="47"/>
    <w:qFormat/>
    <w:uiPriority w:val="0"/>
    <w:rPr>
      <w:sz w:val="18"/>
      <w:szCs w:val="18"/>
    </w:rPr>
  </w:style>
  <w:style w:type="paragraph" w:styleId="15">
    <w:name w:val="footer"/>
    <w:basedOn w:val="1"/>
    <w:link w:val="33"/>
    <w:qFormat/>
    <w:uiPriority w:val="0"/>
    <w:pPr>
      <w:tabs>
        <w:tab w:val="center" w:pos="4153"/>
        <w:tab w:val="right" w:pos="8306"/>
      </w:tabs>
      <w:snapToGrid w:val="0"/>
      <w:jc w:val="left"/>
    </w:pPr>
    <w:rPr>
      <w:sz w:val="18"/>
      <w:szCs w:val="18"/>
    </w:rPr>
  </w:style>
  <w:style w:type="paragraph" w:styleId="16">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7">
    <w:name w:val="List"/>
    <w:basedOn w:val="1"/>
    <w:next w:val="1"/>
    <w:qFormat/>
    <w:uiPriority w:val="0"/>
    <w:pPr>
      <w:snapToGrid w:val="0"/>
    </w:pPr>
  </w:style>
  <w:style w:type="paragraph" w:styleId="18">
    <w:name w:val="HTML Preformatted"/>
    <w:basedOn w:val="1"/>
    <w:link w:val="4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annotation subject"/>
    <w:basedOn w:val="7"/>
    <w:next w:val="7"/>
    <w:link w:val="39"/>
    <w:semiHidden/>
    <w:unhideWhenUsed/>
    <w:qFormat/>
    <w:uiPriority w:val="99"/>
    <w:rPr>
      <w:b/>
      <w:bCs/>
    </w:rPr>
  </w:style>
  <w:style w:type="paragraph" w:styleId="21">
    <w:name w:val="Body Text First Indent 2"/>
    <w:basedOn w:val="10"/>
    <w:next w:val="1"/>
    <w:qFormat/>
    <w:uiPriority w:val="0"/>
    <w:pPr>
      <w:spacing w:line="360" w:lineRule="auto"/>
      <w:ind w:firstLine="420"/>
    </w:pPr>
    <w:rPr>
      <w:rFonts w:eastAsia="等线"/>
      <w:color w:val="000000"/>
      <w:szCs w:val="24"/>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5"/>
    <w:qFormat/>
    <w:uiPriority w:val="0"/>
    <w:rPr>
      <w:kern w:val="2"/>
      <w:sz w:val="18"/>
      <w:szCs w:val="18"/>
    </w:rPr>
  </w:style>
  <w:style w:type="character" w:customStyle="1" w:styleId="34">
    <w:name w:val="apple-style-span"/>
    <w:basedOn w:val="24"/>
    <w:qFormat/>
    <w:uiPriority w:val="0"/>
  </w:style>
  <w:style w:type="character" w:customStyle="1" w:styleId="35">
    <w:name w:val="页眉 字符"/>
    <w:link w:val="16"/>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2"/>
    <w:qFormat/>
    <w:uiPriority w:val="0"/>
    <w:rPr>
      <w:rFonts w:ascii="宋体" w:hAnsi="Courier New" w:eastAsia="微软雅黑" w:cs="Courier New"/>
      <w:sz w:val="22"/>
      <w:szCs w:val="21"/>
    </w:rPr>
  </w:style>
  <w:style w:type="character" w:customStyle="1" w:styleId="38">
    <w:name w:val="批注文字 字符"/>
    <w:basedOn w:val="24"/>
    <w:link w:val="7"/>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qFormat/>
    <w:uiPriority w:val="34"/>
    <w:pPr>
      <w:ind w:firstLine="420" w:firstLineChars="200"/>
    </w:pPr>
  </w:style>
  <w:style w:type="character" w:customStyle="1" w:styleId="41">
    <w:name w:val="正文文本缩进 字符"/>
    <w:basedOn w:val="24"/>
    <w:link w:val="10"/>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9"/>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4"/>
    <w:qFormat/>
    <w:uiPriority w:val="0"/>
    <w:rPr>
      <w:kern w:val="2"/>
      <w:sz w:val="18"/>
      <w:szCs w:val="18"/>
    </w:rPr>
  </w:style>
  <w:style w:type="character" w:customStyle="1" w:styleId="48">
    <w:name w:val="HTML 预设格式 字符"/>
    <w:basedOn w:val="24"/>
    <w:link w:val="18"/>
    <w:qFormat/>
    <w:uiPriority w:val="0"/>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3"/>
    <w:semiHidden/>
    <w:qFormat/>
    <w:uiPriority w:val="99"/>
    <w:rPr>
      <w:kern w:val="2"/>
      <w:sz w:val="21"/>
      <w:szCs w:val="24"/>
    </w:rPr>
  </w:style>
  <w:style w:type="character" w:customStyle="1" w:styleId="53">
    <w:name w:val="font51"/>
    <w:basedOn w:val="24"/>
    <w:qFormat/>
    <w:uiPriority w:val="0"/>
    <w:rPr>
      <w:rFonts w:ascii="微软雅黑" w:hAnsi="微软雅黑" w:eastAsia="微软雅黑" w:cs="微软雅黑"/>
      <w:color w:val="000000"/>
      <w:sz w:val="24"/>
      <w:szCs w:val="24"/>
      <w:u w:val="none"/>
    </w:rPr>
  </w:style>
  <w:style w:type="character" w:customStyle="1" w:styleId="54">
    <w:name w:val="font21"/>
    <w:basedOn w:val="24"/>
    <w:qFormat/>
    <w:uiPriority w:val="0"/>
    <w:rPr>
      <w:rFonts w:hint="default" w:ascii="Calibri" w:hAnsi="Calibri" w:cs="Calibri"/>
      <w:color w:val="000000"/>
      <w:sz w:val="21"/>
      <w:szCs w:val="21"/>
      <w:u w:val="none"/>
    </w:rPr>
  </w:style>
  <w:style w:type="character" w:customStyle="1" w:styleId="55">
    <w:name w:val="font61"/>
    <w:basedOn w:val="24"/>
    <w:qFormat/>
    <w:uiPriority w:val="0"/>
    <w:rPr>
      <w:rFonts w:hint="default" w:ascii="Calibri" w:hAnsi="Calibri" w:cs="Calibri"/>
      <w:color w:val="000000"/>
      <w:sz w:val="21"/>
      <w:szCs w:val="21"/>
      <w:u w:val="none"/>
    </w:rPr>
  </w:style>
  <w:style w:type="character" w:customStyle="1" w:styleId="56">
    <w:name w:val="font01"/>
    <w:basedOn w:val="24"/>
    <w:qFormat/>
    <w:uiPriority w:val="0"/>
    <w:rPr>
      <w:rFonts w:hint="eastAsia" w:ascii="宋体" w:hAnsi="宋体" w:eastAsia="宋体" w:cs="宋体"/>
      <w:color w:val="000000"/>
      <w:sz w:val="24"/>
      <w:szCs w:val="24"/>
      <w:u w:val="none"/>
    </w:rPr>
  </w:style>
  <w:style w:type="character" w:customStyle="1" w:styleId="57">
    <w:name w:val="font31"/>
    <w:basedOn w:val="24"/>
    <w:qFormat/>
    <w:uiPriority w:val="0"/>
    <w:rPr>
      <w:rFonts w:hint="eastAsia" w:ascii="宋体" w:hAnsi="宋体" w:eastAsia="宋体" w:cs="宋体"/>
      <w:b/>
      <w:bCs/>
      <w:color w:val="000000"/>
      <w:sz w:val="18"/>
      <w:szCs w:val="18"/>
      <w:u w:val="none"/>
    </w:rPr>
  </w:style>
  <w:style w:type="character" w:customStyle="1" w:styleId="58">
    <w:name w:val="font101"/>
    <w:basedOn w:val="24"/>
    <w:qFormat/>
    <w:uiPriority w:val="0"/>
    <w:rPr>
      <w:rFonts w:hint="eastAsia" w:ascii="宋体" w:hAnsi="宋体" w:eastAsia="宋体" w:cs="宋体"/>
      <w:color w:val="000000"/>
      <w:sz w:val="18"/>
      <w:szCs w:val="18"/>
      <w:u w:val="none"/>
      <w:vertAlign w:val="superscript"/>
    </w:rPr>
  </w:style>
  <w:style w:type="paragraph" w:customStyle="1" w:styleId="59">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32</Pages>
  <Words>10108</Words>
  <Characters>10788</Characters>
  <Lines>89</Lines>
  <Paragraphs>25</Paragraphs>
  <TotalTime>35</TotalTime>
  <ScaleCrop>false</ScaleCrop>
  <LinksUpToDate>false</LinksUpToDate>
  <CharactersWithSpaces>11047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2011-11-29T08:47:00Z</cp:lastPrinted>
  <dcterms:modified xsi:type="dcterms:W3CDTF">2025-08-20T01:25:09Z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754F42DE028B464794DA819C6B9D8DDF_12</vt:lpwstr>
  </property>
</Properties>
</file>